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3"/>
        <w:rPr>
          <w:rFonts w:ascii="Times New Roman"/>
          <w:sz w:val="22"/>
        </w:rPr>
      </w:pPr>
      <w:r>
        <w:drawing>
          <wp:anchor distT="0" distB="0" distL="0" distR="0" simplePos="0" relativeHeight="251660288"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Title"/>
        <w:rPr>
          <w:rFonts w:ascii="宋体"/>
          <w:sz w:val="28"/>
        </w:rPr>
      </w:pPr>
      <w:r>
        <w:pict>
          <v:shapetype id="_x0000_t202" coordsize="21600,21600" o:spt="202" path="m,l,21600r21600,l21600,xe">
            <v:stroke joinstyle="miter"/>
            <v:path gradientshapeok="t" o:connecttype="rect"/>
          </v:shapetype>
          <v:shape id="_x0000_s1025" type="#_x0000_t202" style="width:92.85pt;height:26.3pt;margin-top:-12.93pt;margin-left:58.54pt;mso-position-horizontal-relative:page;position:absolute;z-index:251658240" filled="f" stroked="f">
            <v:textbox inset="0,0,0,0">
              <w:txbxContent>
                <w:tbl>
                  <w:tblPr>
                    <w:tblStyle w:val="TableNormal"/>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3"/>
                    <w:gridCol w:w="124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2"/>
                      <w:jc w:val="left"/>
                    </w:trPr>
                    <w:tc>
                      <w:tcPr>
                        <w:tcW w:w="613" w:type="dxa"/>
                      </w:tcPr>
                      <w:p>
                        <w:pPr>
                          <w:pStyle w:val="TableParagraph"/>
                          <w:spacing w:before="0" w:line="241" w:lineRule="exact"/>
                          <w:ind w:right="94"/>
                          <w:jc w:val="right"/>
                          <w:rPr>
                            <w:rFonts w:ascii="黑体"/>
                            <w:sz w:val="21"/>
                          </w:rPr>
                        </w:pPr>
                        <w:r>
                          <w:rPr>
                            <w:rFonts w:ascii="黑体"/>
                            <w:sz w:val="21"/>
                          </w:rPr>
                          <w:t>ICS</w:t>
                        </w:r>
                      </w:p>
                    </w:tc>
                    <w:tc>
                      <w:tcPr>
                        <w:tcW w:w="1244" w:type="dxa"/>
                      </w:tcPr>
                      <w:p>
                        <w:pPr>
                          <w:pStyle w:val="TableParagraph"/>
                          <w:spacing w:before="0" w:line="241" w:lineRule="exact"/>
                          <w:ind w:left="95"/>
                          <w:jc w:val="left"/>
                          <w:rPr>
                            <w:rFonts w:ascii="黑体"/>
                            <w:sz w:val="21"/>
                          </w:rPr>
                        </w:pPr>
                        <w:r>
                          <w:rPr>
                            <w:rFonts w:ascii="黑体"/>
                            <w:sz w:val="21"/>
                          </w:rPr>
                          <w:t>65.020.30</w:t>
                        </w:r>
                      </w:p>
                    </w:tc>
                  </w:tr>
                  <w:tr>
                    <w:tblPrEx>
                      <w:tblW w:w="0" w:type="auto"/>
                      <w:jc w:val="left"/>
                      <w:tblInd w:w="7" w:type="dxa"/>
                      <w:tblLayout w:type="fixed"/>
                      <w:tblCellMar>
                        <w:top w:w="0" w:type="dxa"/>
                        <w:left w:w="0" w:type="dxa"/>
                        <w:bottom w:w="0" w:type="dxa"/>
                        <w:right w:w="0" w:type="dxa"/>
                      </w:tblCellMar>
                      <w:tblLook w:val="01E0"/>
                    </w:tblPrEx>
                    <w:trPr>
                      <w:trHeight w:val="262"/>
                      <w:jc w:val="left"/>
                    </w:trPr>
                    <w:tc>
                      <w:tcPr>
                        <w:tcW w:w="613" w:type="dxa"/>
                      </w:tcPr>
                      <w:p>
                        <w:pPr>
                          <w:pStyle w:val="TableParagraph"/>
                          <w:spacing w:before="23" w:line="220" w:lineRule="exact"/>
                          <w:ind w:right="94"/>
                          <w:jc w:val="right"/>
                          <w:rPr>
                            <w:rFonts w:ascii="黑体"/>
                            <w:sz w:val="21"/>
                          </w:rPr>
                        </w:pPr>
                        <w:r>
                          <w:rPr>
                            <w:rFonts w:ascii="黑体"/>
                            <w:sz w:val="21"/>
                          </w:rPr>
                          <w:t>CCS</w:t>
                        </w:r>
                      </w:p>
                    </w:tc>
                    <w:tc>
                      <w:tcPr>
                        <w:tcW w:w="1244" w:type="dxa"/>
                      </w:tcPr>
                      <w:p>
                        <w:pPr>
                          <w:pStyle w:val="TableParagraph"/>
                          <w:spacing w:before="23" w:line="220" w:lineRule="exact"/>
                          <w:ind w:left="95"/>
                          <w:jc w:val="left"/>
                          <w:rPr>
                            <w:rFonts w:ascii="黑体"/>
                            <w:sz w:val="21"/>
                          </w:rPr>
                        </w:pPr>
                        <w:r>
                          <w:rPr>
                            <w:rFonts w:ascii="黑体"/>
                            <w:sz w:val="21"/>
                          </w:rPr>
                          <w:t>B 43</w:t>
                        </w:r>
                      </w:p>
                    </w:tc>
                  </w:tr>
                </w:tbl>
                <w:p>
                  <w:pPr>
                    <w:pStyle w:val="BodyText"/>
                  </w:pPr>
                </w:p>
              </w:txbxContent>
            </v:textbox>
          </v:shape>
        </w:pict>
      </w:r>
      <w:r>
        <w:rPr>
          <w:w w:val="130"/>
        </w:rPr>
        <w:t>DB51</w:t>
      </w:r>
      <w:r>
        <w:rPr>
          <w:rFonts w:ascii="宋体"/>
          <w:w w:val="129"/>
          <w:sz w:val="28"/>
        </w:rPr>
        <w:t xml:space="preserve"> </w:t>
      </w:r>
    </w:p>
    <w:p>
      <w:pPr>
        <w:tabs>
          <w:tab w:val="left" w:pos="1526"/>
          <w:tab w:val="left" w:pos="3053"/>
          <w:tab w:val="left" w:pos="4580"/>
          <w:tab w:val="left" w:pos="6106"/>
          <w:tab w:val="left" w:pos="7633"/>
          <w:tab w:val="left" w:pos="9160"/>
        </w:tabs>
        <w:spacing w:before="253"/>
        <w:ind w:left="0" w:right="240" w:firstLine="0"/>
        <w:jc w:val="right"/>
        <w:rPr>
          <w:rFonts w:ascii="黑体" w:eastAsia="黑体" w:hint="eastAsia"/>
          <w:sz w:val="48"/>
        </w:rPr>
      </w:pPr>
      <w:r>
        <w:rPr>
          <w:rFonts w:ascii="黑体" w:eastAsia="黑体" w:hint="eastAsia"/>
          <w:sz w:val="48"/>
        </w:rPr>
        <w:t>四</w:t>
        <w:tab/>
        <w:t>川</w:t>
        <w:tab/>
        <w:t>省</w:t>
        <w:tab/>
        <w:t>地</w:t>
        <w:tab/>
        <w:t>方</w:t>
        <w:tab/>
        <w:t>标</w:t>
        <w:tab/>
        <w:t>准</w:t>
      </w:r>
    </w:p>
    <w:p>
      <w:pPr>
        <w:spacing w:before="341"/>
        <w:ind w:left="0" w:right="407" w:firstLine="0"/>
        <w:jc w:val="right"/>
        <w:rPr>
          <w:rFonts w:ascii="黑体" w:hAnsi="黑体"/>
          <w:sz w:val="28"/>
        </w:rPr>
      </w:pPr>
      <w:r>
        <w:rPr>
          <w:rFonts w:ascii="黑体" w:hAnsi="黑体"/>
          <w:sz w:val="28"/>
        </w:rPr>
        <w:t>DB51/T</w:t>
      </w:r>
      <w:r>
        <w:rPr>
          <w:rFonts w:ascii="黑体" w:hAnsi="黑体"/>
          <w:spacing w:val="-7"/>
          <w:sz w:val="28"/>
        </w:rPr>
        <w:t xml:space="preserve"> </w:t>
      </w:r>
      <w:r>
        <w:rPr>
          <w:rFonts w:ascii="黑体" w:hAnsi="黑体"/>
          <w:sz w:val="28"/>
        </w:rPr>
        <w:t>3132—2023</w:t>
      </w:r>
    </w:p>
    <w:p>
      <w:pPr>
        <w:pStyle w:val="BodyText"/>
        <w:rPr>
          <w:rFonts w:ascii="黑体"/>
          <w:sz w:val="20"/>
        </w:rPr>
      </w:pPr>
    </w:p>
    <w:p>
      <w:pPr>
        <w:pStyle w:val="BodyText"/>
        <w:spacing w:before="5"/>
        <w:rPr>
          <w:rFonts w:ascii="黑体"/>
          <w:sz w:val="28"/>
        </w:rPr>
      </w:pPr>
      <w:r>
        <w:pict>
          <v:shape id="_x0000_s1026" style="width:481.9pt;height:0.1pt;margin-top:20.59pt;margin-left:70.9pt;mso-position-horizontal-relative:page;mso-wrap-distance-left:0;mso-wrap-distance-right:0;position:absolute;z-index:-251655168" coordorigin="1418,412" coordsize="9638,0" path="m1418,412l11056,412e" filled="f" stroked="t" strokecolor="black" strokeweight="0.75pt">
            <v:stroke dashstyle="solid"/>
            <v:path arrowok="t"/>
            <w10:wrap type="topAndBottom"/>
          </v:shape>
        </w:pict>
      </w:r>
    </w:p>
    <w:p>
      <w:pPr>
        <w:pStyle w:val="BodyText"/>
        <w:rPr>
          <w:rFonts w:ascii="黑体"/>
          <w:sz w:val="28"/>
        </w:rPr>
      </w:pPr>
    </w:p>
    <w:p>
      <w:pPr>
        <w:pStyle w:val="BodyText"/>
        <w:rPr>
          <w:rFonts w:ascii="黑体"/>
          <w:sz w:val="28"/>
        </w:rPr>
      </w:pPr>
    </w:p>
    <w:p>
      <w:pPr>
        <w:pStyle w:val="BodyText"/>
        <w:rPr>
          <w:rFonts w:ascii="黑体"/>
          <w:sz w:val="28"/>
        </w:rPr>
      </w:pPr>
    </w:p>
    <w:p>
      <w:pPr>
        <w:pStyle w:val="BodyText"/>
        <w:rPr>
          <w:rFonts w:ascii="黑体"/>
          <w:sz w:val="28"/>
        </w:rPr>
      </w:pPr>
    </w:p>
    <w:p>
      <w:pPr>
        <w:pStyle w:val="BodyText"/>
        <w:rPr>
          <w:rFonts w:ascii="黑体"/>
          <w:sz w:val="28"/>
        </w:rPr>
      </w:pPr>
    </w:p>
    <w:p>
      <w:pPr>
        <w:pStyle w:val="BodyText"/>
        <w:spacing w:before="5"/>
        <w:rPr>
          <w:rFonts w:ascii="黑体"/>
          <w:sz w:val="28"/>
        </w:rPr>
      </w:pPr>
    </w:p>
    <w:p>
      <w:pPr>
        <w:spacing w:before="0"/>
        <w:ind w:left="0" w:right="264" w:firstLine="0"/>
        <w:jc w:val="right"/>
        <w:rPr>
          <w:rFonts w:ascii="黑体" w:eastAsia="黑体" w:hint="eastAsia"/>
          <w:sz w:val="52"/>
        </w:rPr>
      </w:pPr>
      <w:r>
        <w:rPr>
          <w:rFonts w:ascii="黑体" w:eastAsia="黑体" w:hint="eastAsia"/>
          <w:sz w:val="52"/>
        </w:rPr>
        <w:t>大恒 799 肉鸡配套系及饲养管理技术规程</w:t>
      </w: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tabs>
          <w:tab w:val="left" w:pos="7713"/>
        </w:tabs>
        <w:spacing w:before="403"/>
        <w:ind w:left="358" w:right="0" w:firstLine="0"/>
        <w:jc w:val="left"/>
        <w:rPr>
          <w:rFonts w:ascii="黑体" w:eastAsia="黑体" w:hint="eastAsia"/>
          <w:sz w:val="28"/>
        </w:rPr>
      </w:pPr>
      <w:r>
        <w:pict>
          <v:line id="_x0000_s1027" style="mso-position-horizontal-relative:page;position:absolute;z-index:251659264" from="70.85pt,39.75pt" to="552.75pt,39.75pt" stroked="t" strokecolor="black" strokeweight="0.75pt">
            <v:stroke dashstyle="solid"/>
          </v:line>
        </w:pict>
      </w:r>
      <w:r>
        <w:rPr>
          <w:rFonts w:ascii="黑体" w:eastAsia="黑体" w:hint="eastAsia"/>
          <w:sz w:val="28"/>
        </w:rPr>
        <w:t>2023</w:t>
      </w:r>
      <w:r>
        <w:rPr>
          <w:rFonts w:ascii="黑体" w:eastAsia="黑体" w:hint="eastAsia"/>
          <w:spacing w:val="-70"/>
          <w:sz w:val="28"/>
        </w:rPr>
        <w:t xml:space="preserve"> </w:t>
      </w:r>
      <w:r>
        <w:rPr>
          <w:rFonts w:ascii="黑体" w:eastAsia="黑体" w:hint="eastAsia"/>
          <w:sz w:val="28"/>
        </w:rPr>
        <w:t>-</w:t>
      </w:r>
      <w:r>
        <w:rPr>
          <w:rFonts w:ascii="黑体" w:eastAsia="黑体" w:hint="eastAsia"/>
          <w:spacing w:val="-72"/>
          <w:sz w:val="28"/>
        </w:rPr>
        <w:t xml:space="preserve"> </w:t>
      </w:r>
      <w:r>
        <w:rPr>
          <w:rFonts w:ascii="黑体" w:eastAsia="黑体" w:hint="eastAsia"/>
          <w:sz w:val="28"/>
        </w:rPr>
        <w:t>12</w:t>
      </w:r>
      <w:r>
        <w:rPr>
          <w:rFonts w:ascii="黑体" w:eastAsia="黑体" w:hint="eastAsia"/>
          <w:spacing w:val="-72"/>
          <w:sz w:val="28"/>
        </w:rPr>
        <w:t xml:space="preserve"> </w:t>
      </w:r>
      <w:r>
        <w:rPr>
          <w:rFonts w:ascii="黑体" w:eastAsia="黑体" w:hint="eastAsia"/>
          <w:sz w:val="28"/>
        </w:rPr>
        <w:t>-</w:t>
      </w:r>
      <w:r>
        <w:rPr>
          <w:rFonts w:ascii="黑体" w:eastAsia="黑体" w:hint="eastAsia"/>
          <w:spacing w:val="-70"/>
          <w:sz w:val="28"/>
        </w:rPr>
        <w:t xml:space="preserve"> </w:t>
      </w:r>
      <w:r>
        <w:rPr>
          <w:rFonts w:ascii="黑体" w:eastAsia="黑体" w:hint="eastAsia"/>
          <w:sz w:val="28"/>
        </w:rPr>
        <w:t>29</w:t>
      </w:r>
      <w:r>
        <w:rPr>
          <w:rFonts w:ascii="黑体" w:eastAsia="黑体" w:hint="eastAsia"/>
          <w:spacing w:val="-72"/>
          <w:sz w:val="28"/>
        </w:rPr>
        <w:t xml:space="preserve"> </w:t>
      </w:r>
      <w:r>
        <w:rPr>
          <w:rFonts w:ascii="黑体" w:eastAsia="黑体" w:hint="eastAsia"/>
          <w:sz w:val="28"/>
        </w:rPr>
        <w:t>发布</w:t>
        <w:tab/>
        <w:t>2024</w:t>
      </w:r>
      <w:r>
        <w:rPr>
          <w:rFonts w:ascii="黑体" w:eastAsia="黑体" w:hint="eastAsia"/>
          <w:spacing w:val="-69"/>
          <w:sz w:val="28"/>
        </w:rPr>
        <w:t xml:space="preserve"> </w:t>
      </w:r>
      <w:r>
        <w:rPr>
          <w:rFonts w:ascii="黑体" w:eastAsia="黑体" w:hint="eastAsia"/>
          <w:sz w:val="28"/>
        </w:rPr>
        <w:t>-</w:t>
      </w:r>
      <w:r>
        <w:rPr>
          <w:rFonts w:ascii="黑体" w:eastAsia="黑体" w:hint="eastAsia"/>
          <w:spacing w:val="-72"/>
          <w:sz w:val="28"/>
        </w:rPr>
        <w:t xml:space="preserve"> </w:t>
      </w:r>
      <w:r>
        <w:rPr>
          <w:rFonts w:ascii="黑体" w:eastAsia="黑体" w:hint="eastAsia"/>
          <w:sz w:val="28"/>
        </w:rPr>
        <w:t>01</w:t>
      </w:r>
      <w:r>
        <w:rPr>
          <w:rFonts w:ascii="黑体" w:eastAsia="黑体" w:hint="eastAsia"/>
          <w:spacing w:val="-72"/>
          <w:sz w:val="28"/>
        </w:rPr>
        <w:t xml:space="preserve"> </w:t>
      </w:r>
      <w:r>
        <w:rPr>
          <w:rFonts w:ascii="黑体" w:eastAsia="黑体" w:hint="eastAsia"/>
          <w:sz w:val="28"/>
        </w:rPr>
        <w:t>-</w:t>
      </w:r>
      <w:r>
        <w:rPr>
          <w:rFonts w:ascii="黑体" w:eastAsia="黑体" w:hint="eastAsia"/>
          <w:spacing w:val="-70"/>
          <w:sz w:val="28"/>
        </w:rPr>
        <w:t xml:space="preserve"> </w:t>
      </w:r>
      <w:r>
        <w:rPr>
          <w:rFonts w:ascii="黑体" w:eastAsia="黑体" w:hint="eastAsia"/>
          <w:sz w:val="28"/>
        </w:rPr>
        <w:t>29</w:t>
      </w:r>
      <w:r>
        <w:rPr>
          <w:rFonts w:ascii="黑体" w:eastAsia="黑体" w:hint="eastAsia"/>
          <w:spacing w:val="-72"/>
          <w:sz w:val="28"/>
        </w:rPr>
        <w:t xml:space="preserve"> </w:t>
      </w:r>
      <w:r>
        <w:rPr>
          <w:rFonts w:ascii="黑体" w:eastAsia="黑体" w:hint="eastAsia"/>
          <w:sz w:val="28"/>
        </w:rPr>
        <w:t>实施</w:t>
      </w:r>
    </w:p>
    <w:p>
      <w:pPr>
        <w:pStyle w:val="BodyText"/>
        <w:rPr>
          <w:rFonts w:ascii="黑体"/>
          <w:sz w:val="28"/>
        </w:rPr>
      </w:pPr>
    </w:p>
    <w:p>
      <w:pPr>
        <w:pStyle w:val="BodyText"/>
        <w:spacing w:before="1"/>
        <w:rPr>
          <w:rFonts w:ascii="黑体"/>
          <w:sz w:val="37"/>
        </w:rPr>
      </w:pPr>
    </w:p>
    <w:p>
      <w:pPr>
        <w:tabs>
          <w:tab w:val="left" w:pos="4162"/>
        </w:tabs>
        <w:spacing w:before="0"/>
        <w:ind w:left="0" w:right="54" w:firstLine="0"/>
        <w:jc w:val="center"/>
        <w:rPr>
          <w:rFonts w:ascii="黑体" w:eastAsia="黑体" w:hint="eastAsia"/>
          <w:sz w:val="28"/>
        </w:rPr>
      </w:pPr>
      <w:r>
        <w:rPr>
          <w:rFonts w:ascii="黑体" w:eastAsia="黑体" w:hint="eastAsia"/>
          <w:sz w:val="36"/>
        </w:rPr>
        <w:t>四川省市场监督管理局</w:t>
        <w:tab/>
      </w:r>
      <w:r>
        <w:rPr>
          <w:rFonts w:ascii="黑体" w:eastAsia="黑体" w:hint="eastAsia"/>
          <w:sz w:val="28"/>
        </w:rPr>
        <w:t>发</w:t>
      </w:r>
      <w:r>
        <w:rPr>
          <w:rFonts w:ascii="黑体" w:eastAsia="黑体" w:hint="eastAsia"/>
          <w:spacing w:val="28"/>
          <w:sz w:val="28"/>
        </w:rPr>
        <w:t xml:space="preserve"> </w:t>
      </w:r>
      <w:r>
        <w:rPr>
          <w:rFonts w:ascii="黑体" w:eastAsia="黑体" w:hint="eastAsia"/>
          <w:sz w:val="28"/>
        </w:rPr>
        <w:t>布</w:t>
      </w:r>
    </w:p>
    <w:p>
      <w:pPr>
        <w:pStyle w:val="BodyText"/>
        <w:rPr>
          <w:rFonts w:ascii="黑体"/>
          <w:sz w:val="20"/>
        </w:rPr>
      </w:pPr>
    </w:p>
    <w:p>
      <w:pPr>
        <w:pStyle w:val="BodyText"/>
        <w:rPr>
          <w:rFonts w:ascii="黑体"/>
          <w:sz w:val="20"/>
        </w:rPr>
      </w:pPr>
    </w:p>
    <w:p>
      <w:pPr>
        <w:pStyle w:val="BodyText"/>
        <w:spacing w:before="6"/>
        <w:rPr>
          <w:rFonts w:ascii="黑体"/>
          <w:sz w:val="27"/>
        </w:rPr>
      </w:pPr>
    </w:p>
    <w:p>
      <w:pPr>
        <w:pStyle w:val="BodyText"/>
        <w:rPr>
          <w:rFonts w:ascii="黑体"/>
          <w:sz w:val="2"/>
        </w:rPr>
        <w:sectPr>
          <w:type w:val="continuous"/>
          <w:pgSz w:w="11910" w:h="16840"/>
          <w:pgMar w:top="580" w:right="720" w:bottom="0" w:left="1060" w:header="708" w:footer="708"/>
          <w:cols w:space="708"/>
        </w:sectPr>
      </w:pPr>
    </w:p>
    <w:p>
      <w:pPr>
        <w:pStyle w:val="BodyText"/>
        <w:rPr>
          <w:rFonts w:ascii="黑体"/>
          <w:sz w:val="2"/>
        </w:rPr>
      </w:pPr>
    </w:p>
    <w:p>
      <w:pPr>
        <w:pStyle w:val="BodyText"/>
        <w:rPr>
          <w:rFonts w:ascii="黑体"/>
          <w:sz w:val="2"/>
        </w:rPr>
      </w:pPr>
    </w:p>
    <w:p>
      <w:pPr>
        <w:pStyle w:val="BodyText"/>
        <w:rPr>
          <w:rFonts w:ascii="黑体"/>
          <w:sz w:val="2"/>
        </w:rPr>
      </w:pPr>
    </w:p>
    <w:p>
      <w:pPr>
        <w:spacing w:before="0"/>
        <w:ind w:left="358" w:right="0" w:firstLine="0"/>
        <w:jc w:val="left"/>
        <w:rPr>
          <w:sz w:val="2"/>
        </w:rPr>
      </w:pPr>
      <w:r>
        <w:rPr>
          <w:w w:val="96"/>
          <w:sz w:val="2"/>
        </w:rPr>
        <w:t xml:space="preserve"> </w:t>
      </w:r>
    </w:p>
    <w:p>
      <w:pPr>
        <w:spacing w:after="0"/>
        <w:jc w:val="left"/>
        <w:rPr>
          <w:sz w:val="2"/>
        </w:rPr>
        <w:sectPr>
          <w:type w:val="nextPage"/>
          <w:pgSz w:w="11910" w:h="16840"/>
          <w:pgMar w:top="580" w:right="720" w:bottom="0" w:left="1060" w:header="708" w:footer="708"/>
          <w:pgNumType w:start="2"/>
          <w:cols w:space="708"/>
          <w:titlePg w:val="0"/>
        </w:sectPr>
      </w:pPr>
    </w:p>
    <w:p>
      <w:pPr>
        <w:pStyle w:val="BodyText"/>
        <w:rPr>
          <w:sz w:val="20"/>
        </w:rPr>
      </w:pPr>
      <w:r>
        <w:drawing>
          <wp:anchor distT="0" distB="0" distL="0" distR="0" simplePos="0" relativeHeight="25166233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rPr>
          <w:sz w:val="20"/>
        </w:rPr>
      </w:pPr>
    </w:p>
    <w:p>
      <w:pPr>
        <w:pStyle w:val="BodyText"/>
        <w:spacing w:before="4"/>
        <w:rPr>
          <w:sz w:val="22"/>
        </w:rPr>
      </w:pPr>
    </w:p>
    <w:p>
      <w:pPr>
        <w:pStyle w:val="Heading1"/>
        <w:tabs>
          <w:tab w:val="left" w:pos="959"/>
        </w:tabs>
        <w:ind w:right="52"/>
      </w:pPr>
      <w:r>
        <w:t>目</w:t>
        <w:tab/>
        <w:t>次</w:t>
      </w:r>
    </w:p>
    <w:p>
      <w:pPr>
        <w:pStyle w:val="BodyText"/>
        <w:rPr>
          <w:rFonts w:ascii="黑体"/>
          <w:sz w:val="32"/>
        </w:rPr>
      </w:pPr>
    </w:p>
    <w:p>
      <w:pPr>
        <w:pStyle w:val="BodyText"/>
        <w:tabs>
          <w:tab w:val="left" w:leader="dot" w:pos="9396"/>
        </w:tabs>
        <w:spacing w:before="276"/>
        <w:ind w:left="358"/>
      </w:pPr>
      <w:r>
        <w:t>前言</w:t>
      </w:r>
      <w:r>
        <w:rPr>
          <w:rFonts w:ascii="Times New Roman" w:eastAsia="Times New Roman"/>
        </w:rPr>
        <w:tab/>
      </w:r>
      <w:r>
        <w:t>II</w:t>
      </w:r>
    </w:p>
    <w:p>
      <w:pPr>
        <w:pStyle w:val="BodyText"/>
        <w:tabs>
          <w:tab w:val="left" w:leader="dot" w:pos="9502"/>
        </w:tabs>
        <w:spacing w:before="132"/>
        <w:ind w:left="358"/>
      </w:pPr>
      <w:r>
        <w:t xml:space="preserve">1 </w:t>
      </w:r>
      <w:r>
        <w:rPr>
          <w:spacing w:val="2"/>
        </w:rPr>
        <w:t xml:space="preserve"> </w:t>
      </w:r>
      <w:r>
        <w:rPr>
          <w:spacing w:val="-3"/>
        </w:rPr>
        <w:t>范围</w:t>
      </w:r>
      <w:r>
        <w:rPr>
          <w:rFonts w:ascii="Times New Roman" w:eastAsia="Times New Roman"/>
          <w:spacing w:val="-3"/>
        </w:rPr>
        <w:tab/>
      </w:r>
      <w:r>
        <w:t>1</w:t>
      </w:r>
    </w:p>
    <w:p>
      <w:pPr>
        <w:pStyle w:val="BodyText"/>
        <w:tabs>
          <w:tab w:val="left" w:leader="dot" w:pos="9502"/>
        </w:tabs>
        <w:spacing w:before="132"/>
        <w:ind w:left="358"/>
      </w:pPr>
      <w:r>
        <w:t xml:space="preserve">2 </w:t>
      </w:r>
      <w:r>
        <w:rPr>
          <w:spacing w:val="5"/>
        </w:rPr>
        <w:t xml:space="preserve"> </w:t>
      </w:r>
      <w:r>
        <w:rPr>
          <w:spacing w:val="-3"/>
        </w:rPr>
        <w:t>规</w:t>
      </w:r>
      <w:r>
        <w:t>范</w:t>
      </w:r>
      <w:r>
        <w:rPr>
          <w:spacing w:val="-3"/>
        </w:rPr>
        <w:t>性</w:t>
      </w:r>
      <w:r>
        <w:t>引</w:t>
      </w:r>
      <w:r>
        <w:rPr>
          <w:spacing w:val="-3"/>
        </w:rPr>
        <w:t>用</w:t>
      </w:r>
      <w:r>
        <w:t>文件</w:t>
      </w:r>
      <w:r>
        <w:rPr>
          <w:rFonts w:ascii="Times New Roman" w:eastAsia="Times New Roman"/>
        </w:rPr>
        <w:tab/>
      </w:r>
      <w:r>
        <w:t>1</w:t>
      </w:r>
    </w:p>
    <w:p>
      <w:pPr>
        <w:pStyle w:val="BodyText"/>
        <w:tabs>
          <w:tab w:val="left" w:leader="dot" w:pos="9502"/>
        </w:tabs>
        <w:spacing w:before="130"/>
        <w:ind w:left="358"/>
      </w:pPr>
      <w:r>
        <w:t xml:space="preserve">3 </w:t>
      </w:r>
      <w:r>
        <w:rPr>
          <w:spacing w:val="4"/>
        </w:rPr>
        <w:t xml:space="preserve"> </w:t>
      </w:r>
      <w:r>
        <w:rPr>
          <w:spacing w:val="-3"/>
        </w:rPr>
        <w:t>术</w:t>
      </w:r>
      <w:r>
        <w:t>语</w:t>
      </w:r>
      <w:r>
        <w:rPr>
          <w:spacing w:val="-3"/>
        </w:rPr>
        <w:t>和</w:t>
      </w:r>
      <w:r>
        <w:t>定义</w:t>
      </w:r>
      <w:r>
        <w:rPr>
          <w:rFonts w:ascii="Times New Roman" w:eastAsia="Times New Roman"/>
        </w:rPr>
        <w:tab/>
      </w:r>
      <w:r>
        <w:t>1</w:t>
      </w:r>
    </w:p>
    <w:p>
      <w:pPr>
        <w:pStyle w:val="BodyText"/>
        <w:tabs>
          <w:tab w:val="left" w:leader="dot" w:pos="9502"/>
        </w:tabs>
        <w:spacing w:before="132"/>
        <w:ind w:left="358"/>
      </w:pPr>
      <w:r>
        <w:t xml:space="preserve">4 </w:t>
      </w:r>
      <w:r>
        <w:rPr>
          <w:spacing w:val="2"/>
        </w:rPr>
        <w:t xml:space="preserve"> </w:t>
      </w:r>
      <w:r>
        <w:rPr>
          <w:spacing w:val="-3"/>
        </w:rPr>
        <w:t>品种</w:t>
      </w:r>
      <w:r>
        <w:rPr>
          <w:rFonts w:ascii="Times New Roman" w:eastAsia="Times New Roman"/>
          <w:spacing w:val="-3"/>
        </w:rPr>
        <w:tab/>
      </w:r>
      <w:r>
        <w:t>1</w:t>
      </w:r>
    </w:p>
    <w:p>
      <w:pPr>
        <w:pStyle w:val="BodyText"/>
        <w:tabs>
          <w:tab w:val="left" w:leader="dot" w:pos="9502"/>
        </w:tabs>
        <w:spacing w:before="131"/>
        <w:ind w:left="358"/>
      </w:pPr>
      <w:r>
        <w:t xml:space="preserve">5 </w:t>
      </w:r>
      <w:r>
        <w:rPr>
          <w:spacing w:val="5"/>
        </w:rPr>
        <w:t xml:space="preserve"> </w:t>
      </w:r>
      <w:r>
        <w:rPr>
          <w:spacing w:val="-3"/>
        </w:rPr>
        <w:t>父</w:t>
      </w:r>
      <w:r>
        <w:t>母</w:t>
      </w:r>
      <w:r>
        <w:rPr>
          <w:spacing w:val="-3"/>
        </w:rPr>
        <w:t>代</w:t>
      </w:r>
      <w:r>
        <w:t>饲</w:t>
      </w:r>
      <w:r>
        <w:rPr>
          <w:spacing w:val="-3"/>
        </w:rPr>
        <w:t>养</w:t>
      </w:r>
      <w:r>
        <w:t>管理</w:t>
      </w:r>
      <w:r>
        <w:rPr>
          <w:rFonts w:ascii="Times New Roman" w:eastAsia="Times New Roman"/>
        </w:rPr>
        <w:tab/>
      </w:r>
      <w:r>
        <w:t>2</w:t>
      </w:r>
    </w:p>
    <w:p>
      <w:pPr>
        <w:pStyle w:val="BodyText"/>
        <w:tabs>
          <w:tab w:val="left" w:leader="dot" w:pos="9502"/>
        </w:tabs>
        <w:spacing w:before="130"/>
        <w:ind w:left="358"/>
      </w:pPr>
      <w:r>
        <w:t xml:space="preserve">6 </w:t>
      </w:r>
      <w:r>
        <w:rPr>
          <w:spacing w:val="5"/>
        </w:rPr>
        <w:t xml:space="preserve"> </w:t>
      </w:r>
      <w:r>
        <w:rPr>
          <w:spacing w:val="-3"/>
        </w:rPr>
        <w:t>商</w:t>
      </w:r>
      <w:r>
        <w:t>品</w:t>
      </w:r>
      <w:r>
        <w:rPr>
          <w:spacing w:val="-3"/>
        </w:rPr>
        <w:t>代</w:t>
      </w:r>
      <w:r>
        <w:t>饲</w:t>
      </w:r>
      <w:r>
        <w:rPr>
          <w:spacing w:val="-3"/>
        </w:rPr>
        <w:t>养</w:t>
      </w:r>
      <w:r>
        <w:t>管理</w:t>
      </w:r>
      <w:r>
        <w:rPr>
          <w:rFonts w:ascii="Times New Roman" w:eastAsia="Times New Roman"/>
        </w:rPr>
        <w:tab/>
      </w:r>
      <w:r>
        <w:t>5</w:t>
      </w:r>
    </w:p>
    <w:p>
      <w:pPr>
        <w:pStyle w:val="BodyText"/>
        <w:tabs>
          <w:tab w:val="left" w:leader="dot" w:pos="9502"/>
        </w:tabs>
        <w:spacing w:before="131"/>
        <w:ind w:left="358"/>
      </w:pPr>
      <w:r>
        <w:t xml:space="preserve">7 </w:t>
      </w:r>
      <w:r>
        <w:rPr>
          <w:spacing w:val="8"/>
        </w:rPr>
        <w:t xml:space="preserve"> </w:t>
      </w:r>
      <w:r>
        <w:rPr>
          <w:spacing w:val="-3"/>
        </w:rPr>
        <w:t>无</w:t>
      </w:r>
      <w:r>
        <w:t>害</w:t>
      </w:r>
      <w:r>
        <w:rPr>
          <w:spacing w:val="-3"/>
        </w:rPr>
        <w:t>化</w:t>
      </w:r>
      <w:r>
        <w:t>处</w:t>
      </w:r>
      <w:r>
        <w:rPr>
          <w:spacing w:val="-3"/>
        </w:rPr>
        <w:t>理</w:t>
      </w:r>
      <w:r>
        <w:t>与</w:t>
      </w:r>
      <w:r>
        <w:rPr>
          <w:spacing w:val="-3"/>
        </w:rPr>
        <w:t>污</w:t>
      </w:r>
      <w:r>
        <w:t>染</w:t>
      </w:r>
      <w:r>
        <w:rPr>
          <w:spacing w:val="-3"/>
        </w:rPr>
        <w:t>物排</w:t>
      </w:r>
      <w:r>
        <w:t>放</w:t>
      </w:r>
      <w:r>
        <w:rPr>
          <w:rFonts w:ascii="Times New Roman" w:eastAsia="Times New Roman"/>
        </w:rPr>
        <w:tab/>
      </w:r>
      <w:r>
        <w:t>6</w:t>
      </w:r>
    </w:p>
    <w:p>
      <w:pPr>
        <w:pStyle w:val="BodyText"/>
        <w:tabs>
          <w:tab w:val="left" w:leader="dot" w:pos="9502"/>
        </w:tabs>
        <w:spacing w:before="132"/>
        <w:ind w:left="358"/>
      </w:pPr>
      <w:r>
        <w:t>附录</w:t>
      </w:r>
      <w:r>
        <w:rPr>
          <w:spacing w:val="-52"/>
        </w:rPr>
        <w:t xml:space="preserve"> </w:t>
      </w:r>
      <w:r>
        <w:t>A（</w:t>
      </w:r>
      <w:r>
        <w:rPr>
          <w:spacing w:val="-3"/>
        </w:rPr>
        <w:t>资</w:t>
      </w:r>
      <w:r>
        <w:t>料</w:t>
      </w:r>
      <w:r>
        <w:rPr>
          <w:spacing w:val="-3"/>
        </w:rPr>
        <w:t>性</w:t>
      </w:r>
      <w:r>
        <w:t xml:space="preserve">） </w:t>
      </w:r>
      <w:r>
        <w:rPr>
          <w:spacing w:val="6"/>
        </w:rPr>
        <w:t xml:space="preserve"> </w:t>
      </w:r>
      <w:r>
        <w:t>体</w:t>
      </w:r>
      <w:r>
        <w:rPr>
          <w:spacing w:val="-3"/>
        </w:rPr>
        <w:t>型</w:t>
      </w:r>
      <w:r>
        <w:t>外貌</w:t>
      </w:r>
      <w:r>
        <w:rPr>
          <w:spacing w:val="-3"/>
        </w:rPr>
        <w:t>特</w:t>
      </w:r>
      <w:r>
        <w:t>征</w:t>
      </w:r>
      <w:r>
        <w:rPr>
          <w:rFonts w:ascii="Times New Roman" w:eastAsia="Times New Roman"/>
        </w:rPr>
        <w:tab/>
      </w:r>
      <w:r>
        <w:t>7</w:t>
      </w:r>
    </w:p>
    <w:p>
      <w:pPr>
        <w:pStyle w:val="BodyText"/>
        <w:tabs>
          <w:tab w:val="left" w:leader="dot" w:pos="9502"/>
        </w:tabs>
        <w:spacing w:before="129"/>
        <w:ind w:left="358"/>
      </w:pPr>
      <w:r>
        <w:t>附录</w:t>
      </w:r>
      <w:r>
        <w:rPr>
          <w:spacing w:val="-52"/>
        </w:rPr>
        <w:t xml:space="preserve"> </w:t>
      </w:r>
      <w:r>
        <w:t>B（</w:t>
      </w:r>
      <w:r>
        <w:rPr>
          <w:spacing w:val="-3"/>
        </w:rPr>
        <w:t>规</w:t>
      </w:r>
      <w:r>
        <w:t>范</w:t>
      </w:r>
      <w:r>
        <w:rPr>
          <w:spacing w:val="-3"/>
        </w:rPr>
        <w:t>性</w:t>
      </w:r>
      <w:r>
        <w:t xml:space="preserve">） </w:t>
      </w:r>
      <w:r>
        <w:rPr>
          <w:spacing w:val="4"/>
        </w:rPr>
        <w:t xml:space="preserve"> </w:t>
      </w:r>
      <w:r>
        <w:t>生</w:t>
      </w:r>
      <w:r>
        <w:rPr>
          <w:spacing w:val="-3"/>
        </w:rPr>
        <w:t>产</w:t>
      </w:r>
      <w:r>
        <w:t>性能</w:t>
      </w:r>
      <w:r>
        <w:rPr>
          <w:rFonts w:ascii="Times New Roman" w:eastAsia="Times New Roman"/>
        </w:rPr>
        <w:tab/>
      </w:r>
      <w:r>
        <w:t>8</w:t>
      </w:r>
    </w:p>
    <w:p>
      <w:pPr>
        <w:pStyle w:val="BodyText"/>
        <w:tabs>
          <w:tab w:val="left" w:leader="dot" w:pos="9396"/>
        </w:tabs>
        <w:spacing w:before="132"/>
        <w:ind w:left="358"/>
      </w:pPr>
      <w:r>
        <w:t>附录</w:t>
      </w:r>
      <w:r>
        <w:rPr>
          <w:spacing w:val="-51"/>
        </w:rPr>
        <w:t xml:space="preserve"> </w:t>
      </w:r>
      <w:r>
        <w:t>C（</w:t>
      </w:r>
      <w:r>
        <w:rPr>
          <w:spacing w:val="-3"/>
        </w:rPr>
        <w:t>资</w:t>
      </w:r>
      <w:r>
        <w:t>料</w:t>
      </w:r>
      <w:r>
        <w:rPr>
          <w:spacing w:val="-3"/>
        </w:rPr>
        <w:t>性</w:t>
      </w:r>
      <w:r>
        <w:t xml:space="preserve">） </w:t>
      </w:r>
      <w:r>
        <w:rPr>
          <w:spacing w:val="8"/>
        </w:rPr>
        <w:t xml:space="preserve"> </w:t>
      </w:r>
      <w:r>
        <w:t>体</w:t>
      </w:r>
      <w:r>
        <w:rPr>
          <w:spacing w:val="-3"/>
        </w:rPr>
        <w:t>重</w:t>
      </w:r>
      <w:r>
        <w:t>、产</w:t>
      </w:r>
      <w:r>
        <w:rPr>
          <w:spacing w:val="-3"/>
        </w:rPr>
        <w:t>蛋</w:t>
      </w:r>
      <w:r>
        <w:t>率</w:t>
      </w:r>
      <w:r>
        <w:rPr>
          <w:spacing w:val="-3"/>
        </w:rPr>
        <w:t>与</w:t>
      </w:r>
      <w:r>
        <w:t>喂</w:t>
      </w:r>
      <w:r>
        <w:rPr>
          <w:spacing w:val="-3"/>
        </w:rPr>
        <w:t>料</w:t>
      </w:r>
      <w:r>
        <w:t>量</w:t>
      </w:r>
      <w:r>
        <w:rPr>
          <w:rFonts w:ascii="Times New Roman" w:eastAsia="Times New Roman"/>
        </w:rPr>
        <w:tab/>
      </w:r>
      <w:r>
        <w:t>10</w:t>
      </w:r>
    </w:p>
    <w:p>
      <w:pPr>
        <w:pStyle w:val="BodyText"/>
        <w:tabs>
          <w:tab w:val="left" w:leader="dot" w:pos="9396"/>
        </w:tabs>
        <w:spacing w:before="132"/>
        <w:ind w:left="358"/>
      </w:pPr>
      <w:r>
        <w:t>附录</w:t>
      </w:r>
      <w:r>
        <w:rPr>
          <w:spacing w:val="-52"/>
        </w:rPr>
        <w:t xml:space="preserve"> </w:t>
      </w:r>
      <w:r>
        <w:t>D（</w:t>
      </w:r>
      <w:r>
        <w:rPr>
          <w:spacing w:val="-3"/>
        </w:rPr>
        <w:t>资</w:t>
      </w:r>
      <w:r>
        <w:t>料</w:t>
      </w:r>
      <w:r>
        <w:rPr>
          <w:spacing w:val="-3"/>
        </w:rPr>
        <w:t>性</w:t>
      </w:r>
      <w:r>
        <w:t xml:space="preserve">） </w:t>
      </w:r>
      <w:r>
        <w:rPr>
          <w:spacing w:val="4"/>
        </w:rPr>
        <w:t xml:space="preserve"> </w:t>
      </w:r>
      <w:r>
        <w:t>营</w:t>
      </w:r>
      <w:r>
        <w:rPr>
          <w:spacing w:val="-3"/>
        </w:rPr>
        <w:t>养</w:t>
      </w:r>
      <w:r>
        <w:t>需求</w:t>
      </w:r>
      <w:r>
        <w:rPr>
          <w:rFonts w:ascii="Times New Roman" w:eastAsia="Times New Roman"/>
        </w:rPr>
        <w:tab/>
      </w:r>
      <w:r>
        <w:t>12</w:t>
      </w:r>
    </w:p>
    <w:p>
      <w:pPr>
        <w:pStyle w:val="BodyText"/>
        <w:tabs>
          <w:tab w:val="left" w:leader="dot" w:pos="9396"/>
        </w:tabs>
        <w:spacing w:before="130"/>
        <w:ind w:left="358"/>
      </w:pPr>
      <w:r>
        <w:t>附录</w:t>
      </w:r>
      <w:r>
        <w:rPr>
          <w:spacing w:val="-52"/>
        </w:rPr>
        <w:t xml:space="preserve"> </w:t>
      </w:r>
      <w:r>
        <w:t>E（</w:t>
      </w:r>
      <w:r>
        <w:rPr>
          <w:spacing w:val="-3"/>
        </w:rPr>
        <w:t>资</w:t>
      </w:r>
      <w:r>
        <w:t>料</w:t>
      </w:r>
      <w:r>
        <w:rPr>
          <w:spacing w:val="-3"/>
        </w:rPr>
        <w:t>性</w:t>
      </w:r>
      <w:r>
        <w:t xml:space="preserve">） </w:t>
      </w:r>
      <w:r>
        <w:rPr>
          <w:spacing w:val="4"/>
        </w:rPr>
        <w:t xml:space="preserve"> </w:t>
      </w:r>
      <w:r>
        <w:t>免</w:t>
      </w:r>
      <w:r>
        <w:rPr>
          <w:spacing w:val="-3"/>
        </w:rPr>
        <w:t>疫</w:t>
      </w:r>
      <w:r>
        <w:t>程序</w:t>
      </w:r>
      <w:r>
        <w:rPr>
          <w:rFonts w:ascii="Times New Roman" w:eastAsia="Times New Roman"/>
        </w:rPr>
        <w:tab/>
      </w:r>
      <w:r>
        <w:t>14</w:t>
      </w:r>
    </w:p>
    <w:p>
      <w:pPr>
        <w:pStyle w:val="BodyText"/>
        <w:tabs>
          <w:tab w:val="left" w:leader="dot" w:pos="9396"/>
        </w:tabs>
        <w:spacing w:before="131"/>
        <w:ind w:left="358"/>
      </w:pPr>
      <w:r>
        <w:t>附录</w:t>
      </w:r>
      <w:r>
        <w:rPr>
          <w:spacing w:val="-51"/>
        </w:rPr>
        <w:t xml:space="preserve"> </w:t>
      </w:r>
      <w:r>
        <w:t>F（</w:t>
      </w:r>
      <w:r>
        <w:rPr>
          <w:spacing w:val="-3"/>
        </w:rPr>
        <w:t>资</w:t>
      </w:r>
      <w:r>
        <w:t>料</w:t>
      </w:r>
      <w:r>
        <w:rPr>
          <w:spacing w:val="-3"/>
        </w:rPr>
        <w:t>性</w:t>
      </w:r>
      <w:r>
        <w:t xml:space="preserve">） </w:t>
      </w:r>
      <w:r>
        <w:rPr>
          <w:spacing w:val="7"/>
        </w:rPr>
        <w:t xml:space="preserve"> </w:t>
      </w:r>
      <w:r>
        <w:t>雏</w:t>
      </w:r>
      <w:r>
        <w:rPr>
          <w:spacing w:val="-3"/>
        </w:rPr>
        <w:t>鸡</w:t>
      </w:r>
      <w:r>
        <w:t>快慢</w:t>
      </w:r>
      <w:r>
        <w:rPr>
          <w:spacing w:val="-3"/>
        </w:rPr>
        <w:t>羽</w:t>
      </w:r>
      <w:r>
        <w:t>鉴</w:t>
      </w:r>
      <w:r>
        <w:rPr>
          <w:spacing w:val="-3"/>
        </w:rPr>
        <w:t>别</w:t>
      </w:r>
      <w:r>
        <w:t>图谱</w:t>
      </w:r>
      <w:r>
        <w:rPr>
          <w:rFonts w:ascii="Times New Roman" w:eastAsia="Times New Roman"/>
        </w:rPr>
        <w:tab/>
      </w:r>
      <w:r>
        <w:t>16</w:t>
      </w:r>
    </w:p>
    <w:p>
      <w:pPr>
        <w:spacing w:after="0"/>
        <w:sectPr>
          <w:headerReference w:type="default" r:id="rId5"/>
          <w:footerReference w:type="default" r:id="rId6"/>
          <w:pgSz w:w="11910" w:h="16840"/>
          <w:pgMar w:top="1640" w:right="720" w:bottom="1340" w:left="1060" w:header="1448" w:footer="1140"/>
          <w:pgNumType w:start="3"/>
          <w:cols w:space="708"/>
        </w:sectPr>
      </w:pPr>
    </w:p>
    <w:p>
      <w:pPr>
        <w:pStyle w:val="BodyText"/>
        <w:rPr>
          <w:sz w:val="20"/>
        </w:rPr>
      </w:pPr>
      <w:r>
        <w:drawing>
          <wp:anchor distT="0" distB="0" distL="0" distR="0" simplePos="0" relativeHeight="25166336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rPr>
          <w:sz w:val="20"/>
        </w:rPr>
      </w:pPr>
    </w:p>
    <w:p>
      <w:pPr>
        <w:pStyle w:val="BodyText"/>
        <w:spacing w:before="7"/>
        <w:rPr>
          <w:sz w:val="18"/>
        </w:rPr>
      </w:pPr>
    </w:p>
    <w:p>
      <w:pPr>
        <w:pStyle w:val="Heading1"/>
        <w:tabs>
          <w:tab w:val="left" w:pos="1323"/>
        </w:tabs>
        <w:ind w:left="363"/>
      </w:pPr>
      <w:r>
        <w:t>前</w:t>
        <w:tab/>
        <w:t>言</w:t>
      </w:r>
    </w:p>
    <w:p>
      <w:pPr>
        <w:pStyle w:val="BodyText"/>
        <w:spacing w:before="11"/>
        <w:rPr>
          <w:rFonts w:ascii="黑体"/>
          <w:sz w:val="46"/>
        </w:rPr>
      </w:pPr>
    </w:p>
    <w:p>
      <w:pPr>
        <w:pStyle w:val="BodyText"/>
        <w:spacing w:line="278" w:lineRule="auto"/>
        <w:ind w:left="358" w:right="347" w:firstLine="420"/>
      </w:pPr>
      <w:r>
        <w:t>本文件按照</w:t>
      </w:r>
      <w:r>
        <w:rPr>
          <w:rFonts w:ascii="Times New Roman" w:eastAsia="Times New Roman" w:hAnsi="Times New Roman"/>
        </w:rPr>
        <w:t>GB/T 1.1—2020</w:t>
      </w:r>
      <w:r>
        <w:t>《标准化工作导则 第</w:t>
      </w:r>
      <w:r>
        <w:rPr>
          <w:rFonts w:ascii="Times New Roman" w:eastAsia="Times New Roman" w:hAnsi="Times New Roman"/>
        </w:rPr>
        <w:t>1</w:t>
      </w:r>
      <w:r>
        <w:t>部分：标准化文件的结构和起草规则》的规定起草。</w:t>
      </w:r>
    </w:p>
    <w:p>
      <w:pPr>
        <w:pStyle w:val="BodyText"/>
        <w:spacing w:line="278" w:lineRule="auto"/>
        <w:ind w:left="778" w:right="1568"/>
      </w:pPr>
      <w:r>
        <w:t>请注意本文件的某些内容可能涉及专利。本文件的发布机构不承担识别专利的责任。本文件由四川省农业农村厅提出、归口并解释。</w:t>
      </w:r>
    </w:p>
    <w:p>
      <w:pPr>
        <w:pStyle w:val="BodyText"/>
        <w:ind w:left="778"/>
      </w:pPr>
      <w:r>
        <w:t>本文件起草单位：四川省畜牧科学研究院、四川大恒家禽育种有限公司。</w:t>
      </w:r>
    </w:p>
    <w:p>
      <w:pPr>
        <w:pStyle w:val="BodyText"/>
        <w:spacing w:before="43" w:line="278" w:lineRule="auto"/>
        <w:ind w:left="358" w:right="310" w:firstLine="420"/>
      </w:pPr>
      <w:r>
        <w:t>本文件主要起草人：余春林、杨朝武、邱莫寒、张增荣、熊霞、杨礼、胡陈明、蒋小松、杜华锐、李晴云、朱师良、夏波、彭涵、宋小燕、陈家磊、刘思洋。</w:t>
      </w:r>
    </w:p>
    <w:p>
      <w:pPr>
        <w:pStyle w:val="BodyText"/>
        <w:spacing w:line="269" w:lineRule="exact"/>
        <w:ind w:left="778"/>
      </w:pPr>
      <w:r>
        <w:t>本文件为首次发布。</w:t>
      </w:r>
    </w:p>
    <w:p>
      <w:pPr>
        <w:spacing w:after="0" w:line="269" w:lineRule="exact"/>
        <w:sectPr>
          <w:headerReference w:type="default" r:id="rId7"/>
          <w:footerReference w:type="default" r:id="rId8"/>
          <w:pgSz w:w="11910" w:h="16840"/>
          <w:pgMar w:top="1640" w:right="720" w:bottom="1340" w:left="1060" w:header="1448" w:footer="1140"/>
          <w:pgNumType w:start="4"/>
          <w:cols w:space="708"/>
        </w:sectPr>
      </w:pPr>
    </w:p>
    <w:p>
      <w:pPr>
        <w:pStyle w:val="BodyText"/>
        <w:spacing w:before="2"/>
        <w:rPr>
          <w:sz w:val="19"/>
        </w:rPr>
      </w:pPr>
      <w:r>
        <w:drawing>
          <wp:anchor distT="0" distB="0" distL="0" distR="0" simplePos="0" relativeHeight="25166438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Heading1"/>
        <w:spacing w:before="65"/>
        <w:ind w:right="53"/>
      </w:pPr>
      <w:r>
        <w:t xml:space="preserve">大恒 </w:t>
      </w:r>
      <w:r>
        <w:rPr>
          <w:rFonts w:ascii="Times New Roman" w:eastAsia="Times New Roman"/>
        </w:rPr>
        <w:t xml:space="preserve">799 </w:t>
      </w:r>
      <w:r>
        <w:t>肉鸡配套系及饲养管理技术规程</w:t>
      </w:r>
    </w:p>
    <w:p>
      <w:pPr>
        <w:pStyle w:val="BodyText"/>
        <w:rPr>
          <w:rFonts w:ascii="黑体"/>
          <w:sz w:val="20"/>
        </w:rPr>
      </w:pPr>
    </w:p>
    <w:p>
      <w:pPr>
        <w:pStyle w:val="BodyText"/>
        <w:spacing w:before="1"/>
        <w:rPr>
          <w:rFonts w:ascii="黑体"/>
          <w:sz w:val="29"/>
        </w:rPr>
      </w:pPr>
    </w:p>
    <w:p>
      <w:pPr>
        <w:pStyle w:val="ListParagraph"/>
        <w:numPr>
          <w:ilvl w:val="0"/>
          <w:numId w:val="9"/>
        </w:numPr>
        <w:tabs>
          <w:tab w:val="left" w:pos="674"/>
        </w:tabs>
        <w:spacing w:before="72" w:after="0" w:line="240" w:lineRule="auto"/>
        <w:ind w:left="673" w:right="0" w:hanging="316"/>
        <w:jc w:val="left"/>
        <w:rPr>
          <w:sz w:val="21"/>
        </w:rPr>
      </w:pPr>
      <w:r>
        <w:rPr>
          <w:sz w:val="21"/>
        </w:rPr>
        <w:t>范围</w:t>
      </w:r>
    </w:p>
    <w:p>
      <w:pPr>
        <w:pStyle w:val="BodyText"/>
        <w:spacing w:before="8"/>
        <w:rPr>
          <w:rFonts w:ascii="黑体"/>
          <w:sz w:val="27"/>
        </w:rPr>
      </w:pPr>
    </w:p>
    <w:p>
      <w:pPr>
        <w:pStyle w:val="BodyText"/>
        <w:spacing w:before="1" w:line="278" w:lineRule="auto"/>
        <w:ind w:left="358" w:right="406" w:firstLine="420"/>
      </w:pPr>
      <w:r>
        <w:t>本文件规定了大恒</w:t>
      </w:r>
      <w:r>
        <w:rPr>
          <w:rFonts w:ascii="Times New Roman" w:eastAsia="Times New Roman"/>
        </w:rPr>
        <w:t>799</w:t>
      </w:r>
      <w:r>
        <w:t>肉鸡配套系的品种来源和特性、体型外貌、生产性能、父母代饲养管理、商品代饲养管理及无害化处理与污染物排放。</w:t>
      </w:r>
    </w:p>
    <w:p>
      <w:pPr>
        <w:pStyle w:val="BodyText"/>
        <w:spacing w:line="269" w:lineRule="exact"/>
        <w:ind w:left="778"/>
      </w:pPr>
      <w:r>
        <w:t>本文件适用于大恒</w:t>
      </w:r>
      <w:r>
        <w:rPr>
          <w:rFonts w:ascii="Times New Roman" w:eastAsia="Times New Roman"/>
        </w:rPr>
        <w:t>799</w:t>
      </w:r>
      <w:r>
        <w:t>肉鸡配套系的鉴别及饲养管理。</w:t>
      </w:r>
    </w:p>
    <w:p>
      <w:pPr>
        <w:pStyle w:val="BodyText"/>
        <w:spacing w:before="11"/>
        <w:rPr>
          <w:sz w:val="27"/>
        </w:rPr>
      </w:pPr>
    </w:p>
    <w:p>
      <w:pPr>
        <w:pStyle w:val="ListParagraph"/>
        <w:numPr>
          <w:ilvl w:val="0"/>
          <w:numId w:val="9"/>
        </w:numPr>
        <w:tabs>
          <w:tab w:val="left" w:pos="674"/>
        </w:tabs>
        <w:spacing w:before="1" w:after="0" w:line="240" w:lineRule="auto"/>
        <w:ind w:left="673" w:right="0" w:hanging="316"/>
        <w:jc w:val="left"/>
        <w:rPr>
          <w:sz w:val="21"/>
        </w:rPr>
      </w:pPr>
      <w:r>
        <w:rPr>
          <w:spacing w:val="-2"/>
          <w:sz w:val="21"/>
        </w:rPr>
        <w:t>规范性引用文件</w:t>
      </w:r>
    </w:p>
    <w:p>
      <w:pPr>
        <w:pStyle w:val="BodyText"/>
        <w:spacing w:before="6"/>
        <w:rPr>
          <w:rFonts w:ascii="黑体"/>
          <w:sz w:val="27"/>
        </w:rPr>
      </w:pPr>
    </w:p>
    <w:p>
      <w:pPr>
        <w:pStyle w:val="BodyText"/>
        <w:spacing w:line="278" w:lineRule="auto"/>
        <w:ind w:left="358" w:right="300" w:firstLine="420"/>
      </w:pPr>
      <w:r>
        <w:rPr>
          <w:spacing w:val="-10"/>
        </w:rPr>
        <w:t xml:space="preserve">下列文件中的内容通过文中的规范性引用而构成本文件必不可少的条款。其中，注日期的引用文件， </w:t>
      </w:r>
      <w:r>
        <w:rPr>
          <w:spacing w:val="-9"/>
        </w:rPr>
        <w:t>仅该日期对应的版本适用于本文件；不注日期的引用文件，其最新版本</w:t>
      </w:r>
      <w:r>
        <w:t>（</w:t>
      </w:r>
      <w:r>
        <w:rPr>
          <w:spacing w:val="-3"/>
        </w:rPr>
        <w:t>包括所有的修改单</w:t>
      </w:r>
      <w:r>
        <w:rPr>
          <w:spacing w:val="-27"/>
        </w:rPr>
        <w:t>）</w:t>
      </w:r>
      <w:r>
        <w:rPr>
          <w:spacing w:val="-3"/>
        </w:rPr>
        <w:t>适用于本文件。</w:t>
      </w:r>
    </w:p>
    <w:p>
      <w:pPr>
        <w:pStyle w:val="BodyText"/>
        <w:spacing w:line="269" w:lineRule="exact"/>
        <w:ind w:left="778"/>
      </w:pPr>
      <w:r>
        <w:rPr>
          <w:rFonts w:ascii="Times New Roman" w:eastAsia="Times New Roman"/>
        </w:rPr>
        <w:t xml:space="preserve">GB/T 16550 </w:t>
      </w:r>
      <w:r>
        <w:rPr>
          <w:spacing w:val="-3"/>
        </w:rPr>
        <w:t>新城疫诊断技术</w:t>
      </w:r>
    </w:p>
    <w:p>
      <w:pPr>
        <w:pStyle w:val="BodyText"/>
        <w:spacing w:before="43"/>
        <w:ind w:left="778"/>
      </w:pPr>
      <w:r>
        <w:rPr>
          <w:rFonts w:ascii="Times New Roman" w:eastAsia="Times New Roman"/>
        </w:rPr>
        <w:t>GB</w:t>
      </w:r>
      <w:r>
        <w:rPr>
          <w:rFonts w:ascii="Times New Roman" w:eastAsia="Times New Roman"/>
          <w:spacing w:val="3"/>
        </w:rPr>
        <w:t xml:space="preserve"> </w:t>
      </w:r>
      <w:r>
        <w:rPr>
          <w:rFonts w:ascii="Times New Roman" w:eastAsia="Times New Roman"/>
        </w:rPr>
        <w:t>18596</w:t>
      </w:r>
      <w:r>
        <w:rPr>
          <w:rFonts w:ascii="Times New Roman" w:eastAsia="Times New Roman"/>
          <w:spacing w:val="4"/>
        </w:rPr>
        <w:t xml:space="preserve">  </w:t>
      </w:r>
      <w:r>
        <w:rPr>
          <w:spacing w:val="-3"/>
        </w:rPr>
        <w:t>畜禽养殖业污染物排放标准</w:t>
      </w:r>
    </w:p>
    <w:p>
      <w:pPr>
        <w:pStyle w:val="BodyText"/>
        <w:spacing w:before="43"/>
        <w:ind w:left="778"/>
      </w:pPr>
      <w:r>
        <w:rPr>
          <w:rFonts w:ascii="Times New Roman" w:eastAsia="Times New Roman"/>
        </w:rPr>
        <w:t>GB/T</w:t>
      </w:r>
      <w:r>
        <w:rPr>
          <w:rFonts w:ascii="Times New Roman" w:eastAsia="Times New Roman"/>
          <w:spacing w:val="4"/>
        </w:rPr>
        <w:t xml:space="preserve"> </w:t>
      </w:r>
      <w:r>
        <w:rPr>
          <w:rFonts w:ascii="Times New Roman" w:eastAsia="Times New Roman"/>
        </w:rPr>
        <w:t>18936</w:t>
      </w:r>
      <w:r>
        <w:rPr>
          <w:rFonts w:ascii="Times New Roman" w:eastAsia="Times New Roman"/>
          <w:spacing w:val="3"/>
        </w:rPr>
        <w:t xml:space="preserve">  </w:t>
      </w:r>
      <w:r>
        <w:rPr>
          <w:spacing w:val="-3"/>
        </w:rPr>
        <w:t>高致病性禽流感诊断技术</w:t>
      </w:r>
    </w:p>
    <w:p>
      <w:pPr>
        <w:pStyle w:val="BodyText"/>
        <w:spacing w:before="43"/>
        <w:ind w:left="778"/>
      </w:pPr>
      <w:r>
        <w:rPr>
          <w:rFonts w:ascii="Times New Roman" w:eastAsia="Times New Roman"/>
        </w:rPr>
        <w:t xml:space="preserve">GB/T 26623 </w:t>
      </w:r>
      <w:r>
        <w:rPr>
          <w:spacing w:val="-3"/>
        </w:rPr>
        <w:t>畜禽舍纵向通风系统设计规程</w:t>
      </w:r>
    </w:p>
    <w:p>
      <w:pPr>
        <w:pStyle w:val="BodyText"/>
        <w:spacing w:before="43"/>
        <w:ind w:left="778"/>
      </w:pPr>
      <w:r>
        <w:rPr>
          <w:rFonts w:ascii="Times New Roman" w:eastAsia="Times New Roman"/>
        </w:rPr>
        <w:t xml:space="preserve">NY/T 388 </w:t>
      </w:r>
      <w:r>
        <w:t>畜禽场环境质量标准</w:t>
      </w:r>
    </w:p>
    <w:p>
      <w:pPr>
        <w:pStyle w:val="BodyText"/>
        <w:spacing w:before="43"/>
        <w:ind w:left="778"/>
      </w:pPr>
      <w:r>
        <w:rPr>
          <w:rFonts w:ascii="Times New Roman" w:eastAsia="Times New Roman"/>
        </w:rPr>
        <w:t xml:space="preserve">NY/T 823 </w:t>
      </w:r>
      <w:r>
        <w:t>家禽生产性能名词术语和度量计算方法</w:t>
      </w:r>
    </w:p>
    <w:p>
      <w:pPr>
        <w:pStyle w:val="BodyText"/>
        <w:spacing w:before="43"/>
        <w:ind w:left="778"/>
      </w:pPr>
      <w:r>
        <w:rPr>
          <w:rFonts w:ascii="Times New Roman" w:eastAsia="Times New Roman"/>
        </w:rPr>
        <w:t>NY/T</w:t>
      </w:r>
      <w:r>
        <w:rPr>
          <w:rFonts w:ascii="Times New Roman" w:eastAsia="Times New Roman"/>
          <w:spacing w:val="3"/>
        </w:rPr>
        <w:t xml:space="preserve"> </w:t>
      </w:r>
      <w:r>
        <w:rPr>
          <w:rFonts w:ascii="Times New Roman" w:eastAsia="Times New Roman"/>
        </w:rPr>
        <w:t>1620</w:t>
      </w:r>
      <w:r>
        <w:rPr>
          <w:rFonts w:ascii="Times New Roman" w:eastAsia="Times New Roman"/>
          <w:spacing w:val="2"/>
        </w:rPr>
        <w:t xml:space="preserve">  </w:t>
      </w:r>
      <w:r>
        <w:rPr>
          <w:spacing w:val="-3"/>
        </w:rPr>
        <w:t>种鸡场动物卫生规范</w:t>
      </w:r>
    </w:p>
    <w:p>
      <w:pPr>
        <w:pStyle w:val="BodyText"/>
        <w:spacing w:before="43"/>
        <w:ind w:left="778"/>
      </w:pPr>
      <w:r>
        <w:rPr>
          <w:rFonts w:ascii="Times New Roman" w:eastAsia="Times New Roman"/>
        </w:rPr>
        <w:t>NY/T</w:t>
      </w:r>
      <w:r>
        <w:rPr>
          <w:rFonts w:ascii="Times New Roman" w:eastAsia="Times New Roman"/>
          <w:spacing w:val="3"/>
        </w:rPr>
        <w:t xml:space="preserve"> </w:t>
      </w:r>
      <w:r>
        <w:rPr>
          <w:rFonts w:ascii="Times New Roman" w:eastAsia="Times New Roman"/>
        </w:rPr>
        <w:t>3075</w:t>
      </w:r>
      <w:r>
        <w:rPr>
          <w:rFonts w:ascii="Times New Roman" w:eastAsia="Times New Roman"/>
          <w:spacing w:val="2"/>
        </w:rPr>
        <w:t xml:space="preserve">  </w:t>
      </w:r>
      <w:r>
        <w:rPr>
          <w:spacing w:val="-3"/>
        </w:rPr>
        <w:t>畜禽养殖场消毒技术</w:t>
      </w:r>
    </w:p>
    <w:p>
      <w:pPr>
        <w:pStyle w:val="BodyText"/>
        <w:spacing w:before="43"/>
        <w:ind w:left="778"/>
      </w:pPr>
      <w:r>
        <w:rPr>
          <w:rFonts w:ascii="Times New Roman" w:eastAsia="Times New Roman"/>
        </w:rPr>
        <w:t xml:space="preserve">NY 5027 </w:t>
      </w:r>
      <w:r>
        <w:t>无公害食品 畜禽饮用水水质</w:t>
      </w:r>
    </w:p>
    <w:p>
      <w:pPr>
        <w:pStyle w:val="BodyText"/>
        <w:spacing w:before="43"/>
        <w:ind w:left="778"/>
      </w:pPr>
      <w:r>
        <w:rPr>
          <w:rFonts w:ascii="Times New Roman" w:eastAsia="Times New Roman"/>
        </w:rPr>
        <w:t>DB51/T 680</w:t>
      </w:r>
      <w:r>
        <w:rPr>
          <w:rFonts w:ascii="Times New Roman" w:eastAsia="Times New Roman"/>
          <w:spacing w:val="51"/>
        </w:rPr>
        <w:t xml:space="preserve"> </w:t>
      </w:r>
      <w:r>
        <w:rPr>
          <w:spacing w:val="-3"/>
        </w:rPr>
        <w:t>种蛋收集包装运输贮存技术规程</w:t>
      </w:r>
    </w:p>
    <w:p>
      <w:pPr>
        <w:pStyle w:val="BodyText"/>
        <w:spacing w:before="11"/>
        <w:rPr>
          <w:sz w:val="27"/>
        </w:rPr>
      </w:pPr>
    </w:p>
    <w:p>
      <w:pPr>
        <w:pStyle w:val="ListParagraph"/>
        <w:numPr>
          <w:ilvl w:val="0"/>
          <w:numId w:val="9"/>
        </w:numPr>
        <w:tabs>
          <w:tab w:val="left" w:pos="674"/>
        </w:tabs>
        <w:spacing w:before="0" w:after="0" w:line="240" w:lineRule="auto"/>
        <w:ind w:left="673" w:right="0" w:hanging="316"/>
        <w:jc w:val="left"/>
        <w:rPr>
          <w:sz w:val="21"/>
        </w:rPr>
      </w:pPr>
      <w:r>
        <w:rPr>
          <w:spacing w:val="-1"/>
          <w:sz w:val="21"/>
        </w:rPr>
        <w:t>术语和定义</w:t>
      </w:r>
    </w:p>
    <w:p>
      <w:pPr>
        <w:pStyle w:val="BodyText"/>
        <w:spacing w:before="7"/>
        <w:rPr>
          <w:rFonts w:ascii="黑体"/>
          <w:sz w:val="27"/>
        </w:rPr>
      </w:pPr>
    </w:p>
    <w:p>
      <w:pPr>
        <w:pStyle w:val="BodyText"/>
        <w:ind w:left="778"/>
      </w:pPr>
      <w:r>
        <w:t>本文件没有需要界定的术语和定义。</w:t>
      </w:r>
    </w:p>
    <w:p>
      <w:pPr>
        <w:pStyle w:val="BodyText"/>
        <w:spacing w:before="12"/>
        <w:rPr>
          <w:sz w:val="27"/>
        </w:rPr>
      </w:pPr>
    </w:p>
    <w:p>
      <w:pPr>
        <w:pStyle w:val="ListParagraph"/>
        <w:numPr>
          <w:ilvl w:val="0"/>
          <w:numId w:val="9"/>
        </w:numPr>
        <w:tabs>
          <w:tab w:val="left" w:pos="674"/>
        </w:tabs>
        <w:spacing w:before="0" w:after="0" w:line="240" w:lineRule="auto"/>
        <w:ind w:left="673" w:right="0" w:hanging="316"/>
        <w:jc w:val="left"/>
        <w:rPr>
          <w:sz w:val="21"/>
        </w:rPr>
      </w:pPr>
      <w:r>
        <w:rPr>
          <w:sz w:val="21"/>
        </w:rPr>
        <w:t>品种</w:t>
      </w:r>
    </w:p>
    <w:p>
      <w:pPr>
        <w:pStyle w:val="BodyText"/>
        <w:spacing w:before="12"/>
        <w:rPr>
          <w:rFonts w:ascii="黑体"/>
        </w:rPr>
      </w:pPr>
    </w:p>
    <w:p>
      <w:pPr>
        <w:pStyle w:val="ListParagraph"/>
        <w:numPr>
          <w:ilvl w:val="1"/>
          <w:numId w:val="9"/>
        </w:numPr>
        <w:tabs>
          <w:tab w:val="left" w:pos="885"/>
        </w:tabs>
        <w:spacing w:before="71" w:after="0" w:line="240" w:lineRule="auto"/>
        <w:ind w:left="884" w:right="0" w:hanging="527"/>
        <w:jc w:val="left"/>
        <w:rPr>
          <w:sz w:val="21"/>
        </w:rPr>
      </w:pPr>
      <w:r>
        <w:rPr>
          <w:spacing w:val="-2"/>
          <w:sz w:val="21"/>
        </w:rPr>
        <w:t>品种来源和特性</w:t>
      </w:r>
    </w:p>
    <w:p>
      <w:pPr>
        <w:pStyle w:val="BodyText"/>
        <w:spacing w:before="6"/>
        <w:rPr>
          <w:rFonts w:ascii="黑体"/>
          <w:sz w:val="9"/>
        </w:rPr>
      </w:pPr>
    </w:p>
    <w:p>
      <w:pPr>
        <w:pStyle w:val="BodyText"/>
        <w:spacing w:before="78" w:line="278" w:lineRule="auto"/>
        <w:ind w:left="358" w:right="300" w:firstLine="420"/>
      </w:pPr>
      <w:r>
        <w:t>大恒</w:t>
      </w:r>
      <w:r>
        <w:rPr>
          <w:rFonts w:ascii="Times New Roman" w:eastAsia="Times New Roman"/>
        </w:rPr>
        <w:t>799</w:t>
      </w:r>
      <w:r>
        <w:rPr>
          <w:spacing w:val="-3"/>
        </w:rPr>
        <w:t>肉鸡配套系为</w:t>
      </w:r>
      <w:r>
        <w:rPr>
          <w:rFonts w:ascii="Times New Roman" w:eastAsia="Times New Roman"/>
        </w:rPr>
        <w:t>2020</w:t>
      </w:r>
      <w:r>
        <w:t>年</w:t>
      </w:r>
      <w:r>
        <w:rPr>
          <w:rFonts w:ascii="Times New Roman" w:eastAsia="Times New Roman"/>
        </w:rPr>
        <w:t>12</w:t>
      </w:r>
      <w:r>
        <w:rPr>
          <w:spacing w:val="-5"/>
        </w:rPr>
        <w:t>月经国家畜禽遗传资源委员会审定通过的品种</w:t>
      </w:r>
      <w:r>
        <w:t>（</w:t>
      </w:r>
      <w:r>
        <w:rPr>
          <w:spacing w:val="-3"/>
        </w:rPr>
        <w:t>配套系</w:t>
      </w:r>
      <w:r>
        <w:rPr>
          <w:spacing w:val="-33"/>
        </w:rPr>
        <w:t>）</w:t>
      </w:r>
      <w:r>
        <w:rPr>
          <w:spacing w:val="-8"/>
        </w:rPr>
        <w:t>，证书号： 农</w:t>
      </w:r>
      <w:r>
        <w:rPr>
          <w:rFonts w:ascii="Times New Roman" w:eastAsia="Times New Roman"/>
          <w:spacing w:val="-8"/>
        </w:rPr>
        <w:t>09</w:t>
      </w:r>
      <w:r>
        <w:rPr>
          <w:spacing w:val="-3"/>
        </w:rPr>
        <w:t>新品种证字第</w:t>
      </w:r>
      <w:r>
        <w:rPr>
          <w:rFonts w:ascii="Times New Roman" w:eastAsia="Times New Roman"/>
        </w:rPr>
        <w:t>84</w:t>
      </w:r>
      <w:r>
        <w:rPr>
          <w:spacing w:val="-9"/>
        </w:rPr>
        <w:t>号。该配套系为三系配套，终端父系为</w:t>
      </w:r>
      <w:r>
        <w:rPr>
          <w:rFonts w:ascii="Times New Roman" w:eastAsia="Times New Roman"/>
        </w:rPr>
        <w:t>S08</w:t>
      </w:r>
      <w:r>
        <w:rPr>
          <w:spacing w:val="-7"/>
        </w:rPr>
        <w:t>系，第一父系为</w:t>
      </w:r>
      <w:r>
        <w:rPr>
          <w:rFonts w:ascii="Times New Roman" w:eastAsia="Times New Roman"/>
        </w:rPr>
        <w:t>S06M</w:t>
      </w:r>
      <w:r>
        <w:rPr>
          <w:spacing w:val="-8"/>
        </w:rPr>
        <w:t>系，母系为</w:t>
      </w:r>
      <w:r>
        <w:rPr>
          <w:rFonts w:ascii="Times New Roman" w:eastAsia="Times New Roman"/>
        </w:rPr>
        <w:t>S07</w:t>
      </w:r>
      <w:r>
        <w:t>系。</w:t>
      </w:r>
      <w:r>
        <w:rPr>
          <w:rFonts w:ascii="Times New Roman" w:eastAsia="Times New Roman"/>
        </w:rPr>
        <w:t>S08</w:t>
      </w:r>
      <w:r>
        <w:t>、</w:t>
      </w:r>
      <w:r>
        <w:rPr>
          <w:rFonts w:ascii="Times New Roman" w:eastAsia="Times New Roman"/>
        </w:rPr>
        <w:t>S06M</w:t>
      </w:r>
      <w:r>
        <w:rPr>
          <w:spacing w:val="-3"/>
        </w:rPr>
        <w:t>和</w:t>
      </w:r>
      <w:r>
        <w:rPr>
          <w:rFonts w:ascii="Times New Roman" w:eastAsia="Times New Roman"/>
        </w:rPr>
        <w:t>S07</w:t>
      </w:r>
      <w:r>
        <w:rPr>
          <w:spacing w:val="-2"/>
        </w:rPr>
        <w:t>三个纯系由大恒</w:t>
      </w:r>
      <w:r>
        <w:rPr>
          <w:rFonts w:ascii="Times New Roman" w:eastAsia="Times New Roman"/>
        </w:rPr>
        <w:t>S01</w:t>
      </w:r>
      <w:r>
        <w:rPr>
          <w:spacing w:val="-3"/>
        </w:rPr>
        <w:t>系、大恒</w:t>
      </w:r>
      <w:r>
        <w:rPr>
          <w:rFonts w:ascii="Times New Roman" w:eastAsia="Times New Roman"/>
        </w:rPr>
        <w:t>S02</w:t>
      </w:r>
      <w:r>
        <w:rPr>
          <w:spacing w:val="-3"/>
        </w:rPr>
        <w:t>系、大恒</w:t>
      </w:r>
      <w:r>
        <w:rPr>
          <w:rFonts w:ascii="Times New Roman" w:eastAsia="Times New Roman"/>
        </w:rPr>
        <w:t>S03</w:t>
      </w:r>
      <w:r>
        <w:rPr>
          <w:spacing w:val="-3"/>
        </w:rPr>
        <w:t>系、大恒</w:t>
      </w:r>
      <w:r>
        <w:rPr>
          <w:rFonts w:ascii="Times New Roman" w:eastAsia="Times New Roman"/>
        </w:rPr>
        <w:t>S05</w:t>
      </w:r>
      <w:r>
        <w:rPr>
          <w:spacing w:val="-3"/>
        </w:rPr>
        <w:t>系与大恒</w:t>
      </w:r>
      <w:r>
        <w:rPr>
          <w:rFonts w:ascii="Times New Roman" w:eastAsia="Times New Roman"/>
        </w:rPr>
        <w:t>D99</w:t>
      </w:r>
      <w:r>
        <w:rPr>
          <w:spacing w:val="-3"/>
        </w:rPr>
        <w:t>系作为育种素</w:t>
      </w:r>
      <w:r>
        <w:rPr>
          <w:spacing w:val="-11"/>
        </w:rPr>
        <w:t>材选育而成。该配套系属中速型青脚麻羽优质肉鸡，父母代繁殖性能高，商品代生长速度中等且可通过</w:t>
      </w:r>
      <w:r>
        <w:rPr>
          <w:spacing w:val="-6"/>
        </w:rPr>
        <w:t>羽速自别雌雄。</w:t>
      </w:r>
    </w:p>
    <w:p>
      <w:pPr>
        <w:pStyle w:val="ListParagraph"/>
        <w:numPr>
          <w:ilvl w:val="1"/>
          <w:numId w:val="9"/>
        </w:numPr>
        <w:tabs>
          <w:tab w:val="left" w:pos="885"/>
        </w:tabs>
        <w:spacing w:before="156" w:after="0" w:line="240" w:lineRule="auto"/>
        <w:ind w:left="884" w:right="0" w:hanging="527"/>
        <w:jc w:val="left"/>
        <w:rPr>
          <w:sz w:val="21"/>
        </w:rPr>
      </w:pPr>
      <w:r>
        <w:rPr>
          <w:spacing w:val="-2"/>
          <w:sz w:val="21"/>
        </w:rPr>
        <w:t>父母代体型外貌</w:t>
      </w:r>
    </w:p>
    <w:p>
      <w:pPr>
        <w:pStyle w:val="BodyText"/>
        <w:spacing w:before="12"/>
        <w:rPr>
          <w:rFonts w:ascii="黑体"/>
          <w:sz w:val="9"/>
        </w:rPr>
      </w:pPr>
    </w:p>
    <w:p>
      <w:pPr>
        <w:pStyle w:val="ListParagraph"/>
        <w:numPr>
          <w:ilvl w:val="2"/>
          <w:numId w:val="9"/>
        </w:numPr>
        <w:tabs>
          <w:tab w:val="left" w:pos="1094"/>
        </w:tabs>
        <w:spacing w:before="72" w:after="0" w:line="240" w:lineRule="auto"/>
        <w:ind w:left="1093" w:right="0" w:hanging="736"/>
        <w:jc w:val="left"/>
        <w:rPr>
          <w:sz w:val="21"/>
        </w:rPr>
      </w:pPr>
      <w:r>
        <w:rPr>
          <w:spacing w:val="-3"/>
          <w:sz w:val="21"/>
        </w:rPr>
        <w:t>成年公、母鸡共同特征</w:t>
      </w:r>
    </w:p>
    <w:p>
      <w:pPr>
        <w:spacing w:after="0" w:line="240" w:lineRule="auto"/>
        <w:jc w:val="left"/>
        <w:rPr>
          <w:sz w:val="21"/>
        </w:rPr>
        <w:sectPr>
          <w:headerReference w:type="default" r:id="rId9"/>
          <w:footerReference w:type="default" r:id="rId10"/>
          <w:pgSz w:w="11910" w:h="16840"/>
          <w:pgMar w:top="1640" w:right="720" w:bottom="1340" w:left="1060" w:header="1448" w:footer="1140"/>
          <w:pgNumType w:start="1"/>
          <w:cols w:space="708"/>
        </w:sectPr>
      </w:pPr>
    </w:p>
    <w:p>
      <w:pPr>
        <w:pStyle w:val="BodyText"/>
        <w:spacing w:before="7"/>
        <w:rPr>
          <w:rFonts w:ascii="黑体"/>
          <w:sz w:val="16"/>
        </w:rPr>
      </w:pPr>
      <w:r>
        <w:drawing>
          <wp:anchor distT="0" distB="0" distL="0" distR="0" simplePos="0" relativeHeight="251665408"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8" w:line="278" w:lineRule="auto"/>
        <w:ind w:left="358" w:right="409" w:firstLine="420"/>
      </w:pPr>
      <w:r>
        <w:rPr>
          <w:spacing w:val="-7"/>
        </w:rPr>
        <w:t>头颈高昂，单冠直立，冠齿</w:t>
      </w:r>
      <w:r>
        <w:rPr>
          <w:rFonts w:ascii="Times New Roman" w:eastAsia="Times New Roman"/>
        </w:rPr>
        <w:t>5</w:t>
      </w:r>
      <w:r>
        <w:rPr>
          <w:spacing w:val="-3"/>
        </w:rPr>
        <w:t>个</w:t>
      </w:r>
      <w:r>
        <w:t>～</w:t>
      </w:r>
      <w:r>
        <w:rPr>
          <w:rFonts w:ascii="Times New Roman" w:eastAsia="Times New Roman"/>
        </w:rPr>
        <w:t>9</w:t>
      </w:r>
      <w:r>
        <w:rPr>
          <w:spacing w:val="-10"/>
        </w:rPr>
        <w:t>个，冠、肉垂均呈鲜红色，虹彩为黄色，喙呈浅灰色；躯干呈船</w:t>
      </w:r>
      <w:r>
        <w:rPr>
          <w:spacing w:val="-5"/>
        </w:rPr>
        <w:t>型；尾羽呈黑色；胫、爪呈青色</w:t>
      </w:r>
      <w:r>
        <w:rPr>
          <w:color w:val="0000FF"/>
        </w:rPr>
        <w:t>。</w:t>
      </w:r>
      <w:r>
        <w:rPr>
          <w:spacing w:val="-3"/>
        </w:rPr>
        <w:t>照片见附录</w:t>
      </w:r>
      <w:r>
        <w:rPr>
          <w:rFonts w:ascii="Times New Roman" w:eastAsia="Times New Roman"/>
        </w:rPr>
        <w:t>A</w:t>
      </w:r>
      <w:r>
        <w:rPr>
          <w:rFonts w:ascii="Times New Roman" w:eastAsia="Times New Roman"/>
          <w:spacing w:val="52"/>
        </w:rPr>
        <w:t xml:space="preserve"> </w:t>
      </w:r>
      <w:r>
        <w:t>。</w:t>
      </w:r>
    </w:p>
    <w:p>
      <w:pPr>
        <w:pStyle w:val="ListParagraph"/>
        <w:numPr>
          <w:ilvl w:val="2"/>
          <w:numId w:val="8"/>
        </w:numPr>
        <w:tabs>
          <w:tab w:val="left" w:pos="1094"/>
        </w:tabs>
        <w:spacing w:before="156" w:after="0" w:line="240" w:lineRule="auto"/>
        <w:ind w:left="1093" w:right="0" w:hanging="736"/>
        <w:jc w:val="left"/>
        <w:rPr>
          <w:sz w:val="21"/>
        </w:rPr>
      </w:pPr>
      <w:r>
        <w:rPr>
          <w:spacing w:val="-3"/>
          <w:sz w:val="21"/>
        </w:rPr>
        <w:t>成年公鸡特有的外貌特征</w:t>
      </w:r>
    </w:p>
    <w:p>
      <w:pPr>
        <w:pStyle w:val="BodyText"/>
        <w:spacing w:before="7"/>
        <w:rPr>
          <w:rFonts w:ascii="黑体"/>
          <w:sz w:val="15"/>
        </w:rPr>
      </w:pPr>
    </w:p>
    <w:p>
      <w:pPr>
        <w:pStyle w:val="BodyText"/>
        <w:spacing w:line="278" w:lineRule="auto"/>
        <w:ind w:left="358" w:right="408" w:firstLine="420"/>
      </w:pPr>
      <w:r>
        <w:rPr>
          <w:spacing w:val="-10"/>
        </w:rPr>
        <w:t>顶羽呈红棕色，冠面大且高；颈羽呈红色，颈部边缘羽呈金黄色；躯干羽毛呈大红色，胸部有少量</w:t>
      </w:r>
      <w:r>
        <w:rPr>
          <w:spacing w:val="-3"/>
        </w:rPr>
        <w:t>黑羽；尾羽发达并带金属光泽。照片见附录</w:t>
      </w:r>
      <w:r>
        <w:rPr>
          <w:rFonts w:ascii="Times New Roman" w:eastAsia="Times New Roman"/>
        </w:rPr>
        <w:t xml:space="preserve">A </w:t>
      </w:r>
      <w:r>
        <w:t>。</w:t>
      </w:r>
    </w:p>
    <w:p>
      <w:pPr>
        <w:pStyle w:val="ListParagraph"/>
        <w:numPr>
          <w:ilvl w:val="2"/>
          <w:numId w:val="8"/>
        </w:numPr>
        <w:tabs>
          <w:tab w:val="left" w:pos="1094"/>
        </w:tabs>
        <w:spacing w:before="156" w:after="0" w:line="240" w:lineRule="auto"/>
        <w:ind w:left="1093" w:right="0" w:hanging="736"/>
        <w:jc w:val="left"/>
        <w:rPr>
          <w:sz w:val="21"/>
        </w:rPr>
      </w:pPr>
      <w:r>
        <w:rPr>
          <w:spacing w:val="-3"/>
          <w:sz w:val="21"/>
        </w:rPr>
        <w:t>成年母鸡特有的外貌特征</w:t>
      </w:r>
    </w:p>
    <w:p>
      <w:pPr>
        <w:pStyle w:val="BodyText"/>
        <w:spacing w:before="6"/>
        <w:rPr>
          <w:rFonts w:ascii="黑体"/>
          <w:sz w:val="15"/>
        </w:rPr>
      </w:pPr>
    </w:p>
    <w:p>
      <w:pPr>
        <w:pStyle w:val="BodyText"/>
        <w:ind w:left="778"/>
      </w:pPr>
      <w:r>
        <w:t>顶羽、颈部羽、躯干羽均呈黄麻色，颈部边缘羽呈浅麻黄色。照片见附录</w:t>
      </w:r>
      <w:r>
        <w:rPr>
          <w:rFonts w:ascii="Times New Roman" w:eastAsia="Times New Roman"/>
        </w:rPr>
        <w:t xml:space="preserve">A </w:t>
      </w:r>
      <w:r>
        <w:t>。</w:t>
      </w:r>
    </w:p>
    <w:p>
      <w:pPr>
        <w:pStyle w:val="BodyText"/>
        <w:spacing w:before="8"/>
        <w:rPr>
          <w:sz w:val="15"/>
        </w:rPr>
      </w:pPr>
    </w:p>
    <w:p>
      <w:pPr>
        <w:pStyle w:val="ListParagraph"/>
        <w:numPr>
          <w:ilvl w:val="2"/>
          <w:numId w:val="8"/>
        </w:numPr>
        <w:tabs>
          <w:tab w:val="left" w:pos="1094"/>
        </w:tabs>
        <w:spacing w:before="0" w:after="0" w:line="240" w:lineRule="auto"/>
        <w:ind w:left="1093" w:right="0" w:hanging="736"/>
        <w:jc w:val="left"/>
        <w:rPr>
          <w:sz w:val="21"/>
        </w:rPr>
      </w:pPr>
      <w:r>
        <w:rPr>
          <w:spacing w:val="-3"/>
          <w:sz w:val="21"/>
        </w:rPr>
        <w:t>初生雏的外貌特征</w:t>
      </w:r>
    </w:p>
    <w:p>
      <w:pPr>
        <w:pStyle w:val="BodyText"/>
        <w:spacing w:before="6"/>
        <w:rPr>
          <w:rFonts w:ascii="黑体"/>
          <w:sz w:val="15"/>
        </w:rPr>
      </w:pPr>
    </w:p>
    <w:p>
      <w:pPr>
        <w:pStyle w:val="BodyText"/>
        <w:spacing w:before="1" w:line="278" w:lineRule="auto"/>
        <w:ind w:left="358" w:right="406" w:firstLine="420"/>
      </w:pPr>
      <w:r>
        <w:rPr>
          <w:spacing w:val="-10"/>
        </w:rPr>
        <w:t>头顶有深褐色绒羽带；绒羽为黄麻色，背部有蛙状条纹背线；喙呈浅灰色；胫、爪呈青色；皮肤呈白色。</w:t>
      </w:r>
    </w:p>
    <w:p>
      <w:pPr>
        <w:pStyle w:val="ListParagraph"/>
        <w:numPr>
          <w:ilvl w:val="1"/>
          <w:numId w:val="8"/>
        </w:numPr>
        <w:tabs>
          <w:tab w:val="left" w:pos="885"/>
        </w:tabs>
        <w:spacing w:before="155" w:after="0" w:line="240" w:lineRule="auto"/>
        <w:ind w:left="884" w:right="0" w:hanging="527"/>
        <w:jc w:val="left"/>
        <w:rPr>
          <w:sz w:val="21"/>
        </w:rPr>
      </w:pPr>
      <w:r>
        <w:rPr>
          <w:spacing w:val="-1"/>
          <w:sz w:val="21"/>
        </w:rPr>
        <w:t>生产性能</w:t>
      </w:r>
    </w:p>
    <w:p>
      <w:pPr>
        <w:pStyle w:val="BodyText"/>
        <w:spacing w:before="6"/>
        <w:rPr>
          <w:rFonts w:ascii="黑体"/>
          <w:sz w:val="9"/>
        </w:rPr>
      </w:pPr>
    </w:p>
    <w:p>
      <w:pPr>
        <w:pStyle w:val="BodyText"/>
        <w:spacing w:before="78"/>
        <w:ind w:left="778"/>
      </w:pPr>
      <w:r>
        <w:t>生产性能应符合附录</w:t>
      </w:r>
      <w:r>
        <w:rPr>
          <w:rFonts w:ascii="Times New Roman" w:eastAsia="Times New Roman"/>
        </w:rPr>
        <w:t>B</w:t>
      </w:r>
      <w:r>
        <w:t>的规定。生产性能测定按</w:t>
      </w:r>
      <w:r>
        <w:rPr>
          <w:rFonts w:ascii="Times New Roman" w:eastAsia="Times New Roman"/>
        </w:rPr>
        <w:t>NY/T 823</w:t>
      </w:r>
      <w:r>
        <w:t>的规定进行。</w:t>
      </w:r>
    </w:p>
    <w:p>
      <w:pPr>
        <w:pStyle w:val="BodyText"/>
        <w:spacing w:before="11"/>
        <w:rPr>
          <w:sz w:val="27"/>
        </w:rPr>
      </w:pPr>
    </w:p>
    <w:p>
      <w:pPr>
        <w:pStyle w:val="ListParagraph"/>
        <w:numPr>
          <w:ilvl w:val="0"/>
          <w:numId w:val="8"/>
        </w:numPr>
        <w:tabs>
          <w:tab w:val="left" w:pos="674"/>
        </w:tabs>
        <w:spacing w:before="0" w:after="0" w:line="240" w:lineRule="auto"/>
        <w:ind w:left="673" w:right="0" w:hanging="316"/>
        <w:jc w:val="left"/>
        <w:rPr>
          <w:sz w:val="21"/>
        </w:rPr>
      </w:pPr>
      <w:r>
        <w:rPr>
          <w:spacing w:val="-2"/>
          <w:sz w:val="21"/>
        </w:rPr>
        <w:t>父母代饲养管理</w:t>
      </w:r>
    </w:p>
    <w:p>
      <w:pPr>
        <w:pStyle w:val="BodyText"/>
        <w:spacing w:before="6"/>
        <w:rPr>
          <w:rFonts w:ascii="黑体"/>
        </w:rPr>
      </w:pPr>
    </w:p>
    <w:p>
      <w:pPr>
        <w:pStyle w:val="ListParagraph"/>
        <w:numPr>
          <w:ilvl w:val="1"/>
          <w:numId w:val="8"/>
        </w:numPr>
        <w:tabs>
          <w:tab w:val="left" w:pos="885"/>
        </w:tabs>
        <w:spacing w:before="78" w:after="0" w:line="240" w:lineRule="auto"/>
        <w:ind w:left="884" w:right="0" w:hanging="527"/>
        <w:jc w:val="left"/>
        <w:rPr>
          <w:sz w:val="21"/>
        </w:rPr>
      </w:pPr>
      <w:r>
        <w:rPr>
          <w:spacing w:val="-2"/>
          <w:sz w:val="21"/>
        </w:rPr>
        <w:t>育雏育成期</w:t>
      </w:r>
      <w:r>
        <w:rPr>
          <w:sz w:val="21"/>
        </w:rPr>
        <w:t>（</w:t>
      </w:r>
      <w:r>
        <w:rPr>
          <w:rFonts w:ascii="Times New Roman" w:eastAsia="Times New Roman"/>
          <w:sz w:val="21"/>
        </w:rPr>
        <w:t>0 w</w:t>
      </w:r>
      <w:r>
        <w:rPr>
          <w:sz w:val="21"/>
        </w:rPr>
        <w:t>～</w:t>
      </w:r>
      <w:r>
        <w:rPr>
          <w:rFonts w:ascii="Times New Roman" w:eastAsia="Times New Roman"/>
          <w:sz w:val="21"/>
        </w:rPr>
        <w:t>21 w</w:t>
      </w:r>
      <w:r>
        <w:rPr>
          <w:sz w:val="21"/>
        </w:rPr>
        <w:t>）</w:t>
      </w:r>
    </w:p>
    <w:p>
      <w:pPr>
        <w:pStyle w:val="BodyText"/>
        <w:spacing w:before="12"/>
        <w:rPr>
          <w:rFonts w:ascii="黑体"/>
          <w:sz w:val="9"/>
        </w:rPr>
      </w:pPr>
    </w:p>
    <w:p>
      <w:pPr>
        <w:pStyle w:val="ListParagraph"/>
        <w:numPr>
          <w:ilvl w:val="2"/>
          <w:numId w:val="8"/>
        </w:numPr>
        <w:tabs>
          <w:tab w:val="left" w:pos="1094"/>
        </w:tabs>
        <w:spacing w:before="72" w:after="0" w:line="240" w:lineRule="auto"/>
        <w:ind w:left="1093" w:right="0" w:hanging="736"/>
        <w:jc w:val="left"/>
        <w:rPr>
          <w:sz w:val="21"/>
        </w:rPr>
      </w:pPr>
      <w:r>
        <w:rPr>
          <w:spacing w:val="-1"/>
          <w:sz w:val="21"/>
        </w:rPr>
        <w:t>育雏前准备</w:t>
      </w:r>
    </w:p>
    <w:p>
      <w:pPr>
        <w:pStyle w:val="BodyText"/>
        <w:spacing w:before="6"/>
        <w:rPr>
          <w:rFonts w:ascii="黑体"/>
          <w:sz w:val="15"/>
        </w:rPr>
      </w:pPr>
    </w:p>
    <w:p>
      <w:pPr>
        <w:pStyle w:val="BodyText"/>
        <w:spacing w:before="1" w:line="278" w:lineRule="auto"/>
        <w:ind w:left="358" w:right="300" w:firstLine="420"/>
      </w:pPr>
      <w:r>
        <w:rPr>
          <w:spacing w:val="-8"/>
        </w:rPr>
        <w:t>入舍前，鸡舍应空置</w:t>
      </w:r>
      <w:r>
        <w:rPr>
          <w:rFonts w:ascii="Times New Roman" w:eastAsia="Times New Roman"/>
        </w:rPr>
        <w:t>15 d</w:t>
      </w:r>
      <w:r>
        <w:rPr>
          <w:spacing w:val="-11"/>
        </w:rPr>
        <w:t>以上。鸡舍、饲养设备的清洗和消毒按</w:t>
      </w:r>
      <w:r>
        <w:rPr>
          <w:rFonts w:ascii="Times New Roman" w:eastAsia="Times New Roman"/>
        </w:rPr>
        <w:t>NT/T 1620</w:t>
      </w:r>
      <w:r>
        <w:rPr>
          <w:spacing w:val="-44"/>
        </w:rPr>
        <w:t>、</w:t>
      </w:r>
      <w:r>
        <w:rPr>
          <w:rFonts w:ascii="Times New Roman" w:eastAsia="Times New Roman"/>
        </w:rPr>
        <w:t>NY/T 3075</w:t>
      </w:r>
      <w:r>
        <w:rPr>
          <w:spacing w:val="-3"/>
        </w:rPr>
        <w:t>的规定进行， 鸡舍环境质量应符合</w:t>
      </w:r>
      <w:r>
        <w:rPr>
          <w:rFonts w:ascii="Times New Roman" w:eastAsia="Times New Roman"/>
        </w:rPr>
        <w:t>NY/T 388</w:t>
      </w:r>
      <w:r>
        <w:rPr>
          <w:spacing w:val="-3"/>
        </w:rPr>
        <w:t>的规定。</w:t>
      </w:r>
    </w:p>
    <w:p>
      <w:pPr>
        <w:pStyle w:val="ListParagraph"/>
        <w:numPr>
          <w:ilvl w:val="2"/>
          <w:numId w:val="8"/>
        </w:numPr>
        <w:tabs>
          <w:tab w:val="left" w:pos="1094"/>
        </w:tabs>
        <w:spacing w:before="155" w:after="0" w:line="240" w:lineRule="auto"/>
        <w:ind w:left="1093" w:right="0" w:hanging="736"/>
        <w:jc w:val="left"/>
        <w:rPr>
          <w:sz w:val="21"/>
        </w:rPr>
      </w:pPr>
      <w:r>
        <w:rPr>
          <w:spacing w:val="-2"/>
          <w:sz w:val="21"/>
        </w:rPr>
        <w:t>育雏育成方式</w:t>
      </w:r>
    </w:p>
    <w:p>
      <w:pPr>
        <w:pStyle w:val="BodyText"/>
        <w:spacing w:before="7"/>
        <w:rPr>
          <w:rFonts w:ascii="黑体"/>
          <w:sz w:val="15"/>
        </w:rPr>
      </w:pPr>
    </w:p>
    <w:p>
      <w:pPr>
        <w:pStyle w:val="BodyText"/>
        <w:ind w:left="778"/>
      </w:pPr>
      <w:r>
        <w:t>公鸡与母鸡应分群笼养。</w:t>
      </w:r>
    </w:p>
    <w:p>
      <w:pPr>
        <w:pStyle w:val="BodyText"/>
        <w:spacing w:before="7"/>
        <w:rPr>
          <w:sz w:val="15"/>
        </w:rPr>
      </w:pPr>
    </w:p>
    <w:p>
      <w:pPr>
        <w:pStyle w:val="ListParagraph"/>
        <w:numPr>
          <w:ilvl w:val="2"/>
          <w:numId w:val="8"/>
        </w:numPr>
        <w:tabs>
          <w:tab w:val="left" w:pos="1094"/>
        </w:tabs>
        <w:spacing w:before="0" w:after="0" w:line="240" w:lineRule="auto"/>
        <w:ind w:left="1093" w:right="0" w:hanging="736"/>
        <w:jc w:val="left"/>
        <w:rPr>
          <w:sz w:val="21"/>
        </w:rPr>
      </w:pPr>
      <w:r>
        <w:rPr>
          <w:spacing w:val="-1"/>
          <w:sz w:val="21"/>
        </w:rPr>
        <w:t>饮水与开食</w:t>
      </w:r>
    </w:p>
    <w:p>
      <w:pPr>
        <w:pStyle w:val="BodyText"/>
        <w:spacing w:before="7"/>
        <w:rPr>
          <w:rFonts w:ascii="黑体"/>
          <w:sz w:val="15"/>
        </w:rPr>
      </w:pPr>
    </w:p>
    <w:p>
      <w:pPr>
        <w:pStyle w:val="BodyText"/>
        <w:ind w:left="778"/>
        <w:rPr>
          <w:rFonts w:ascii="Times New Roman" w:eastAsia="Times New Roman"/>
        </w:rPr>
      </w:pPr>
      <w:r>
        <w:t>宜饮水后</w:t>
      </w:r>
      <w:r>
        <w:rPr>
          <w:rFonts w:ascii="Times New Roman" w:eastAsia="Times New Roman"/>
        </w:rPr>
        <w:t>2 h</w:t>
      </w:r>
      <w:r>
        <w:t>～</w:t>
      </w:r>
      <w:r>
        <w:rPr>
          <w:rFonts w:ascii="Times New Roman" w:eastAsia="Times New Roman"/>
        </w:rPr>
        <w:t>4 h</w:t>
      </w:r>
      <w:r>
        <w:t>开食。应随雏鸡日龄增长及时调整水线或饮水器的高度。水质应符合</w:t>
      </w:r>
      <w:r>
        <w:rPr>
          <w:rFonts w:ascii="Times New Roman" w:eastAsia="Times New Roman"/>
        </w:rPr>
        <w:t>NY/T 5027</w:t>
      </w:r>
    </w:p>
    <w:p>
      <w:pPr>
        <w:pStyle w:val="BodyText"/>
        <w:spacing w:before="43"/>
        <w:ind w:left="358"/>
      </w:pPr>
      <w:r>
        <w:t>的规定。</w:t>
      </w:r>
    </w:p>
    <w:p>
      <w:pPr>
        <w:pStyle w:val="BodyText"/>
        <w:spacing w:before="7"/>
        <w:rPr>
          <w:sz w:val="15"/>
        </w:rPr>
      </w:pPr>
    </w:p>
    <w:p>
      <w:pPr>
        <w:pStyle w:val="ListParagraph"/>
        <w:numPr>
          <w:ilvl w:val="2"/>
          <w:numId w:val="8"/>
        </w:numPr>
        <w:tabs>
          <w:tab w:val="left" w:pos="1094"/>
        </w:tabs>
        <w:spacing w:before="0" w:after="0" w:line="240" w:lineRule="auto"/>
        <w:ind w:left="1093" w:right="0" w:hanging="736"/>
        <w:jc w:val="left"/>
        <w:rPr>
          <w:sz w:val="21"/>
        </w:rPr>
      </w:pPr>
      <w:r>
        <w:rPr>
          <w:spacing w:val="-3"/>
          <w:sz w:val="21"/>
        </w:rPr>
        <w:t>温度、湿度与光照</w:t>
      </w:r>
    </w:p>
    <w:p>
      <w:pPr>
        <w:pStyle w:val="BodyText"/>
        <w:spacing w:before="6"/>
        <w:rPr>
          <w:rFonts w:ascii="黑体"/>
          <w:sz w:val="15"/>
        </w:rPr>
      </w:pPr>
    </w:p>
    <w:p>
      <w:pPr>
        <w:pStyle w:val="BodyText"/>
        <w:spacing w:before="1"/>
        <w:ind w:left="778"/>
      </w:pPr>
      <w:r>
        <w:t>不同日龄的温度、湿度与光照时长见表</w:t>
      </w:r>
      <w:r>
        <w:rPr>
          <w:rFonts w:ascii="Times New Roman" w:eastAsia="Times New Roman"/>
        </w:rPr>
        <w:t>1</w:t>
      </w:r>
      <w:r>
        <w:t>。可根据环境气温、鸡群状况等进行适当调整。</w:t>
      </w:r>
    </w:p>
    <w:p>
      <w:pPr>
        <w:spacing w:after="0"/>
        <w:sectPr>
          <w:headerReference w:type="default" r:id="rId11"/>
          <w:footerReference w:type="default" r:id="rId12"/>
          <w:pgSz w:w="11910" w:h="16840"/>
          <w:pgMar w:top="1640" w:right="720" w:bottom="1340" w:left="1060" w:header="1448" w:footer="1140"/>
          <w:pgNumType w:start="2"/>
          <w:cols w:space="708"/>
        </w:sectPr>
      </w:pPr>
    </w:p>
    <w:p>
      <w:pPr>
        <w:pStyle w:val="BodyText"/>
        <w:spacing w:before="1"/>
        <w:rPr>
          <w:sz w:val="17"/>
        </w:rPr>
      </w:pPr>
      <w:r>
        <w:drawing>
          <wp:anchor distT="0" distB="0" distL="0" distR="0" simplePos="0" relativeHeight="251666432"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2"/>
        <w:ind w:right="54"/>
        <w:jc w:val="center"/>
        <w:rPr>
          <w:rFonts w:ascii="黑体" w:eastAsia="黑体" w:hint="eastAsia"/>
        </w:rPr>
      </w:pPr>
      <w:r>
        <w:rPr>
          <w:rFonts w:ascii="黑体" w:eastAsia="黑体" w:hint="eastAsia"/>
        </w:rPr>
        <w:t>表1 不同日龄的温度、湿度与光照时长</w:t>
      </w:r>
    </w:p>
    <w:p>
      <w:pPr>
        <w:pStyle w:val="BodyText"/>
        <w:spacing w:before="9"/>
        <w:rPr>
          <w:rFonts w:ascii="黑体"/>
          <w:sz w:val="13"/>
        </w:rPr>
      </w:pPr>
    </w:p>
    <w:tbl>
      <w:tblPr>
        <w:tblStyle w:val="TableNormal0"/>
        <w:tblW w:w="0" w:type="auto"/>
        <w:jc w:val="left"/>
        <w:tblInd w:w="36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936"/>
        <w:gridCol w:w="939"/>
        <w:gridCol w:w="938"/>
        <w:gridCol w:w="938"/>
        <w:gridCol w:w="936"/>
        <w:gridCol w:w="938"/>
        <w:gridCol w:w="939"/>
        <w:gridCol w:w="938"/>
        <w:gridCol w:w="938"/>
        <w:gridCol w:w="938"/>
      </w:tblGrid>
      <w:tr>
        <w:tblPrEx>
          <w:tblW w:w="0" w:type="auto"/>
          <w:jc w:val="left"/>
          <w:tblInd w:w="36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94"/>
          <w:jc w:val="left"/>
        </w:trPr>
        <w:tc>
          <w:tcPr>
            <w:tcW w:w="936" w:type="dxa"/>
            <w:tcBorders>
              <w:bottom w:val="single" w:sz="4" w:space="0" w:color="000000"/>
            </w:tcBorders>
          </w:tcPr>
          <w:p>
            <w:pPr>
              <w:pStyle w:val="TableParagraph"/>
              <w:spacing w:before="40"/>
              <w:ind w:left="130" w:right="12"/>
              <w:rPr>
                <w:sz w:val="18"/>
              </w:rPr>
            </w:pPr>
            <w:r>
              <w:rPr>
                <w:sz w:val="18"/>
              </w:rPr>
              <w:t xml:space="preserve">日龄 </w:t>
            </w:r>
          </w:p>
          <w:p>
            <w:pPr>
              <w:pStyle w:val="TableParagraph"/>
              <w:spacing w:before="81" w:line="222" w:lineRule="exact"/>
              <w:ind w:left="130" w:right="12"/>
              <w:rPr>
                <w:sz w:val="18"/>
              </w:rPr>
            </w:pPr>
            <w:r>
              <w:rPr>
                <w:sz w:val="18"/>
              </w:rPr>
              <w:t xml:space="preserve">d </w:t>
            </w:r>
          </w:p>
        </w:tc>
        <w:tc>
          <w:tcPr>
            <w:tcW w:w="939" w:type="dxa"/>
            <w:tcBorders>
              <w:bottom w:val="single" w:sz="4" w:space="0" w:color="000000"/>
              <w:right w:val="single" w:sz="4" w:space="0" w:color="000000"/>
            </w:tcBorders>
          </w:tcPr>
          <w:p>
            <w:pPr>
              <w:pStyle w:val="TableParagraph"/>
              <w:spacing w:before="2"/>
              <w:jc w:val="left"/>
              <w:rPr>
                <w:rFonts w:ascii="黑体"/>
                <w:sz w:val="14"/>
              </w:rPr>
            </w:pPr>
          </w:p>
          <w:p>
            <w:pPr>
              <w:pStyle w:val="TableParagraph"/>
              <w:spacing w:before="0"/>
              <w:ind w:left="225" w:right="110"/>
              <w:rPr>
                <w:sz w:val="18"/>
              </w:rPr>
            </w:pPr>
            <w:r>
              <w:rPr>
                <w:sz w:val="18"/>
              </w:rPr>
              <w:t xml:space="preserve">1～3 </w:t>
            </w:r>
          </w:p>
        </w:tc>
        <w:tc>
          <w:tcPr>
            <w:tcW w:w="938" w:type="dxa"/>
            <w:tcBorders>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0"/>
              <w:ind w:left="183" w:right="67"/>
              <w:rPr>
                <w:sz w:val="18"/>
              </w:rPr>
            </w:pPr>
            <w:r>
              <w:rPr>
                <w:sz w:val="18"/>
              </w:rPr>
              <w:t xml:space="preserve">4～7 </w:t>
            </w:r>
          </w:p>
        </w:tc>
        <w:tc>
          <w:tcPr>
            <w:tcW w:w="938" w:type="dxa"/>
            <w:tcBorders>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0"/>
              <w:ind w:left="184" w:right="67"/>
              <w:rPr>
                <w:sz w:val="18"/>
              </w:rPr>
            </w:pPr>
            <w:r>
              <w:rPr>
                <w:sz w:val="18"/>
              </w:rPr>
              <w:t xml:space="preserve">8～14 </w:t>
            </w:r>
          </w:p>
        </w:tc>
        <w:tc>
          <w:tcPr>
            <w:tcW w:w="936" w:type="dxa"/>
            <w:tcBorders>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0"/>
              <w:ind w:left="232" w:right="114"/>
              <w:rPr>
                <w:sz w:val="18"/>
              </w:rPr>
            </w:pPr>
            <w:r>
              <w:rPr>
                <w:sz w:val="18"/>
              </w:rPr>
              <w:t xml:space="preserve">15～21 </w:t>
            </w:r>
          </w:p>
        </w:tc>
        <w:tc>
          <w:tcPr>
            <w:tcW w:w="938" w:type="dxa"/>
            <w:tcBorders>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0"/>
              <w:ind w:left="188" w:right="67"/>
              <w:rPr>
                <w:sz w:val="18"/>
              </w:rPr>
            </w:pPr>
            <w:r>
              <w:rPr>
                <w:sz w:val="18"/>
              </w:rPr>
              <w:t xml:space="preserve">22～28 </w:t>
            </w:r>
          </w:p>
        </w:tc>
        <w:tc>
          <w:tcPr>
            <w:tcW w:w="939" w:type="dxa"/>
            <w:tcBorders>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0"/>
              <w:ind w:left="235" w:right="114"/>
              <w:rPr>
                <w:sz w:val="18"/>
              </w:rPr>
            </w:pPr>
            <w:r>
              <w:rPr>
                <w:sz w:val="18"/>
              </w:rPr>
              <w:t xml:space="preserve">29～35 </w:t>
            </w:r>
          </w:p>
        </w:tc>
        <w:tc>
          <w:tcPr>
            <w:tcW w:w="938" w:type="dxa"/>
            <w:tcBorders>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0"/>
              <w:ind w:left="189" w:right="67"/>
              <w:rPr>
                <w:sz w:val="18"/>
              </w:rPr>
            </w:pPr>
            <w:r>
              <w:rPr>
                <w:sz w:val="18"/>
              </w:rPr>
              <w:t xml:space="preserve">36～42 </w:t>
            </w:r>
          </w:p>
        </w:tc>
        <w:tc>
          <w:tcPr>
            <w:tcW w:w="938" w:type="dxa"/>
            <w:tcBorders>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0"/>
              <w:ind w:left="190" w:right="67"/>
              <w:rPr>
                <w:sz w:val="18"/>
              </w:rPr>
            </w:pPr>
            <w:r>
              <w:rPr>
                <w:sz w:val="18"/>
              </w:rPr>
              <w:t xml:space="preserve">43～133 </w:t>
            </w:r>
          </w:p>
        </w:tc>
        <w:tc>
          <w:tcPr>
            <w:tcW w:w="938" w:type="dxa"/>
            <w:tcBorders>
              <w:left w:val="single" w:sz="4" w:space="0" w:color="000000"/>
              <w:bottom w:val="single" w:sz="4" w:space="0" w:color="000000"/>
            </w:tcBorders>
          </w:tcPr>
          <w:p>
            <w:pPr>
              <w:pStyle w:val="TableParagraph"/>
              <w:spacing w:before="2"/>
              <w:jc w:val="left"/>
              <w:rPr>
                <w:rFonts w:ascii="黑体"/>
                <w:sz w:val="14"/>
              </w:rPr>
            </w:pPr>
          </w:p>
          <w:p>
            <w:pPr>
              <w:pStyle w:val="TableParagraph"/>
              <w:spacing w:before="0"/>
              <w:ind w:left="139" w:right="19"/>
              <w:rPr>
                <w:sz w:val="18"/>
              </w:rPr>
            </w:pPr>
            <w:r>
              <w:rPr>
                <w:sz w:val="18"/>
              </w:rPr>
              <w:t xml:space="preserve">134～147 </w:t>
            </w:r>
          </w:p>
        </w:tc>
      </w:tr>
      <w:tr>
        <w:tblPrEx>
          <w:tblW w:w="0" w:type="auto"/>
          <w:jc w:val="left"/>
          <w:tblInd w:w="362" w:type="dxa"/>
          <w:tblLayout w:type="fixed"/>
          <w:tblCellMar>
            <w:top w:w="0" w:type="dxa"/>
            <w:left w:w="0" w:type="dxa"/>
            <w:bottom w:w="0" w:type="dxa"/>
            <w:right w:w="0" w:type="dxa"/>
          </w:tblCellMar>
          <w:tblLook w:val="01E0"/>
        </w:tblPrEx>
        <w:trPr>
          <w:trHeight w:val="594"/>
          <w:jc w:val="left"/>
        </w:trPr>
        <w:tc>
          <w:tcPr>
            <w:tcW w:w="936" w:type="dxa"/>
            <w:tcBorders>
              <w:top w:val="single" w:sz="4" w:space="0" w:color="000000"/>
              <w:bottom w:val="single" w:sz="4" w:space="0" w:color="000000"/>
            </w:tcBorders>
          </w:tcPr>
          <w:p>
            <w:pPr>
              <w:pStyle w:val="TableParagraph"/>
              <w:ind w:left="287"/>
              <w:jc w:val="left"/>
              <w:rPr>
                <w:sz w:val="18"/>
              </w:rPr>
            </w:pPr>
            <w:r>
              <w:rPr>
                <w:sz w:val="18"/>
              </w:rPr>
              <w:t xml:space="preserve">温度 </w:t>
            </w:r>
          </w:p>
          <w:p>
            <w:pPr>
              <w:pStyle w:val="TableParagraph"/>
              <w:spacing w:before="81" w:line="225" w:lineRule="exact"/>
              <w:ind w:left="376"/>
              <w:jc w:val="left"/>
              <w:rPr>
                <w:sz w:val="18"/>
              </w:rPr>
            </w:pPr>
            <w:r>
              <w:rPr>
                <w:sz w:val="18"/>
              </w:rPr>
              <w:t xml:space="preserve">℃ </w:t>
            </w:r>
          </w:p>
        </w:tc>
        <w:tc>
          <w:tcPr>
            <w:tcW w:w="939" w:type="dxa"/>
            <w:tcBorders>
              <w:top w:val="single" w:sz="4" w:space="0" w:color="000000"/>
              <w:bottom w:val="single" w:sz="4" w:space="0" w:color="000000"/>
              <w:right w:val="single" w:sz="4" w:space="0" w:color="000000"/>
            </w:tcBorders>
          </w:tcPr>
          <w:p>
            <w:pPr>
              <w:pStyle w:val="TableParagraph"/>
              <w:spacing w:before="0"/>
              <w:jc w:val="left"/>
              <w:rPr>
                <w:rFonts w:ascii="黑体"/>
                <w:sz w:val="14"/>
              </w:rPr>
            </w:pPr>
          </w:p>
          <w:p>
            <w:pPr>
              <w:pStyle w:val="TableParagraph"/>
              <w:spacing w:before="0"/>
              <w:ind w:left="225" w:right="113"/>
              <w:rPr>
                <w:sz w:val="18"/>
              </w:rPr>
            </w:pPr>
            <w:r>
              <w:rPr>
                <w:sz w:val="18"/>
              </w:rPr>
              <w:t xml:space="preserve">35～36 </w:t>
            </w:r>
          </w:p>
        </w:tc>
        <w:tc>
          <w:tcPr>
            <w:tcW w:w="938"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黑体"/>
                <w:sz w:val="14"/>
              </w:rPr>
            </w:pPr>
          </w:p>
          <w:p>
            <w:pPr>
              <w:pStyle w:val="TableParagraph"/>
              <w:spacing w:before="0"/>
              <w:ind w:left="186" w:right="67"/>
              <w:rPr>
                <w:sz w:val="18"/>
              </w:rPr>
            </w:pPr>
            <w:r>
              <w:rPr>
                <w:sz w:val="18"/>
              </w:rPr>
              <w:t xml:space="preserve">33～34 </w:t>
            </w:r>
          </w:p>
        </w:tc>
        <w:tc>
          <w:tcPr>
            <w:tcW w:w="938"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黑体"/>
                <w:sz w:val="14"/>
              </w:rPr>
            </w:pPr>
          </w:p>
          <w:p>
            <w:pPr>
              <w:pStyle w:val="TableParagraph"/>
              <w:spacing w:before="0"/>
              <w:ind w:left="186" w:right="67"/>
              <w:rPr>
                <w:sz w:val="18"/>
              </w:rPr>
            </w:pPr>
            <w:r>
              <w:rPr>
                <w:sz w:val="18"/>
              </w:rPr>
              <w:t xml:space="preserve">30～33 </w:t>
            </w:r>
          </w:p>
        </w:tc>
        <w:tc>
          <w:tcPr>
            <w:tcW w:w="936"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黑体"/>
                <w:sz w:val="14"/>
              </w:rPr>
            </w:pPr>
          </w:p>
          <w:p>
            <w:pPr>
              <w:pStyle w:val="TableParagraph"/>
              <w:spacing w:before="0"/>
              <w:ind w:left="232" w:right="114"/>
              <w:rPr>
                <w:sz w:val="18"/>
              </w:rPr>
            </w:pPr>
            <w:r>
              <w:rPr>
                <w:sz w:val="18"/>
              </w:rPr>
              <w:t xml:space="preserve">28～30 </w:t>
            </w:r>
          </w:p>
        </w:tc>
        <w:tc>
          <w:tcPr>
            <w:tcW w:w="938"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黑体"/>
                <w:sz w:val="14"/>
              </w:rPr>
            </w:pPr>
          </w:p>
          <w:p>
            <w:pPr>
              <w:pStyle w:val="TableParagraph"/>
              <w:spacing w:before="0"/>
              <w:ind w:left="188" w:right="67"/>
              <w:rPr>
                <w:sz w:val="18"/>
              </w:rPr>
            </w:pPr>
            <w:r>
              <w:rPr>
                <w:sz w:val="18"/>
              </w:rPr>
              <w:t xml:space="preserve">24～27 </w:t>
            </w:r>
          </w:p>
        </w:tc>
        <w:tc>
          <w:tcPr>
            <w:tcW w:w="939"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黑体"/>
                <w:sz w:val="14"/>
              </w:rPr>
            </w:pPr>
          </w:p>
          <w:p>
            <w:pPr>
              <w:pStyle w:val="TableParagraph"/>
              <w:spacing w:before="0"/>
              <w:ind w:left="235" w:right="114"/>
              <w:rPr>
                <w:sz w:val="18"/>
              </w:rPr>
            </w:pPr>
            <w:r>
              <w:rPr>
                <w:sz w:val="18"/>
              </w:rPr>
              <w:t xml:space="preserve">24～25 </w:t>
            </w:r>
          </w:p>
        </w:tc>
        <w:tc>
          <w:tcPr>
            <w:tcW w:w="938"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黑体"/>
                <w:sz w:val="14"/>
              </w:rPr>
            </w:pPr>
          </w:p>
          <w:p>
            <w:pPr>
              <w:pStyle w:val="TableParagraph"/>
              <w:spacing w:before="0"/>
              <w:ind w:left="189" w:right="67"/>
              <w:rPr>
                <w:sz w:val="18"/>
              </w:rPr>
            </w:pPr>
            <w:r>
              <w:rPr>
                <w:sz w:val="18"/>
              </w:rPr>
              <w:t xml:space="preserve">18～24 </w:t>
            </w:r>
          </w:p>
        </w:tc>
        <w:tc>
          <w:tcPr>
            <w:tcW w:w="938" w:type="dxa"/>
            <w:tcBorders>
              <w:top w:val="single" w:sz="4" w:space="0" w:color="000000"/>
              <w:left w:val="single" w:sz="4" w:space="0" w:color="000000"/>
              <w:bottom w:val="single" w:sz="4" w:space="0" w:color="000000"/>
              <w:right w:val="single" w:sz="4" w:space="0" w:color="000000"/>
            </w:tcBorders>
          </w:tcPr>
          <w:p>
            <w:pPr>
              <w:pStyle w:val="TableParagraph"/>
              <w:spacing w:before="0"/>
              <w:jc w:val="left"/>
              <w:rPr>
                <w:rFonts w:ascii="黑体"/>
                <w:sz w:val="14"/>
              </w:rPr>
            </w:pPr>
          </w:p>
          <w:p>
            <w:pPr>
              <w:pStyle w:val="TableParagraph"/>
              <w:spacing w:before="0"/>
              <w:ind w:left="190" w:right="67"/>
              <w:rPr>
                <w:sz w:val="18"/>
              </w:rPr>
            </w:pPr>
            <w:r>
              <w:rPr>
                <w:sz w:val="18"/>
              </w:rPr>
              <w:t xml:space="preserve">18～24 </w:t>
            </w:r>
          </w:p>
        </w:tc>
        <w:tc>
          <w:tcPr>
            <w:tcW w:w="938" w:type="dxa"/>
            <w:tcBorders>
              <w:top w:val="single" w:sz="4" w:space="0" w:color="000000"/>
              <w:left w:val="single" w:sz="4" w:space="0" w:color="000000"/>
              <w:bottom w:val="single" w:sz="4" w:space="0" w:color="000000"/>
            </w:tcBorders>
          </w:tcPr>
          <w:p>
            <w:pPr>
              <w:pStyle w:val="TableParagraph"/>
              <w:spacing w:before="0"/>
              <w:jc w:val="left"/>
              <w:rPr>
                <w:rFonts w:ascii="黑体"/>
                <w:sz w:val="14"/>
              </w:rPr>
            </w:pPr>
          </w:p>
          <w:p>
            <w:pPr>
              <w:pStyle w:val="TableParagraph"/>
              <w:spacing w:before="0"/>
              <w:ind w:left="139" w:right="19"/>
              <w:rPr>
                <w:sz w:val="18"/>
              </w:rPr>
            </w:pPr>
            <w:r>
              <w:rPr>
                <w:sz w:val="18"/>
              </w:rPr>
              <w:t xml:space="preserve">18～24 </w:t>
            </w:r>
          </w:p>
        </w:tc>
      </w:tr>
      <w:tr>
        <w:tblPrEx>
          <w:tblW w:w="0" w:type="auto"/>
          <w:jc w:val="left"/>
          <w:tblInd w:w="362" w:type="dxa"/>
          <w:tblLayout w:type="fixed"/>
          <w:tblCellMar>
            <w:top w:w="0" w:type="dxa"/>
            <w:left w:w="0" w:type="dxa"/>
            <w:bottom w:w="0" w:type="dxa"/>
            <w:right w:w="0" w:type="dxa"/>
          </w:tblCellMar>
          <w:tblLook w:val="01E0"/>
        </w:tblPrEx>
        <w:trPr>
          <w:trHeight w:val="599"/>
          <w:jc w:val="left"/>
        </w:trPr>
        <w:tc>
          <w:tcPr>
            <w:tcW w:w="936" w:type="dxa"/>
            <w:tcBorders>
              <w:top w:val="single" w:sz="4" w:space="0" w:color="000000"/>
              <w:bottom w:val="single" w:sz="4" w:space="0" w:color="000000"/>
            </w:tcBorders>
          </w:tcPr>
          <w:p>
            <w:pPr>
              <w:pStyle w:val="TableParagraph"/>
              <w:ind w:left="134" w:right="12"/>
              <w:rPr>
                <w:sz w:val="18"/>
              </w:rPr>
            </w:pPr>
            <w:r>
              <w:rPr>
                <w:sz w:val="18"/>
              </w:rPr>
              <w:t xml:space="preserve">相对湿度 </w:t>
            </w:r>
          </w:p>
          <w:p>
            <w:pPr>
              <w:pStyle w:val="TableParagraph"/>
              <w:spacing w:before="81" w:line="229" w:lineRule="exact"/>
              <w:ind w:left="130" w:right="12"/>
              <w:rPr>
                <w:sz w:val="18"/>
              </w:rPr>
            </w:pPr>
            <w:r>
              <w:rPr>
                <w:sz w:val="18"/>
              </w:rPr>
              <w:t xml:space="preserve">% </w:t>
            </w:r>
          </w:p>
        </w:tc>
        <w:tc>
          <w:tcPr>
            <w:tcW w:w="939" w:type="dxa"/>
            <w:tcBorders>
              <w:top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1"/>
              <w:ind w:left="225" w:right="113"/>
              <w:rPr>
                <w:sz w:val="18"/>
              </w:rPr>
            </w:pPr>
            <w:r>
              <w:rPr>
                <w:sz w:val="18"/>
              </w:rPr>
              <w:t xml:space="preserve">60～70 </w:t>
            </w:r>
          </w:p>
        </w:tc>
        <w:tc>
          <w:tcPr>
            <w:tcW w:w="938" w:type="dxa"/>
            <w:tcBorders>
              <w:top w:val="single" w:sz="4" w:space="0" w:color="000000"/>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1"/>
              <w:ind w:left="186" w:right="67"/>
              <w:rPr>
                <w:sz w:val="18"/>
              </w:rPr>
            </w:pPr>
            <w:r>
              <w:rPr>
                <w:sz w:val="18"/>
              </w:rPr>
              <w:t xml:space="preserve">60～70 </w:t>
            </w:r>
          </w:p>
        </w:tc>
        <w:tc>
          <w:tcPr>
            <w:tcW w:w="938" w:type="dxa"/>
            <w:tcBorders>
              <w:top w:val="single" w:sz="4" w:space="0" w:color="000000"/>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1"/>
              <w:ind w:left="186" w:right="67"/>
              <w:rPr>
                <w:sz w:val="18"/>
              </w:rPr>
            </w:pPr>
            <w:r>
              <w:rPr>
                <w:sz w:val="18"/>
              </w:rPr>
              <w:t xml:space="preserve">55～65 </w:t>
            </w:r>
          </w:p>
        </w:tc>
        <w:tc>
          <w:tcPr>
            <w:tcW w:w="936" w:type="dxa"/>
            <w:tcBorders>
              <w:top w:val="single" w:sz="4" w:space="0" w:color="000000"/>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1"/>
              <w:ind w:left="232" w:right="114"/>
              <w:rPr>
                <w:sz w:val="18"/>
              </w:rPr>
            </w:pPr>
            <w:r>
              <w:rPr>
                <w:sz w:val="18"/>
              </w:rPr>
              <w:t xml:space="preserve">55～65 </w:t>
            </w:r>
          </w:p>
        </w:tc>
        <w:tc>
          <w:tcPr>
            <w:tcW w:w="938" w:type="dxa"/>
            <w:tcBorders>
              <w:top w:val="single" w:sz="4" w:space="0" w:color="000000"/>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1"/>
              <w:ind w:left="188" w:right="67"/>
              <w:rPr>
                <w:sz w:val="18"/>
              </w:rPr>
            </w:pPr>
            <w:r>
              <w:rPr>
                <w:sz w:val="18"/>
              </w:rPr>
              <w:t xml:space="preserve">55～60 </w:t>
            </w:r>
          </w:p>
        </w:tc>
        <w:tc>
          <w:tcPr>
            <w:tcW w:w="939" w:type="dxa"/>
            <w:tcBorders>
              <w:top w:val="single" w:sz="4" w:space="0" w:color="000000"/>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1"/>
              <w:ind w:left="235" w:right="114"/>
              <w:rPr>
                <w:sz w:val="18"/>
              </w:rPr>
            </w:pPr>
            <w:r>
              <w:rPr>
                <w:sz w:val="18"/>
              </w:rPr>
              <w:t xml:space="preserve">55～60 </w:t>
            </w:r>
          </w:p>
        </w:tc>
        <w:tc>
          <w:tcPr>
            <w:tcW w:w="938" w:type="dxa"/>
            <w:tcBorders>
              <w:top w:val="single" w:sz="4" w:space="0" w:color="000000"/>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1"/>
              <w:ind w:left="189" w:right="67"/>
              <w:rPr>
                <w:sz w:val="18"/>
              </w:rPr>
            </w:pPr>
            <w:r>
              <w:rPr>
                <w:sz w:val="18"/>
              </w:rPr>
              <w:t xml:space="preserve">55～60 </w:t>
            </w:r>
          </w:p>
        </w:tc>
        <w:tc>
          <w:tcPr>
            <w:tcW w:w="938" w:type="dxa"/>
            <w:tcBorders>
              <w:top w:val="single" w:sz="4" w:space="0" w:color="000000"/>
              <w:left w:val="single" w:sz="4" w:space="0" w:color="000000"/>
              <w:bottom w:val="single" w:sz="4" w:space="0" w:color="000000"/>
              <w:right w:val="single" w:sz="4" w:space="0" w:color="000000"/>
            </w:tcBorders>
          </w:tcPr>
          <w:p>
            <w:pPr>
              <w:pStyle w:val="TableParagraph"/>
              <w:spacing w:before="2"/>
              <w:jc w:val="left"/>
              <w:rPr>
                <w:rFonts w:ascii="黑体"/>
                <w:sz w:val="14"/>
              </w:rPr>
            </w:pPr>
          </w:p>
          <w:p>
            <w:pPr>
              <w:pStyle w:val="TableParagraph"/>
              <w:spacing w:before="1"/>
              <w:ind w:left="190" w:right="67"/>
              <w:rPr>
                <w:sz w:val="18"/>
              </w:rPr>
            </w:pPr>
            <w:r>
              <w:rPr>
                <w:sz w:val="18"/>
              </w:rPr>
              <w:t xml:space="preserve">55～60 </w:t>
            </w:r>
          </w:p>
        </w:tc>
        <w:tc>
          <w:tcPr>
            <w:tcW w:w="938" w:type="dxa"/>
            <w:tcBorders>
              <w:top w:val="single" w:sz="4" w:space="0" w:color="000000"/>
              <w:left w:val="single" w:sz="4" w:space="0" w:color="000000"/>
              <w:bottom w:val="single" w:sz="4" w:space="0" w:color="000000"/>
            </w:tcBorders>
          </w:tcPr>
          <w:p>
            <w:pPr>
              <w:pStyle w:val="TableParagraph"/>
              <w:spacing w:before="2"/>
              <w:jc w:val="left"/>
              <w:rPr>
                <w:rFonts w:ascii="黑体"/>
                <w:sz w:val="14"/>
              </w:rPr>
            </w:pPr>
          </w:p>
          <w:p>
            <w:pPr>
              <w:pStyle w:val="TableParagraph"/>
              <w:spacing w:before="1"/>
              <w:ind w:left="139" w:right="19"/>
              <w:rPr>
                <w:sz w:val="18"/>
              </w:rPr>
            </w:pPr>
            <w:r>
              <w:rPr>
                <w:sz w:val="18"/>
              </w:rPr>
              <w:t xml:space="preserve">55～60 </w:t>
            </w:r>
          </w:p>
        </w:tc>
      </w:tr>
      <w:tr>
        <w:tblPrEx>
          <w:tblW w:w="0" w:type="auto"/>
          <w:jc w:val="left"/>
          <w:tblInd w:w="362" w:type="dxa"/>
          <w:tblLayout w:type="fixed"/>
          <w:tblCellMar>
            <w:top w:w="0" w:type="dxa"/>
            <w:left w:w="0" w:type="dxa"/>
            <w:bottom w:w="0" w:type="dxa"/>
            <w:right w:w="0" w:type="dxa"/>
          </w:tblCellMar>
          <w:tblLook w:val="01E0"/>
        </w:tblPrEx>
        <w:trPr>
          <w:trHeight w:val="568"/>
          <w:jc w:val="left"/>
        </w:trPr>
        <w:tc>
          <w:tcPr>
            <w:tcW w:w="936" w:type="dxa"/>
            <w:tcBorders>
              <w:top w:val="single" w:sz="4" w:space="0" w:color="000000"/>
            </w:tcBorders>
          </w:tcPr>
          <w:p>
            <w:pPr>
              <w:pStyle w:val="TableParagraph"/>
              <w:ind w:left="134" w:right="12"/>
              <w:rPr>
                <w:sz w:val="18"/>
              </w:rPr>
            </w:pPr>
            <w:r>
              <w:rPr>
                <w:sz w:val="18"/>
              </w:rPr>
              <w:t xml:space="preserve">光照时长 </w:t>
            </w:r>
          </w:p>
          <w:p>
            <w:pPr>
              <w:pStyle w:val="TableParagraph"/>
              <w:spacing w:before="82" w:line="198" w:lineRule="exact"/>
              <w:ind w:left="130" w:right="12"/>
              <w:rPr>
                <w:sz w:val="18"/>
              </w:rPr>
            </w:pPr>
            <w:r>
              <w:rPr>
                <w:sz w:val="18"/>
              </w:rPr>
              <w:t xml:space="preserve">h </w:t>
            </w:r>
          </w:p>
        </w:tc>
        <w:tc>
          <w:tcPr>
            <w:tcW w:w="939" w:type="dxa"/>
            <w:tcBorders>
              <w:top w:val="single" w:sz="4" w:space="0" w:color="000000"/>
              <w:right w:val="single" w:sz="4" w:space="0" w:color="000000"/>
            </w:tcBorders>
          </w:tcPr>
          <w:p>
            <w:pPr>
              <w:pStyle w:val="TableParagraph"/>
              <w:spacing w:before="11"/>
              <w:jc w:val="left"/>
              <w:rPr>
                <w:rFonts w:ascii="黑体"/>
                <w:sz w:val="12"/>
              </w:rPr>
            </w:pPr>
          </w:p>
          <w:p>
            <w:pPr>
              <w:pStyle w:val="TableParagraph"/>
              <w:spacing w:before="0"/>
              <w:ind w:left="225" w:right="113"/>
              <w:rPr>
                <w:sz w:val="18"/>
              </w:rPr>
            </w:pPr>
            <w:r>
              <w:rPr>
                <w:sz w:val="18"/>
              </w:rPr>
              <w:t xml:space="preserve">24 </w:t>
            </w:r>
          </w:p>
        </w:tc>
        <w:tc>
          <w:tcPr>
            <w:tcW w:w="938" w:type="dxa"/>
            <w:tcBorders>
              <w:top w:val="single" w:sz="4" w:space="0" w:color="000000"/>
              <w:left w:val="single" w:sz="4" w:space="0" w:color="000000"/>
              <w:right w:val="single" w:sz="4" w:space="0" w:color="000000"/>
            </w:tcBorders>
          </w:tcPr>
          <w:p>
            <w:pPr>
              <w:pStyle w:val="TableParagraph"/>
              <w:spacing w:before="11"/>
              <w:jc w:val="left"/>
              <w:rPr>
                <w:rFonts w:ascii="黑体"/>
                <w:sz w:val="12"/>
              </w:rPr>
            </w:pPr>
          </w:p>
          <w:p>
            <w:pPr>
              <w:pStyle w:val="TableParagraph"/>
              <w:spacing w:before="0"/>
              <w:ind w:left="186" w:right="67"/>
              <w:rPr>
                <w:sz w:val="18"/>
              </w:rPr>
            </w:pPr>
            <w:r>
              <w:rPr>
                <w:sz w:val="18"/>
              </w:rPr>
              <w:t xml:space="preserve">23 </w:t>
            </w:r>
          </w:p>
        </w:tc>
        <w:tc>
          <w:tcPr>
            <w:tcW w:w="938" w:type="dxa"/>
            <w:tcBorders>
              <w:top w:val="single" w:sz="4" w:space="0" w:color="000000"/>
              <w:left w:val="single" w:sz="4" w:space="0" w:color="000000"/>
              <w:right w:val="single" w:sz="4" w:space="0" w:color="000000"/>
            </w:tcBorders>
          </w:tcPr>
          <w:p>
            <w:pPr>
              <w:pStyle w:val="TableParagraph"/>
              <w:spacing w:before="11"/>
              <w:jc w:val="left"/>
              <w:rPr>
                <w:rFonts w:ascii="黑体"/>
                <w:sz w:val="12"/>
              </w:rPr>
            </w:pPr>
          </w:p>
          <w:p>
            <w:pPr>
              <w:pStyle w:val="TableParagraph"/>
              <w:spacing w:before="0"/>
              <w:ind w:left="186" w:right="67"/>
              <w:rPr>
                <w:sz w:val="18"/>
              </w:rPr>
            </w:pPr>
            <w:r>
              <w:rPr>
                <w:sz w:val="18"/>
              </w:rPr>
              <w:t xml:space="preserve">21 </w:t>
            </w:r>
          </w:p>
        </w:tc>
        <w:tc>
          <w:tcPr>
            <w:tcW w:w="936" w:type="dxa"/>
            <w:tcBorders>
              <w:top w:val="single" w:sz="4" w:space="0" w:color="000000"/>
              <w:left w:val="single" w:sz="4" w:space="0" w:color="000000"/>
              <w:right w:val="single" w:sz="4" w:space="0" w:color="000000"/>
            </w:tcBorders>
          </w:tcPr>
          <w:p>
            <w:pPr>
              <w:pStyle w:val="TableParagraph"/>
              <w:spacing w:before="11"/>
              <w:jc w:val="left"/>
              <w:rPr>
                <w:rFonts w:ascii="黑体"/>
                <w:sz w:val="12"/>
              </w:rPr>
            </w:pPr>
          </w:p>
          <w:p>
            <w:pPr>
              <w:pStyle w:val="TableParagraph"/>
              <w:spacing w:before="0"/>
              <w:ind w:left="232" w:right="114"/>
              <w:rPr>
                <w:sz w:val="18"/>
              </w:rPr>
            </w:pPr>
            <w:r>
              <w:rPr>
                <w:sz w:val="18"/>
              </w:rPr>
              <w:t xml:space="preserve">19 </w:t>
            </w:r>
          </w:p>
        </w:tc>
        <w:tc>
          <w:tcPr>
            <w:tcW w:w="938" w:type="dxa"/>
            <w:tcBorders>
              <w:top w:val="single" w:sz="4" w:space="0" w:color="000000"/>
              <w:left w:val="single" w:sz="4" w:space="0" w:color="000000"/>
              <w:right w:val="single" w:sz="4" w:space="0" w:color="000000"/>
            </w:tcBorders>
          </w:tcPr>
          <w:p>
            <w:pPr>
              <w:pStyle w:val="TableParagraph"/>
              <w:spacing w:before="11"/>
              <w:jc w:val="left"/>
              <w:rPr>
                <w:rFonts w:ascii="黑体"/>
                <w:sz w:val="12"/>
              </w:rPr>
            </w:pPr>
          </w:p>
          <w:p>
            <w:pPr>
              <w:pStyle w:val="TableParagraph"/>
              <w:spacing w:before="0"/>
              <w:ind w:left="188" w:right="67"/>
              <w:rPr>
                <w:sz w:val="18"/>
              </w:rPr>
            </w:pPr>
            <w:r>
              <w:rPr>
                <w:sz w:val="18"/>
              </w:rPr>
              <w:t xml:space="preserve">17 </w:t>
            </w:r>
          </w:p>
        </w:tc>
        <w:tc>
          <w:tcPr>
            <w:tcW w:w="939" w:type="dxa"/>
            <w:tcBorders>
              <w:top w:val="single" w:sz="4" w:space="0" w:color="000000"/>
              <w:left w:val="single" w:sz="4" w:space="0" w:color="000000"/>
              <w:right w:val="single" w:sz="4" w:space="0" w:color="000000"/>
            </w:tcBorders>
          </w:tcPr>
          <w:p>
            <w:pPr>
              <w:pStyle w:val="TableParagraph"/>
              <w:spacing w:before="11"/>
              <w:jc w:val="left"/>
              <w:rPr>
                <w:rFonts w:ascii="黑体"/>
                <w:sz w:val="12"/>
              </w:rPr>
            </w:pPr>
          </w:p>
          <w:p>
            <w:pPr>
              <w:pStyle w:val="TableParagraph"/>
              <w:spacing w:before="0"/>
              <w:ind w:left="235" w:right="114"/>
              <w:rPr>
                <w:sz w:val="18"/>
              </w:rPr>
            </w:pPr>
            <w:r>
              <w:rPr>
                <w:sz w:val="18"/>
              </w:rPr>
              <w:t xml:space="preserve">14 </w:t>
            </w:r>
          </w:p>
        </w:tc>
        <w:tc>
          <w:tcPr>
            <w:tcW w:w="938" w:type="dxa"/>
            <w:tcBorders>
              <w:top w:val="single" w:sz="4" w:space="0" w:color="000000"/>
              <w:left w:val="single" w:sz="4" w:space="0" w:color="000000"/>
              <w:right w:val="single" w:sz="4" w:space="0" w:color="000000"/>
            </w:tcBorders>
          </w:tcPr>
          <w:p>
            <w:pPr>
              <w:pStyle w:val="TableParagraph"/>
              <w:spacing w:before="11"/>
              <w:jc w:val="left"/>
              <w:rPr>
                <w:rFonts w:ascii="黑体"/>
                <w:sz w:val="12"/>
              </w:rPr>
            </w:pPr>
          </w:p>
          <w:p>
            <w:pPr>
              <w:pStyle w:val="TableParagraph"/>
              <w:spacing w:before="0"/>
              <w:ind w:left="189" w:right="67"/>
              <w:rPr>
                <w:sz w:val="18"/>
              </w:rPr>
            </w:pPr>
            <w:r>
              <w:rPr>
                <w:sz w:val="18"/>
              </w:rPr>
              <w:t xml:space="preserve">11 </w:t>
            </w:r>
          </w:p>
        </w:tc>
        <w:tc>
          <w:tcPr>
            <w:tcW w:w="938" w:type="dxa"/>
            <w:tcBorders>
              <w:top w:val="single" w:sz="4" w:space="0" w:color="000000"/>
              <w:left w:val="single" w:sz="4" w:space="0" w:color="000000"/>
              <w:right w:val="single" w:sz="4" w:space="0" w:color="000000"/>
            </w:tcBorders>
          </w:tcPr>
          <w:p>
            <w:pPr>
              <w:pStyle w:val="TableParagraph"/>
              <w:spacing w:before="11"/>
              <w:jc w:val="left"/>
              <w:rPr>
                <w:rFonts w:ascii="黑体"/>
                <w:sz w:val="12"/>
              </w:rPr>
            </w:pPr>
          </w:p>
          <w:p>
            <w:pPr>
              <w:pStyle w:val="TableParagraph"/>
              <w:spacing w:before="0"/>
              <w:ind w:left="190" w:right="67"/>
              <w:rPr>
                <w:sz w:val="18"/>
              </w:rPr>
            </w:pPr>
            <w:r>
              <w:rPr>
                <w:sz w:val="18"/>
              </w:rPr>
              <w:t xml:space="preserve">11 </w:t>
            </w:r>
          </w:p>
        </w:tc>
        <w:tc>
          <w:tcPr>
            <w:tcW w:w="938" w:type="dxa"/>
            <w:tcBorders>
              <w:top w:val="single" w:sz="4" w:space="0" w:color="000000"/>
              <w:left w:val="single" w:sz="4" w:space="0" w:color="000000"/>
            </w:tcBorders>
          </w:tcPr>
          <w:p>
            <w:pPr>
              <w:pStyle w:val="TableParagraph"/>
              <w:spacing w:before="11"/>
              <w:jc w:val="left"/>
              <w:rPr>
                <w:rFonts w:ascii="黑体"/>
                <w:sz w:val="12"/>
              </w:rPr>
            </w:pPr>
          </w:p>
          <w:p>
            <w:pPr>
              <w:pStyle w:val="TableParagraph"/>
              <w:spacing w:before="0"/>
              <w:ind w:left="139" w:right="17"/>
              <w:rPr>
                <w:sz w:val="18"/>
              </w:rPr>
            </w:pPr>
            <w:r>
              <w:rPr>
                <w:sz w:val="18"/>
              </w:rPr>
              <w:t xml:space="preserve">11.5 </w:t>
            </w:r>
          </w:p>
        </w:tc>
      </w:tr>
    </w:tbl>
    <w:p>
      <w:pPr>
        <w:pStyle w:val="ListParagraph"/>
        <w:numPr>
          <w:ilvl w:val="2"/>
          <w:numId w:val="10"/>
        </w:numPr>
        <w:tabs>
          <w:tab w:val="left" w:pos="1094"/>
        </w:tabs>
        <w:spacing w:before="178" w:after="0" w:line="240" w:lineRule="auto"/>
        <w:ind w:left="1093" w:right="0" w:hanging="736"/>
        <w:jc w:val="left"/>
        <w:rPr>
          <w:sz w:val="21"/>
        </w:rPr>
      </w:pPr>
      <w:r>
        <w:rPr>
          <w:sz w:val="21"/>
        </w:rPr>
        <w:t>密度</w:t>
      </w:r>
    </w:p>
    <w:p>
      <w:pPr>
        <w:pStyle w:val="BodyText"/>
        <w:spacing w:before="177"/>
        <w:ind w:left="778"/>
        <w:rPr>
          <w:sz w:val="24"/>
        </w:rPr>
      </w:pPr>
      <w:r>
        <w:t>笼养条件下，不同日龄的饲养密度见表</w:t>
      </w:r>
      <w:r>
        <w:rPr>
          <w:rFonts w:ascii="Times New Roman" w:eastAsia="Times New Roman"/>
        </w:rPr>
        <w:t>2</w:t>
      </w:r>
      <w:r>
        <w:t>。可根据环境气温、鸡群状况等进行适当调整</w:t>
      </w:r>
      <w:r>
        <w:rPr>
          <w:sz w:val="24"/>
        </w:rPr>
        <w:t>。</w:t>
      </w:r>
    </w:p>
    <w:p>
      <w:pPr>
        <w:pStyle w:val="BodyText"/>
        <w:tabs>
          <w:tab w:val="left" w:pos="525"/>
        </w:tabs>
        <w:spacing w:before="183"/>
        <w:ind w:right="49"/>
        <w:jc w:val="center"/>
        <w:rPr>
          <w:rFonts w:ascii="黑体" w:eastAsia="黑体" w:hint="eastAsia"/>
        </w:rPr>
      </w:pPr>
      <w:r>
        <w:rPr>
          <w:rFonts w:ascii="黑体" w:eastAsia="黑体" w:hint="eastAsia"/>
        </w:rPr>
        <w:t>表</w:t>
      </w:r>
      <w:r>
        <w:rPr>
          <w:rFonts w:ascii="Times New Roman" w:eastAsia="Times New Roman"/>
        </w:rPr>
        <w:t>2</w:t>
        <w:tab/>
      </w:r>
      <w:r>
        <w:rPr>
          <w:rFonts w:ascii="黑体" w:eastAsia="黑体" w:hint="eastAsia"/>
        </w:rPr>
        <w:t>不同</w:t>
      </w:r>
      <w:r>
        <w:rPr>
          <w:rFonts w:ascii="黑体" w:eastAsia="黑体" w:hint="eastAsia"/>
          <w:spacing w:val="-3"/>
        </w:rPr>
        <w:t>日</w:t>
      </w:r>
      <w:r>
        <w:rPr>
          <w:rFonts w:ascii="黑体" w:eastAsia="黑体" w:hint="eastAsia"/>
        </w:rPr>
        <w:t>龄</w:t>
      </w:r>
      <w:r>
        <w:rPr>
          <w:rFonts w:ascii="黑体" w:eastAsia="黑体" w:hint="eastAsia"/>
          <w:spacing w:val="-3"/>
        </w:rPr>
        <w:t>的</w:t>
      </w:r>
      <w:r>
        <w:rPr>
          <w:rFonts w:ascii="黑体" w:eastAsia="黑体" w:hint="eastAsia"/>
        </w:rPr>
        <w:t>饲</w:t>
      </w:r>
      <w:r>
        <w:rPr>
          <w:rFonts w:ascii="黑体" w:eastAsia="黑体" w:hint="eastAsia"/>
          <w:spacing w:val="-3"/>
        </w:rPr>
        <w:t>养</w:t>
      </w:r>
      <w:r>
        <w:rPr>
          <w:rFonts w:ascii="黑体" w:eastAsia="黑体" w:hint="eastAsia"/>
        </w:rPr>
        <w:t>密度</w:t>
      </w:r>
    </w:p>
    <w:p>
      <w:pPr>
        <w:pStyle w:val="BodyText"/>
        <w:spacing w:before="9" w:after="1"/>
        <w:rPr>
          <w:rFonts w:ascii="黑体"/>
          <w:sz w:val="13"/>
        </w:rPr>
      </w:pPr>
    </w:p>
    <w:tbl>
      <w:tblPr>
        <w:tblStyle w:val="TableNormal0"/>
        <w:tblW w:w="0" w:type="auto"/>
        <w:jc w:val="left"/>
        <w:tblInd w:w="36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570"/>
        <w:gridCol w:w="1561"/>
        <w:gridCol w:w="1566"/>
        <w:gridCol w:w="1564"/>
        <w:gridCol w:w="1563"/>
        <w:gridCol w:w="1563"/>
      </w:tblGrid>
      <w:tr>
        <w:tblPrEx>
          <w:tblW w:w="0" w:type="auto"/>
          <w:jc w:val="left"/>
          <w:tblInd w:w="36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582"/>
          <w:jc w:val="left"/>
        </w:trPr>
        <w:tc>
          <w:tcPr>
            <w:tcW w:w="1570" w:type="dxa"/>
            <w:tcBorders>
              <w:bottom w:val="single" w:sz="4" w:space="0" w:color="000000"/>
            </w:tcBorders>
          </w:tcPr>
          <w:p>
            <w:pPr>
              <w:pStyle w:val="TableParagraph"/>
              <w:spacing w:before="40"/>
              <w:ind w:left="626" w:right="513"/>
              <w:rPr>
                <w:sz w:val="18"/>
              </w:rPr>
            </w:pPr>
            <w:r>
              <w:rPr>
                <w:sz w:val="18"/>
              </w:rPr>
              <w:t xml:space="preserve">日龄 </w:t>
            </w:r>
          </w:p>
          <w:p>
            <w:pPr>
              <w:pStyle w:val="TableParagraph"/>
              <w:spacing w:before="81" w:line="210" w:lineRule="exact"/>
              <w:ind w:left="626" w:right="513"/>
              <w:rPr>
                <w:sz w:val="18"/>
              </w:rPr>
            </w:pPr>
            <w:r>
              <w:rPr>
                <w:sz w:val="18"/>
              </w:rPr>
              <w:t xml:space="preserve">d </w:t>
            </w:r>
          </w:p>
        </w:tc>
        <w:tc>
          <w:tcPr>
            <w:tcW w:w="1561" w:type="dxa"/>
            <w:tcBorders>
              <w:bottom w:val="single" w:sz="4" w:space="0" w:color="000000"/>
              <w:right w:val="single" w:sz="4" w:space="0" w:color="000000"/>
            </w:tcBorders>
          </w:tcPr>
          <w:p>
            <w:pPr>
              <w:pStyle w:val="TableParagraph"/>
              <w:spacing w:before="8"/>
              <w:jc w:val="left"/>
              <w:rPr>
                <w:rFonts w:ascii="黑体"/>
                <w:sz w:val="13"/>
              </w:rPr>
            </w:pPr>
          </w:p>
          <w:p>
            <w:pPr>
              <w:pStyle w:val="TableParagraph"/>
              <w:spacing w:before="0"/>
              <w:ind w:left="537" w:right="420"/>
              <w:rPr>
                <w:sz w:val="18"/>
              </w:rPr>
            </w:pPr>
            <w:r>
              <w:rPr>
                <w:sz w:val="18"/>
              </w:rPr>
              <w:t xml:space="preserve">0～7 </w:t>
            </w:r>
          </w:p>
        </w:tc>
        <w:tc>
          <w:tcPr>
            <w:tcW w:w="1566" w:type="dxa"/>
            <w:tcBorders>
              <w:left w:val="single" w:sz="4" w:space="0" w:color="000000"/>
              <w:bottom w:val="single" w:sz="4" w:space="0" w:color="000000"/>
              <w:right w:val="single" w:sz="4" w:space="0" w:color="000000"/>
            </w:tcBorders>
          </w:tcPr>
          <w:p>
            <w:pPr>
              <w:pStyle w:val="TableParagraph"/>
              <w:spacing w:before="8"/>
              <w:jc w:val="left"/>
              <w:rPr>
                <w:rFonts w:ascii="黑体"/>
                <w:sz w:val="13"/>
              </w:rPr>
            </w:pPr>
          </w:p>
          <w:p>
            <w:pPr>
              <w:pStyle w:val="TableParagraph"/>
              <w:spacing w:before="0"/>
              <w:ind w:left="542" w:right="431"/>
              <w:rPr>
                <w:sz w:val="18"/>
              </w:rPr>
            </w:pPr>
            <w:r>
              <w:rPr>
                <w:sz w:val="18"/>
              </w:rPr>
              <w:t xml:space="preserve">8～28 </w:t>
            </w:r>
          </w:p>
        </w:tc>
        <w:tc>
          <w:tcPr>
            <w:tcW w:w="1564" w:type="dxa"/>
            <w:tcBorders>
              <w:left w:val="single" w:sz="4" w:space="0" w:color="000000"/>
              <w:bottom w:val="single" w:sz="4" w:space="0" w:color="000000"/>
              <w:right w:val="single" w:sz="4" w:space="0" w:color="000000"/>
            </w:tcBorders>
          </w:tcPr>
          <w:p>
            <w:pPr>
              <w:pStyle w:val="TableParagraph"/>
              <w:spacing w:before="8"/>
              <w:jc w:val="left"/>
              <w:rPr>
                <w:rFonts w:ascii="黑体"/>
                <w:sz w:val="13"/>
              </w:rPr>
            </w:pPr>
          </w:p>
          <w:p>
            <w:pPr>
              <w:pStyle w:val="TableParagraph"/>
              <w:spacing w:before="0"/>
              <w:ind w:right="405"/>
              <w:jc w:val="right"/>
              <w:rPr>
                <w:sz w:val="18"/>
              </w:rPr>
            </w:pPr>
            <w:r>
              <w:rPr>
                <w:sz w:val="18"/>
              </w:rPr>
              <w:t xml:space="preserve">29～35 </w:t>
            </w:r>
          </w:p>
        </w:tc>
        <w:tc>
          <w:tcPr>
            <w:tcW w:w="1563" w:type="dxa"/>
            <w:tcBorders>
              <w:left w:val="single" w:sz="4" w:space="0" w:color="000000"/>
              <w:bottom w:val="single" w:sz="4" w:space="0" w:color="000000"/>
              <w:right w:val="single" w:sz="4" w:space="0" w:color="000000"/>
            </w:tcBorders>
          </w:tcPr>
          <w:p>
            <w:pPr>
              <w:pStyle w:val="TableParagraph"/>
              <w:spacing w:before="8"/>
              <w:jc w:val="left"/>
              <w:rPr>
                <w:rFonts w:ascii="黑体"/>
                <w:sz w:val="13"/>
              </w:rPr>
            </w:pPr>
          </w:p>
          <w:p>
            <w:pPr>
              <w:pStyle w:val="TableParagraph"/>
              <w:spacing w:before="0"/>
              <w:ind w:right="403"/>
              <w:jc w:val="right"/>
              <w:rPr>
                <w:sz w:val="18"/>
              </w:rPr>
            </w:pPr>
            <w:r>
              <w:rPr>
                <w:sz w:val="18"/>
              </w:rPr>
              <w:t xml:space="preserve">36～70 </w:t>
            </w:r>
          </w:p>
        </w:tc>
        <w:tc>
          <w:tcPr>
            <w:tcW w:w="1563" w:type="dxa"/>
            <w:tcBorders>
              <w:left w:val="single" w:sz="4" w:space="0" w:color="000000"/>
              <w:bottom w:val="single" w:sz="4" w:space="0" w:color="000000"/>
            </w:tcBorders>
          </w:tcPr>
          <w:p>
            <w:pPr>
              <w:pStyle w:val="TableParagraph"/>
              <w:spacing w:before="8"/>
              <w:jc w:val="left"/>
              <w:rPr>
                <w:rFonts w:ascii="黑体"/>
                <w:sz w:val="13"/>
              </w:rPr>
            </w:pPr>
          </w:p>
          <w:p>
            <w:pPr>
              <w:pStyle w:val="TableParagraph"/>
              <w:spacing w:before="0"/>
              <w:ind w:right="352"/>
              <w:jc w:val="right"/>
              <w:rPr>
                <w:sz w:val="18"/>
              </w:rPr>
            </w:pPr>
            <w:r>
              <w:rPr>
                <w:sz w:val="18"/>
              </w:rPr>
              <w:t xml:space="preserve">71～147 </w:t>
            </w:r>
          </w:p>
        </w:tc>
      </w:tr>
      <w:tr>
        <w:tblPrEx>
          <w:tblW w:w="0" w:type="auto"/>
          <w:jc w:val="left"/>
          <w:tblInd w:w="360" w:type="dxa"/>
          <w:tblLayout w:type="fixed"/>
          <w:tblCellMar>
            <w:top w:w="0" w:type="dxa"/>
            <w:left w:w="0" w:type="dxa"/>
            <w:bottom w:w="0" w:type="dxa"/>
            <w:right w:w="0" w:type="dxa"/>
          </w:tblCellMar>
          <w:tblLook w:val="01E0"/>
        </w:tblPrEx>
        <w:trPr>
          <w:trHeight w:val="584"/>
          <w:jc w:val="left"/>
        </w:trPr>
        <w:tc>
          <w:tcPr>
            <w:tcW w:w="1570" w:type="dxa"/>
            <w:tcBorders>
              <w:top w:val="single" w:sz="4" w:space="0" w:color="000000"/>
            </w:tcBorders>
          </w:tcPr>
          <w:p>
            <w:pPr>
              <w:pStyle w:val="TableParagraph"/>
              <w:spacing w:before="40"/>
              <w:ind w:left="601"/>
              <w:jc w:val="left"/>
              <w:rPr>
                <w:sz w:val="18"/>
              </w:rPr>
            </w:pPr>
            <w:r>
              <w:rPr>
                <w:sz w:val="18"/>
              </w:rPr>
              <w:t xml:space="preserve">密度 </w:t>
            </w:r>
          </w:p>
          <w:p>
            <w:pPr>
              <w:pStyle w:val="TableParagraph"/>
              <w:spacing w:before="82" w:line="212" w:lineRule="exact"/>
              <w:ind w:left="580"/>
              <w:jc w:val="left"/>
              <w:rPr>
                <w:sz w:val="18"/>
              </w:rPr>
            </w:pPr>
            <w:r>
              <w:rPr>
                <w:spacing w:val="-1"/>
                <w:sz w:val="18"/>
              </w:rPr>
              <w:t>只/m</w:t>
            </w:r>
            <w:r>
              <w:rPr>
                <w:spacing w:val="-1"/>
                <w:position w:val="9"/>
                <w:sz w:val="9"/>
              </w:rPr>
              <w:t>2</w:t>
            </w:r>
            <w:r>
              <w:rPr>
                <w:sz w:val="18"/>
              </w:rPr>
              <w:t xml:space="preserve"> </w:t>
            </w:r>
          </w:p>
        </w:tc>
        <w:tc>
          <w:tcPr>
            <w:tcW w:w="1561" w:type="dxa"/>
            <w:tcBorders>
              <w:top w:val="single" w:sz="4" w:space="0" w:color="000000"/>
              <w:right w:val="single" w:sz="4" w:space="0" w:color="000000"/>
            </w:tcBorders>
          </w:tcPr>
          <w:p>
            <w:pPr>
              <w:pStyle w:val="TableParagraph"/>
              <w:spacing w:before="8"/>
              <w:jc w:val="left"/>
              <w:rPr>
                <w:rFonts w:ascii="黑体"/>
                <w:sz w:val="13"/>
              </w:rPr>
            </w:pPr>
          </w:p>
          <w:p>
            <w:pPr>
              <w:pStyle w:val="TableParagraph"/>
              <w:spacing w:before="0"/>
              <w:ind w:left="540" w:right="420"/>
              <w:rPr>
                <w:sz w:val="18"/>
              </w:rPr>
            </w:pPr>
            <w:r>
              <w:rPr>
                <w:sz w:val="18"/>
              </w:rPr>
              <w:t xml:space="preserve">40～50 </w:t>
            </w:r>
          </w:p>
        </w:tc>
        <w:tc>
          <w:tcPr>
            <w:tcW w:w="1566" w:type="dxa"/>
            <w:tcBorders>
              <w:top w:val="single" w:sz="4" w:space="0" w:color="000000"/>
              <w:left w:val="single" w:sz="4" w:space="0" w:color="000000"/>
              <w:right w:val="single" w:sz="4" w:space="0" w:color="000000"/>
            </w:tcBorders>
          </w:tcPr>
          <w:p>
            <w:pPr>
              <w:pStyle w:val="TableParagraph"/>
              <w:spacing w:before="8"/>
              <w:jc w:val="left"/>
              <w:rPr>
                <w:rFonts w:ascii="黑体"/>
                <w:sz w:val="13"/>
              </w:rPr>
            </w:pPr>
          </w:p>
          <w:p>
            <w:pPr>
              <w:pStyle w:val="TableParagraph"/>
              <w:spacing w:before="0"/>
              <w:ind w:left="544" w:right="431"/>
              <w:rPr>
                <w:sz w:val="18"/>
              </w:rPr>
            </w:pPr>
            <w:r>
              <w:rPr>
                <w:sz w:val="18"/>
              </w:rPr>
              <w:t xml:space="preserve">20～25 </w:t>
            </w:r>
          </w:p>
        </w:tc>
        <w:tc>
          <w:tcPr>
            <w:tcW w:w="1564" w:type="dxa"/>
            <w:tcBorders>
              <w:top w:val="single" w:sz="4" w:space="0" w:color="000000"/>
              <w:left w:val="single" w:sz="4" w:space="0" w:color="000000"/>
              <w:right w:val="single" w:sz="4" w:space="0" w:color="000000"/>
            </w:tcBorders>
          </w:tcPr>
          <w:p>
            <w:pPr>
              <w:pStyle w:val="TableParagraph"/>
              <w:spacing w:before="8"/>
              <w:jc w:val="left"/>
              <w:rPr>
                <w:rFonts w:ascii="黑体"/>
                <w:sz w:val="13"/>
              </w:rPr>
            </w:pPr>
          </w:p>
          <w:p>
            <w:pPr>
              <w:pStyle w:val="TableParagraph"/>
              <w:spacing w:before="0"/>
              <w:ind w:right="405"/>
              <w:jc w:val="right"/>
              <w:rPr>
                <w:sz w:val="18"/>
              </w:rPr>
            </w:pPr>
            <w:r>
              <w:rPr>
                <w:sz w:val="18"/>
              </w:rPr>
              <w:t xml:space="preserve">15～20 </w:t>
            </w:r>
          </w:p>
        </w:tc>
        <w:tc>
          <w:tcPr>
            <w:tcW w:w="1563" w:type="dxa"/>
            <w:tcBorders>
              <w:top w:val="single" w:sz="4" w:space="0" w:color="000000"/>
              <w:left w:val="single" w:sz="4" w:space="0" w:color="000000"/>
              <w:right w:val="single" w:sz="4" w:space="0" w:color="000000"/>
            </w:tcBorders>
          </w:tcPr>
          <w:p>
            <w:pPr>
              <w:pStyle w:val="TableParagraph"/>
              <w:spacing w:before="8"/>
              <w:jc w:val="left"/>
              <w:rPr>
                <w:rFonts w:ascii="黑体"/>
                <w:sz w:val="13"/>
              </w:rPr>
            </w:pPr>
          </w:p>
          <w:p>
            <w:pPr>
              <w:pStyle w:val="TableParagraph"/>
              <w:spacing w:before="0"/>
              <w:ind w:right="403"/>
              <w:jc w:val="right"/>
              <w:rPr>
                <w:sz w:val="18"/>
              </w:rPr>
            </w:pPr>
            <w:r>
              <w:rPr>
                <w:sz w:val="18"/>
              </w:rPr>
              <w:t xml:space="preserve">20～21 </w:t>
            </w:r>
          </w:p>
        </w:tc>
        <w:tc>
          <w:tcPr>
            <w:tcW w:w="1563" w:type="dxa"/>
            <w:tcBorders>
              <w:top w:val="single" w:sz="4" w:space="0" w:color="000000"/>
              <w:left w:val="single" w:sz="4" w:space="0" w:color="000000"/>
            </w:tcBorders>
          </w:tcPr>
          <w:p>
            <w:pPr>
              <w:pStyle w:val="TableParagraph"/>
              <w:spacing w:before="8"/>
              <w:jc w:val="left"/>
              <w:rPr>
                <w:rFonts w:ascii="黑体"/>
                <w:sz w:val="13"/>
              </w:rPr>
            </w:pPr>
          </w:p>
          <w:p>
            <w:pPr>
              <w:pStyle w:val="TableParagraph"/>
              <w:spacing w:before="0"/>
              <w:ind w:right="398"/>
              <w:jc w:val="right"/>
              <w:rPr>
                <w:sz w:val="18"/>
              </w:rPr>
            </w:pPr>
            <w:r>
              <w:rPr>
                <w:sz w:val="18"/>
              </w:rPr>
              <w:t xml:space="preserve">13～14 </w:t>
            </w:r>
          </w:p>
        </w:tc>
      </w:tr>
    </w:tbl>
    <w:p>
      <w:pPr>
        <w:pStyle w:val="ListParagraph"/>
        <w:numPr>
          <w:ilvl w:val="2"/>
          <w:numId w:val="10"/>
        </w:numPr>
        <w:tabs>
          <w:tab w:val="left" w:pos="1094"/>
        </w:tabs>
        <w:spacing w:before="179" w:after="0" w:line="240" w:lineRule="auto"/>
        <w:ind w:left="1093" w:right="0" w:hanging="736"/>
        <w:jc w:val="left"/>
        <w:rPr>
          <w:sz w:val="21"/>
        </w:rPr>
      </w:pPr>
      <w:r>
        <w:rPr>
          <w:spacing w:val="-1"/>
          <w:sz w:val="21"/>
        </w:rPr>
        <w:t>通风换气</w:t>
      </w:r>
    </w:p>
    <w:p>
      <w:pPr>
        <w:pStyle w:val="BodyText"/>
        <w:spacing w:before="6"/>
        <w:rPr>
          <w:rFonts w:ascii="黑体"/>
          <w:sz w:val="15"/>
        </w:rPr>
      </w:pPr>
    </w:p>
    <w:p>
      <w:pPr>
        <w:pStyle w:val="BodyText"/>
        <w:spacing w:before="1" w:line="278" w:lineRule="auto"/>
        <w:ind w:left="358" w:right="406" w:firstLine="420"/>
        <w:jc w:val="both"/>
      </w:pPr>
      <w:r>
        <w:rPr>
          <w:spacing w:val="-11"/>
        </w:rPr>
        <w:t>封闭式环控鸡舍，冬季可采用侧墙小窗间歇或持续最小通风量通风，夏季可关闭侧墙小窗采用湿帘</w:t>
      </w:r>
      <w:r>
        <w:rPr>
          <w:spacing w:val="-12"/>
        </w:rPr>
        <w:t>通风；半开放式鸡舍，冬季通风时应兼顾舍内保温。封闭式环控鸡舍通风按</w:t>
      </w:r>
      <w:r>
        <w:rPr>
          <w:rFonts w:ascii="Times New Roman" w:eastAsia="Times New Roman"/>
        </w:rPr>
        <w:t>GB/T 26623</w:t>
      </w:r>
      <w:r>
        <w:rPr>
          <w:spacing w:val="-6"/>
        </w:rPr>
        <w:t>的规定执行。鸡</w:t>
      </w:r>
      <w:r>
        <w:rPr>
          <w:spacing w:val="-4"/>
        </w:rPr>
        <w:t>舍内空气环境质量应符合</w:t>
      </w:r>
      <w:r>
        <w:rPr>
          <w:rFonts w:ascii="Times New Roman" w:eastAsia="Times New Roman"/>
        </w:rPr>
        <w:t>NY/T 388</w:t>
      </w:r>
      <w:r>
        <w:rPr>
          <w:spacing w:val="-3"/>
        </w:rPr>
        <w:t>的规定。</w:t>
      </w:r>
    </w:p>
    <w:p>
      <w:pPr>
        <w:pStyle w:val="ListParagraph"/>
        <w:numPr>
          <w:ilvl w:val="2"/>
          <w:numId w:val="10"/>
        </w:numPr>
        <w:tabs>
          <w:tab w:val="left" w:pos="1094"/>
        </w:tabs>
        <w:spacing w:before="155" w:after="0" w:line="240" w:lineRule="auto"/>
        <w:ind w:left="1093" w:right="0" w:hanging="736"/>
        <w:jc w:val="left"/>
        <w:rPr>
          <w:sz w:val="21"/>
        </w:rPr>
      </w:pPr>
      <w:r>
        <w:rPr>
          <w:spacing w:val="-3"/>
          <w:sz w:val="21"/>
        </w:rPr>
        <w:t>喂料量与喂料次数</w:t>
      </w:r>
    </w:p>
    <w:p>
      <w:pPr>
        <w:pStyle w:val="BodyText"/>
        <w:spacing w:before="7"/>
        <w:rPr>
          <w:rFonts w:ascii="黑体"/>
          <w:sz w:val="15"/>
        </w:rPr>
      </w:pPr>
    </w:p>
    <w:p>
      <w:pPr>
        <w:pStyle w:val="BodyText"/>
        <w:ind w:left="778"/>
      </w:pPr>
      <w:r>
        <w:t>推荐喂料量见附录</w:t>
      </w:r>
      <w:r>
        <w:rPr>
          <w:rFonts w:ascii="Times New Roman" w:eastAsia="Times New Roman"/>
        </w:rPr>
        <w:t>C</w:t>
      </w:r>
      <w:r>
        <w:t>。喂料次数，</w:t>
      </w:r>
      <w:r>
        <w:rPr>
          <w:rFonts w:ascii="Times New Roman" w:eastAsia="Times New Roman"/>
        </w:rPr>
        <w:t>1</w:t>
      </w:r>
      <w:r>
        <w:t>日龄为</w:t>
      </w:r>
      <w:r>
        <w:rPr>
          <w:rFonts w:ascii="Times New Roman" w:eastAsia="Times New Roman"/>
        </w:rPr>
        <w:t>6</w:t>
      </w:r>
      <w:r>
        <w:t>次</w:t>
      </w:r>
      <w:r>
        <w:rPr>
          <w:rFonts w:ascii="Times New Roman" w:eastAsia="Times New Roman"/>
        </w:rPr>
        <w:t>/d</w:t>
      </w:r>
      <w:r>
        <w:t>～</w:t>
      </w:r>
      <w:r>
        <w:rPr>
          <w:rFonts w:ascii="Times New Roman" w:eastAsia="Times New Roman"/>
        </w:rPr>
        <w:t>8</w:t>
      </w:r>
      <w:r>
        <w:t>次</w:t>
      </w:r>
      <w:r>
        <w:rPr>
          <w:rFonts w:ascii="Times New Roman" w:eastAsia="Times New Roman"/>
        </w:rPr>
        <w:t>/d</w:t>
      </w:r>
      <w:r>
        <w:t>，每周减少</w:t>
      </w:r>
      <w:r>
        <w:rPr>
          <w:rFonts w:ascii="Times New Roman" w:eastAsia="Times New Roman"/>
        </w:rPr>
        <w:t>1</w:t>
      </w:r>
      <w:r>
        <w:t>次～</w:t>
      </w:r>
      <w:r>
        <w:rPr>
          <w:rFonts w:ascii="Times New Roman" w:eastAsia="Times New Roman"/>
        </w:rPr>
        <w:t>2</w:t>
      </w:r>
      <w:r>
        <w:t>次，至</w:t>
      </w:r>
      <w:r>
        <w:rPr>
          <w:rFonts w:ascii="Times New Roman" w:eastAsia="Times New Roman"/>
        </w:rPr>
        <w:t>36</w:t>
      </w:r>
      <w:r>
        <w:t>日龄为</w:t>
      </w:r>
      <w:r>
        <w:rPr>
          <w:rFonts w:ascii="Times New Roman" w:eastAsia="Times New Roman"/>
        </w:rPr>
        <w:t>1</w:t>
      </w:r>
      <w:r>
        <w:t>次</w:t>
      </w:r>
      <w:r>
        <w:rPr>
          <w:rFonts w:ascii="Times New Roman" w:eastAsia="Times New Roman"/>
        </w:rPr>
        <w:t>/d</w:t>
      </w:r>
      <w:r>
        <w:t>。</w:t>
      </w:r>
    </w:p>
    <w:p>
      <w:pPr>
        <w:pStyle w:val="BodyText"/>
        <w:spacing w:before="7"/>
        <w:rPr>
          <w:sz w:val="15"/>
        </w:rPr>
      </w:pPr>
    </w:p>
    <w:p>
      <w:pPr>
        <w:pStyle w:val="ListParagraph"/>
        <w:numPr>
          <w:ilvl w:val="2"/>
          <w:numId w:val="10"/>
        </w:numPr>
        <w:tabs>
          <w:tab w:val="left" w:pos="1094"/>
        </w:tabs>
        <w:spacing w:before="0" w:after="0" w:line="240" w:lineRule="auto"/>
        <w:ind w:left="1093" w:right="0" w:hanging="736"/>
        <w:jc w:val="left"/>
        <w:rPr>
          <w:sz w:val="21"/>
        </w:rPr>
      </w:pPr>
      <w:r>
        <w:rPr>
          <w:spacing w:val="-2"/>
          <w:sz w:val="21"/>
        </w:rPr>
        <w:t>体重监测与体重控制</w:t>
      </w:r>
    </w:p>
    <w:p>
      <w:pPr>
        <w:pStyle w:val="BodyText"/>
        <w:spacing w:before="6"/>
        <w:rPr>
          <w:rFonts w:ascii="黑体"/>
          <w:sz w:val="15"/>
        </w:rPr>
      </w:pPr>
    </w:p>
    <w:p>
      <w:pPr>
        <w:pStyle w:val="BodyText"/>
        <w:spacing w:before="1" w:line="278" w:lineRule="auto"/>
        <w:ind w:left="358" w:right="403" w:firstLine="420"/>
      </w:pPr>
      <w:r>
        <w:t>每周按鸡群数量的</w:t>
      </w:r>
      <w:r>
        <w:rPr>
          <w:rFonts w:ascii="Times New Roman" w:eastAsia="Times New Roman"/>
        </w:rPr>
        <w:t>3%~5%</w:t>
      </w:r>
      <w:r>
        <w:t>随机抽样，进行空腹称重，且每个群体抽样数量不少于</w:t>
      </w:r>
      <w:r>
        <w:rPr>
          <w:rFonts w:ascii="Times New Roman" w:eastAsia="Times New Roman"/>
        </w:rPr>
        <w:t>50</w:t>
      </w:r>
      <w:r>
        <w:t>个。根据抽样体重与标准体重对比结果，通过调整或维持喂料量进行体重控制。体重标准见附录</w:t>
      </w:r>
      <w:r>
        <w:rPr>
          <w:rFonts w:ascii="Times New Roman" w:eastAsia="Times New Roman"/>
        </w:rPr>
        <w:t>C</w:t>
      </w:r>
      <w:r>
        <w:t>。</w:t>
      </w:r>
    </w:p>
    <w:p>
      <w:pPr>
        <w:pStyle w:val="ListParagraph"/>
        <w:numPr>
          <w:ilvl w:val="2"/>
          <w:numId w:val="10"/>
        </w:numPr>
        <w:tabs>
          <w:tab w:val="left" w:pos="1094"/>
        </w:tabs>
        <w:spacing w:before="156" w:after="0" w:line="240" w:lineRule="auto"/>
        <w:ind w:left="1093" w:right="0" w:hanging="736"/>
        <w:jc w:val="left"/>
        <w:rPr>
          <w:sz w:val="21"/>
        </w:rPr>
      </w:pPr>
      <w:r>
        <w:rPr>
          <w:sz w:val="21"/>
        </w:rPr>
        <w:t>转群</w:t>
      </w:r>
    </w:p>
    <w:p>
      <w:pPr>
        <w:pStyle w:val="BodyText"/>
        <w:spacing w:before="6"/>
        <w:rPr>
          <w:rFonts w:ascii="黑体"/>
          <w:sz w:val="15"/>
        </w:rPr>
      </w:pPr>
    </w:p>
    <w:p>
      <w:pPr>
        <w:pStyle w:val="BodyText"/>
        <w:spacing w:before="1"/>
        <w:ind w:left="778"/>
      </w:pPr>
      <w:r>
        <w:rPr>
          <w:rFonts w:ascii="Times New Roman" w:eastAsia="Times New Roman"/>
        </w:rPr>
        <w:t>19 w</w:t>
      </w:r>
      <w:r>
        <w:rPr>
          <w:spacing w:val="-3"/>
        </w:rPr>
        <w:t>将鸡群从育雏育成舍转入产蛋舍。转群入舍前准备事项见</w:t>
      </w:r>
      <w:r>
        <w:rPr>
          <w:rFonts w:ascii="Times New Roman" w:eastAsia="Times New Roman"/>
        </w:rPr>
        <w:t>5.1.1</w:t>
      </w:r>
      <w:r>
        <w:rPr>
          <w:rFonts w:ascii="Times New Roman" w:eastAsia="Times New Roman"/>
          <w:spacing w:val="52"/>
        </w:rPr>
        <w:t xml:space="preserve"> </w:t>
      </w:r>
      <w:r>
        <w:t>。</w:t>
      </w:r>
    </w:p>
    <w:p>
      <w:pPr>
        <w:pStyle w:val="BodyText"/>
        <w:spacing w:before="6"/>
        <w:rPr>
          <w:sz w:val="15"/>
        </w:rPr>
      </w:pPr>
    </w:p>
    <w:p>
      <w:pPr>
        <w:pStyle w:val="ListParagraph"/>
        <w:numPr>
          <w:ilvl w:val="2"/>
          <w:numId w:val="10"/>
        </w:numPr>
        <w:tabs>
          <w:tab w:val="left" w:pos="1199"/>
        </w:tabs>
        <w:spacing w:before="0" w:after="0" w:line="240" w:lineRule="auto"/>
        <w:ind w:left="1198" w:right="0" w:hanging="841"/>
        <w:jc w:val="left"/>
        <w:rPr>
          <w:sz w:val="21"/>
        </w:rPr>
      </w:pPr>
      <w:r>
        <w:rPr>
          <w:spacing w:val="-3"/>
          <w:sz w:val="21"/>
        </w:rPr>
        <w:t>产蛋前期注意事项</w:t>
      </w:r>
    </w:p>
    <w:p>
      <w:pPr>
        <w:pStyle w:val="BodyText"/>
        <w:spacing w:before="7"/>
        <w:rPr>
          <w:rFonts w:ascii="黑体"/>
          <w:sz w:val="15"/>
        </w:rPr>
      </w:pPr>
    </w:p>
    <w:p>
      <w:pPr>
        <w:pStyle w:val="BodyText"/>
        <w:ind w:left="778"/>
      </w:pPr>
      <w:r>
        <w:rPr>
          <w:rFonts w:ascii="Times New Roman" w:eastAsia="Times New Roman"/>
        </w:rPr>
        <w:t>130 d</w:t>
      </w:r>
      <w:r>
        <w:t>起逐渐将育成鸡料转为预产鸡料，</w:t>
      </w:r>
      <w:r>
        <w:rPr>
          <w:rFonts w:ascii="Times New Roman" w:eastAsia="Times New Roman"/>
        </w:rPr>
        <w:t>150 d</w:t>
      </w:r>
      <w:r>
        <w:t>起逐渐将预产鸡料转为产蛋鸡料，过渡时间均为</w:t>
      </w:r>
      <w:r>
        <w:rPr>
          <w:rFonts w:ascii="Times New Roman" w:eastAsia="Times New Roman"/>
        </w:rPr>
        <w:t>5 d</w:t>
      </w:r>
      <w:r>
        <w:t>～</w:t>
      </w:r>
    </w:p>
    <w:p>
      <w:pPr>
        <w:pStyle w:val="BodyText"/>
        <w:spacing w:before="43"/>
        <w:ind w:left="358"/>
      </w:pPr>
      <w:r>
        <w:rPr>
          <w:rFonts w:ascii="Times New Roman" w:eastAsia="Times New Roman"/>
        </w:rPr>
        <w:t>7 d</w:t>
      </w:r>
      <w:r>
        <w:t>。开产前</w:t>
      </w:r>
      <w:r>
        <w:rPr>
          <w:rFonts w:ascii="Times New Roman" w:eastAsia="Times New Roman"/>
        </w:rPr>
        <w:t>30 d</w:t>
      </w:r>
      <w:r>
        <w:t>，修剪公鸡尾部羽毛。开产前</w:t>
      </w:r>
      <w:r>
        <w:rPr>
          <w:rFonts w:ascii="Times New Roman" w:eastAsia="Times New Roman"/>
        </w:rPr>
        <w:t>15 d</w:t>
      </w:r>
      <w:r>
        <w:t>开始采精训练，至开产共训练</w:t>
      </w:r>
      <w:r>
        <w:rPr>
          <w:rFonts w:ascii="Times New Roman" w:eastAsia="Times New Roman"/>
        </w:rPr>
        <w:t>3</w:t>
      </w:r>
      <w:r>
        <w:t>次～</w:t>
      </w:r>
      <w:r>
        <w:rPr>
          <w:rFonts w:ascii="Times New Roman" w:eastAsia="Times New Roman"/>
        </w:rPr>
        <w:t>5</w:t>
      </w:r>
      <w:r>
        <w:t>次。</w:t>
      </w:r>
    </w:p>
    <w:p>
      <w:pPr>
        <w:pStyle w:val="BodyText"/>
        <w:spacing w:before="5"/>
        <w:rPr>
          <w:sz w:val="9"/>
        </w:rPr>
      </w:pPr>
    </w:p>
    <w:p>
      <w:pPr>
        <w:pStyle w:val="BodyText"/>
        <w:spacing w:before="79"/>
        <w:ind w:left="358"/>
        <w:rPr>
          <w:rFonts w:ascii="黑体" w:eastAsia="黑体" w:hint="eastAsia"/>
        </w:rPr>
      </w:pPr>
      <w:r>
        <w:rPr>
          <w:rFonts w:ascii="黑体" w:eastAsia="黑体" w:hint="eastAsia"/>
        </w:rPr>
        <w:t>5.2 产蛋期（</w:t>
      </w:r>
      <w:r>
        <w:rPr>
          <w:rFonts w:ascii="Times New Roman" w:eastAsia="Times New Roman"/>
        </w:rPr>
        <w:t>22 w~66 w</w:t>
      </w:r>
      <w:r>
        <w:rPr>
          <w:rFonts w:ascii="黑体" w:eastAsia="黑体" w:hint="eastAsia"/>
        </w:rPr>
        <w:t>）</w:t>
      </w:r>
    </w:p>
    <w:p>
      <w:pPr>
        <w:pStyle w:val="BodyText"/>
        <w:spacing w:before="12"/>
        <w:rPr>
          <w:rFonts w:ascii="黑体"/>
          <w:sz w:val="9"/>
        </w:rPr>
      </w:pPr>
    </w:p>
    <w:p>
      <w:pPr>
        <w:pStyle w:val="ListParagraph"/>
        <w:numPr>
          <w:ilvl w:val="2"/>
          <w:numId w:val="7"/>
        </w:numPr>
        <w:tabs>
          <w:tab w:val="left" w:pos="1094"/>
        </w:tabs>
        <w:spacing w:before="72" w:after="0" w:line="240" w:lineRule="auto"/>
        <w:ind w:left="1093" w:right="0" w:hanging="736"/>
        <w:jc w:val="left"/>
        <w:rPr>
          <w:sz w:val="21"/>
        </w:rPr>
      </w:pPr>
      <w:r>
        <w:rPr>
          <w:spacing w:val="-3"/>
          <w:sz w:val="21"/>
        </w:rPr>
        <w:t>种蛋收集、包装、运输与贮存</w:t>
      </w:r>
    </w:p>
    <w:p>
      <w:pPr>
        <w:pStyle w:val="BodyText"/>
        <w:spacing w:before="6"/>
        <w:rPr>
          <w:rFonts w:ascii="黑体"/>
          <w:sz w:val="15"/>
        </w:rPr>
      </w:pPr>
    </w:p>
    <w:p>
      <w:pPr>
        <w:pStyle w:val="BodyText"/>
        <w:spacing w:before="1"/>
        <w:ind w:left="778"/>
      </w:pPr>
      <w:r>
        <w:t>种蛋的收集、包装、运输与贮存按</w:t>
      </w:r>
      <w:r>
        <w:rPr>
          <w:rFonts w:ascii="Times New Roman" w:eastAsia="Times New Roman"/>
        </w:rPr>
        <w:t>DB51/T 680</w:t>
      </w:r>
      <w:r>
        <w:t>的规定执行。</w:t>
      </w:r>
    </w:p>
    <w:p>
      <w:pPr>
        <w:pStyle w:val="BodyText"/>
        <w:spacing w:before="6"/>
        <w:rPr>
          <w:sz w:val="15"/>
        </w:rPr>
        <w:sectPr>
          <w:headerReference w:type="default" r:id="rId13"/>
          <w:footerReference w:type="default" r:id="rId14"/>
          <w:pgSz w:w="11910" w:h="16840"/>
          <w:pgMar w:top="1640" w:right="720" w:bottom="1340" w:left="1060" w:header="1448" w:footer="1140"/>
          <w:pgNumType w:start="3"/>
          <w:cols w:space="708"/>
        </w:sectPr>
      </w:pPr>
    </w:p>
    <w:p>
      <w:pPr>
        <w:pStyle w:val="ListParagraph"/>
        <w:numPr>
          <w:ilvl w:val="2"/>
          <w:numId w:val="7"/>
        </w:numPr>
        <w:tabs>
          <w:tab w:val="left" w:pos="1094"/>
        </w:tabs>
        <w:spacing w:before="0" w:after="0" w:line="240" w:lineRule="auto"/>
        <w:ind w:left="1093" w:right="0" w:hanging="736"/>
        <w:jc w:val="left"/>
        <w:rPr>
          <w:sz w:val="21"/>
        </w:rPr>
      </w:pPr>
      <w:r>
        <w:rPr>
          <w:spacing w:val="-3"/>
          <w:sz w:val="21"/>
        </w:rPr>
        <w:t>温度、湿度与光照</w:t>
      </w:r>
    </w:p>
    <w:p>
      <w:pPr>
        <w:spacing w:after="0" w:line="240" w:lineRule="auto"/>
        <w:jc w:val="left"/>
        <w:rPr>
          <w:sz w:val="21"/>
        </w:rPr>
        <w:sectPr>
          <w:headerReference w:type="default" r:id="rId15"/>
          <w:footerReference w:type="default" r:id="rId16"/>
          <w:type w:val="nextPage"/>
          <w:pgSz w:w="11910" w:h="16840"/>
          <w:pgMar w:top="1640" w:right="720" w:bottom="1340" w:left="1060" w:header="1448" w:footer="1140"/>
          <w:pgNumType w:start="4"/>
          <w:cols w:space="708"/>
          <w:titlePg w:val="0"/>
        </w:sectPr>
      </w:pPr>
    </w:p>
    <w:p>
      <w:pPr>
        <w:pStyle w:val="BodyText"/>
        <w:spacing w:before="7"/>
        <w:rPr>
          <w:rFonts w:ascii="黑体"/>
          <w:sz w:val="16"/>
        </w:rPr>
      </w:pPr>
      <w:r>
        <w:drawing>
          <wp:anchor distT="0" distB="0" distL="0" distR="0" simplePos="0" relativeHeight="25166745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8"/>
        <w:ind w:left="778"/>
        <w:rPr>
          <w:rFonts w:ascii="Times New Roman" w:eastAsia="Times New Roman" w:hAnsi="Times New Roman"/>
        </w:rPr>
      </w:pPr>
      <w:r>
        <w:t>适宜温度为</w:t>
      </w:r>
      <w:r>
        <w:rPr>
          <w:rFonts w:ascii="Times New Roman" w:eastAsia="Times New Roman" w:hAnsi="Times New Roman"/>
        </w:rPr>
        <w:t>18 ℃</w:t>
      </w:r>
      <w:r>
        <w:t>～</w:t>
      </w:r>
      <w:r>
        <w:rPr>
          <w:rFonts w:ascii="Times New Roman" w:eastAsia="Times New Roman" w:hAnsi="Times New Roman"/>
        </w:rPr>
        <w:t>24 ℃</w:t>
      </w:r>
      <w:r>
        <w:t>，适宜的相对湿度为</w:t>
      </w:r>
      <w:r>
        <w:rPr>
          <w:rFonts w:ascii="Times New Roman" w:eastAsia="Times New Roman" w:hAnsi="Times New Roman"/>
        </w:rPr>
        <w:t>55%</w:t>
      </w:r>
      <w:r>
        <w:t>～</w:t>
      </w:r>
      <w:r>
        <w:rPr>
          <w:rFonts w:ascii="Times New Roman" w:eastAsia="Times New Roman" w:hAnsi="Times New Roman"/>
        </w:rPr>
        <w:t>60%</w:t>
      </w:r>
      <w:r>
        <w:t>。逐步增加光照时长，至产蛋前期达</w:t>
      </w:r>
      <w:r>
        <w:rPr>
          <w:rFonts w:ascii="Times New Roman" w:eastAsia="Times New Roman" w:hAnsi="Times New Roman"/>
        </w:rPr>
        <w:t>16.5 h/d</w:t>
      </w:r>
    </w:p>
    <w:p>
      <w:pPr>
        <w:pStyle w:val="BodyText"/>
        <w:spacing w:before="43"/>
        <w:ind w:left="358"/>
      </w:pPr>
      <w:r>
        <w:t>后固定。</w:t>
      </w:r>
    </w:p>
    <w:p>
      <w:pPr>
        <w:pStyle w:val="BodyText"/>
        <w:spacing w:before="7"/>
        <w:rPr>
          <w:sz w:val="15"/>
        </w:rPr>
      </w:pPr>
    </w:p>
    <w:p>
      <w:pPr>
        <w:pStyle w:val="ListParagraph"/>
        <w:numPr>
          <w:ilvl w:val="2"/>
          <w:numId w:val="7"/>
        </w:numPr>
        <w:tabs>
          <w:tab w:val="left" w:pos="1094"/>
        </w:tabs>
        <w:spacing w:before="0" w:after="0" w:line="240" w:lineRule="auto"/>
        <w:ind w:left="1093" w:right="0" w:hanging="736"/>
        <w:jc w:val="left"/>
        <w:rPr>
          <w:sz w:val="21"/>
        </w:rPr>
      </w:pPr>
      <w:r>
        <w:rPr>
          <w:spacing w:val="-2"/>
          <w:sz w:val="21"/>
        </w:rPr>
        <w:t>通风换气</w:t>
      </w:r>
    </w:p>
    <w:p>
      <w:pPr>
        <w:pStyle w:val="BodyText"/>
        <w:spacing w:before="7"/>
        <w:rPr>
          <w:rFonts w:ascii="黑体"/>
          <w:sz w:val="15"/>
        </w:rPr>
      </w:pPr>
    </w:p>
    <w:p>
      <w:pPr>
        <w:pStyle w:val="BodyText"/>
        <w:ind w:left="778"/>
      </w:pPr>
      <w:r>
        <w:t>鸡舍的通风换气见</w:t>
      </w:r>
      <w:r>
        <w:rPr>
          <w:rFonts w:ascii="Times New Roman" w:eastAsia="Times New Roman"/>
        </w:rPr>
        <w:t xml:space="preserve">5.1.6 </w:t>
      </w:r>
      <w:r>
        <w:t>。</w:t>
      </w:r>
    </w:p>
    <w:p>
      <w:pPr>
        <w:pStyle w:val="BodyText"/>
        <w:spacing w:before="6"/>
        <w:rPr>
          <w:sz w:val="15"/>
        </w:rPr>
      </w:pPr>
    </w:p>
    <w:p>
      <w:pPr>
        <w:pStyle w:val="ListParagraph"/>
        <w:numPr>
          <w:ilvl w:val="2"/>
          <w:numId w:val="7"/>
        </w:numPr>
        <w:tabs>
          <w:tab w:val="left" w:pos="1094"/>
        </w:tabs>
        <w:spacing w:before="1" w:after="0" w:line="240" w:lineRule="auto"/>
        <w:ind w:left="1093" w:right="0" w:hanging="736"/>
        <w:jc w:val="left"/>
        <w:rPr>
          <w:sz w:val="21"/>
        </w:rPr>
      </w:pPr>
      <w:r>
        <w:rPr>
          <w:spacing w:val="-3"/>
          <w:sz w:val="21"/>
        </w:rPr>
        <w:t>喂料量与喂料次数</w:t>
      </w:r>
    </w:p>
    <w:p>
      <w:pPr>
        <w:pStyle w:val="BodyText"/>
        <w:spacing w:before="6"/>
        <w:rPr>
          <w:rFonts w:ascii="黑体"/>
          <w:sz w:val="15"/>
        </w:rPr>
      </w:pPr>
    </w:p>
    <w:p>
      <w:pPr>
        <w:pStyle w:val="BodyText"/>
        <w:ind w:left="778"/>
      </w:pPr>
      <w:r>
        <w:t>推荐喂料量见附录</w:t>
      </w:r>
      <w:r>
        <w:rPr>
          <w:rFonts w:ascii="Times New Roman" w:eastAsia="Times New Roman"/>
        </w:rPr>
        <w:t>C</w:t>
      </w:r>
      <w:r>
        <w:t>。母鸡喂料次数为</w:t>
      </w:r>
      <w:r>
        <w:rPr>
          <w:rFonts w:ascii="Times New Roman" w:eastAsia="Times New Roman"/>
        </w:rPr>
        <w:t>1</w:t>
      </w:r>
      <w:r>
        <w:t>次</w:t>
      </w:r>
      <w:r>
        <w:rPr>
          <w:rFonts w:ascii="Times New Roman" w:eastAsia="Times New Roman"/>
        </w:rPr>
        <w:t>/d</w:t>
      </w:r>
      <w:r>
        <w:t>，公鸡为</w:t>
      </w:r>
      <w:r>
        <w:rPr>
          <w:rFonts w:ascii="Times New Roman" w:eastAsia="Times New Roman"/>
        </w:rPr>
        <w:t>2</w:t>
      </w:r>
      <w:r>
        <w:t>次</w:t>
      </w:r>
      <w:r>
        <w:rPr>
          <w:rFonts w:ascii="Times New Roman" w:eastAsia="Times New Roman"/>
        </w:rPr>
        <w:t>/d</w:t>
      </w:r>
      <w:r>
        <w:t>。</w:t>
      </w:r>
    </w:p>
    <w:p>
      <w:pPr>
        <w:pStyle w:val="BodyText"/>
        <w:spacing w:before="7"/>
        <w:rPr>
          <w:sz w:val="15"/>
        </w:rPr>
      </w:pPr>
    </w:p>
    <w:p>
      <w:pPr>
        <w:pStyle w:val="ListParagraph"/>
        <w:numPr>
          <w:ilvl w:val="2"/>
          <w:numId w:val="7"/>
        </w:numPr>
        <w:tabs>
          <w:tab w:val="left" w:pos="1094"/>
        </w:tabs>
        <w:spacing w:before="1" w:after="0" w:line="240" w:lineRule="auto"/>
        <w:ind w:left="1093" w:right="0" w:hanging="736"/>
        <w:jc w:val="left"/>
        <w:rPr>
          <w:sz w:val="21"/>
        </w:rPr>
      </w:pPr>
      <w:r>
        <w:rPr>
          <w:spacing w:val="-2"/>
          <w:sz w:val="21"/>
        </w:rPr>
        <w:t>体重与体况监测</w:t>
      </w:r>
    </w:p>
    <w:p>
      <w:pPr>
        <w:pStyle w:val="BodyText"/>
        <w:spacing w:before="6"/>
        <w:rPr>
          <w:rFonts w:ascii="黑体"/>
          <w:sz w:val="15"/>
        </w:rPr>
      </w:pPr>
    </w:p>
    <w:p>
      <w:pPr>
        <w:pStyle w:val="BodyText"/>
        <w:spacing w:line="278" w:lineRule="auto"/>
        <w:ind w:left="358" w:right="406" w:firstLine="420"/>
      </w:pPr>
      <w:r>
        <w:t>母鸡每两周按鸡群数量的</w:t>
      </w:r>
      <w:r>
        <w:rPr>
          <w:rFonts w:ascii="Times New Roman" w:eastAsia="Times New Roman"/>
        </w:rPr>
        <w:t>3%~5%</w:t>
      </w:r>
      <w:r>
        <w:t>随机抽样，进行空腹称重和体况检查，且每个群体抽样数量不少于</w:t>
      </w:r>
      <w:r>
        <w:rPr>
          <w:rFonts w:ascii="Times New Roman" w:eastAsia="Times New Roman"/>
        </w:rPr>
        <w:t>50</w:t>
      </w:r>
      <w:r>
        <w:t>只，评估鸡群体重变化、胸肌丰满度与腹部脂肪沉积程度等。</w:t>
      </w:r>
    </w:p>
    <w:p>
      <w:pPr>
        <w:pStyle w:val="ListParagraph"/>
        <w:numPr>
          <w:ilvl w:val="1"/>
          <w:numId w:val="6"/>
        </w:numPr>
        <w:tabs>
          <w:tab w:val="left" w:pos="885"/>
        </w:tabs>
        <w:spacing w:before="156" w:after="0" w:line="240" w:lineRule="auto"/>
        <w:ind w:left="884" w:right="0" w:hanging="527"/>
        <w:jc w:val="left"/>
        <w:rPr>
          <w:sz w:val="21"/>
        </w:rPr>
      </w:pPr>
      <w:r>
        <w:rPr>
          <w:spacing w:val="-1"/>
          <w:sz w:val="21"/>
        </w:rPr>
        <w:t>人工授精</w:t>
      </w:r>
    </w:p>
    <w:p>
      <w:pPr>
        <w:pStyle w:val="BodyText"/>
        <w:spacing w:before="12"/>
        <w:rPr>
          <w:rFonts w:ascii="黑体"/>
          <w:sz w:val="9"/>
        </w:rPr>
      </w:pPr>
    </w:p>
    <w:p>
      <w:pPr>
        <w:pStyle w:val="ListParagraph"/>
        <w:numPr>
          <w:ilvl w:val="2"/>
          <w:numId w:val="6"/>
        </w:numPr>
        <w:tabs>
          <w:tab w:val="left" w:pos="1094"/>
        </w:tabs>
        <w:spacing w:before="72" w:after="0" w:line="240" w:lineRule="auto"/>
        <w:ind w:left="1093" w:right="0" w:hanging="736"/>
        <w:jc w:val="left"/>
        <w:rPr>
          <w:sz w:val="21"/>
        </w:rPr>
      </w:pPr>
      <w:r>
        <w:rPr>
          <w:spacing w:val="-1"/>
          <w:sz w:val="21"/>
        </w:rPr>
        <w:t>种公鸡选择</w:t>
      </w:r>
    </w:p>
    <w:p>
      <w:pPr>
        <w:pStyle w:val="BodyText"/>
        <w:spacing w:before="6"/>
        <w:rPr>
          <w:rFonts w:ascii="黑体"/>
          <w:sz w:val="15"/>
        </w:rPr>
      </w:pPr>
    </w:p>
    <w:p>
      <w:pPr>
        <w:pStyle w:val="BodyText"/>
        <w:spacing w:before="1" w:line="278" w:lineRule="auto"/>
        <w:ind w:left="358" w:right="408" w:firstLine="420"/>
      </w:pPr>
      <w:r>
        <w:rPr>
          <w:spacing w:val="-10"/>
        </w:rPr>
        <w:t>应选留体格健壮、冠大直立等雄性特征明显、性反射强烈，鸡白痢沙门氏菌病和禽白血病病原学检</w:t>
      </w:r>
      <w:r>
        <w:rPr>
          <w:spacing w:val="-5"/>
        </w:rPr>
        <w:t>测结果为阴性，高致病性禽流感和新城疫抗体检测结果为合格，精子活力大于</w:t>
      </w:r>
      <w:r>
        <w:rPr>
          <w:rFonts w:ascii="Times New Roman" w:eastAsia="Times New Roman"/>
        </w:rPr>
        <w:t>0.5</w:t>
      </w:r>
      <w:r>
        <w:rPr>
          <w:spacing w:val="-3"/>
        </w:rPr>
        <w:t>级的公鸡。</w:t>
      </w:r>
    </w:p>
    <w:p>
      <w:pPr>
        <w:pStyle w:val="ListParagraph"/>
        <w:numPr>
          <w:ilvl w:val="2"/>
          <w:numId w:val="6"/>
        </w:numPr>
        <w:tabs>
          <w:tab w:val="left" w:pos="1094"/>
        </w:tabs>
        <w:spacing w:before="155" w:after="0" w:line="240" w:lineRule="auto"/>
        <w:ind w:left="1093" w:right="0" w:hanging="736"/>
        <w:jc w:val="left"/>
        <w:rPr>
          <w:sz w:val="21"/>
        </w:rPr>
      </w:pPr>
      <w:r>
        <w:rPr>
          <w:spacing w:val="-1"/>
          <w:sz w:val="21"/>
        </w:rPr>
        <w:t>公母比例</w:t>
      </w:r>
    </w:p>
    <w:p>
      <w:pPr>
        <w:pStyle w:val="BodyText"/>
        <w:spacing w:before="7"/>
        <w:rPr>
          <w:rFonts w:ascii="黑体"/>
          <w:sz w:val="15"/>
        </w:rPr>
      </w:pPr>
    </w:p>
    <w:p>
      <w:pPr>
        <w:pStyle w:val="BodyText"/>
        <w:spacing w:before="1"/>
        <w:ind w:left="778"/>
      </w:pPr>
      <w:r>
        <w:t>推荐比例为</w:t>
      </w:r>
      <w:r>
        <w:rPr>
          <w:rFonts w:ascii="Times New Roman" w:eastAsia="Times New Roman"/>
        </w:rPr>
        <w:t>1:30</w:t>
      </w:r>
      <w:r>
        <w:t>～</w:t>
      </w:r>
      <w:r>
        <w:rPr>
          <w:rFonts w:ascii="Times New Roman" w:eastAsia="Times New Roman"/>
        </w:rPr>
        <w:t xml:space="preserve">1:40 </w:t>
      </w:r>
      <w:r>
        <w:t>。</w:t>
      </w:r>
    </w:p>
    <w:p>
      <w:pPr>
        <w:pStyle w:val="BodyText"/>
        <w:spacing w:before="6"/>
        <w:rPr>
          <w:sz w:val="15"/>
        </w:rPr>
      </w:pPr>
    </w:p>
    <w:p>
      <w:pPr>
        <w:pStyle w:val="ListParagraph"/>
        <w:numPr>
          <w:ilvl w:val="2"/>
          <w:numId w:val="6"/>
        </w:numPr>
        <w:tabs>
          <w:tab w:val="left" w:pos="1094"/>
        </w:tabs>
        <w:spacing w:before="0" w:after="0" w:line="240" w:lineRule="auto"/>
        <w:ind w:left="1093" w:right="0" w:hanging="736"/>
        <w:jc w:val="left"/>
        <w:rPr>
          <w:sz w:val="21"/>
        </w:rPr>
      </w:pPr>
      <w:r>
        <w:rPr>
          <w:spacing w:val="-3"/>
          <w:sz w:val="21"/>
        </w:rPr>
        <w:t>采精输精频率</w:t>
      </w:r>
    </w:p>
    <w:p>
      <w:pPr>
        <w:pStyle w:val="BodyText"/>
        <w:spacing w:before="7"/>
        <w:rPr>
          <w:rFonts w:ascii="黑体"/>
          <w:sz w:val="15"/>
        </w:rPr>
      </w:pPr>
    </w:p>
    <w:p>
      <w:pPr>
        <w:pStyle w:val="BodyText"/>
        <w:ind w:left="778"/>
      </w:pPr>
      <w:r>
        <w:t>公鸡宜</w:t>
      </w:r>
      <w:r>
        <w:rPr>
          <w:rFonts w:ascii="Times New Roman" w:eastAsia="Times New Roman"/>
        </w:rPr>
        <w:t>2 d</w:t>
      </w:r>
      <w:r>
        <w:t>采精一次或连采</w:t>
      </w:r>
      <w:r>
        <w:rPr>
          <w:rFonts w:ascii="Times New Roman" w:eastAsia="Times New Roman"/>
        </w:rPr>
        <w:t>3 d</w:t>
      </w:r>
      <w:r>
        <w:t>停采</w:t>
      </w:r>
      <w:r>
        <w:rPr>
          <w:rFonts w:ascii="Times New Roman" w:eastAsia="Times New Roman"/>
        </w:rPr>
        <w:t>1 d</w:t>
      </w:r>
      <w:r>
        <w:t>。母鸡隔</w:t>
      </w:r>
      <w:r>
        <w:rPr>
          <w:rFonts w:ascii="Times New Roman" w:eastAsia="Times New Roman"/>
        </w:rPr>
        <w:t>4 d</w:t>
      </w:r>
      <w:r>
        <w:t>输精一次。</w:t>
      </w:r>
    </w:p>
    <w:p>
      <w:pPr>
        <w:pStyle w:val="BodyText"/>
        <w:spacing w:before="7"/>
        <w:rPr>
          <w:sz w:val="15"/>
        </w:rPr>
      </w:pPr>
    </w:p>
    <w:p>
      <w:pPr>
        <w:pStyle w:val="ListParagraph"/>
        <w:numPr>
          <w:ilvl w:val="2"/>
          <w:numId w:val="6"/>
        </w:numPr>
        <w:tabs>
          <w:tab w:val="left" w:pos="1094"/>
        </w:tabs>
        <w:spacing w:before="0" w:after="0" w:line="240" w:lineRule="auto"/>
        <w:ind w:left="1093" w:right="0" w:hanging="736"/>
        <w:jc w:val="left"/>
        <w:rPr>
          <w:sz w:val="21"/>
        </w:rPr>
      </w:pPr>
      <w:r>
        <w:rPr>
          <w:spacing w:val="-1"/>
          <w:sz w:val="21"/>
        </w:rPr>
        <w:t>操作方法</w:t>
      </w:r>
    </w:p>
    <w:p>
      <w:pPr>
        <w:pStyle w:val="BodyText"/>
        <w:spacing w:before="6"/>
        <w:rPr>
          <w:rFonts w:ascii="黑体"/>
          <w:sz w:val="15"/>
        </w:rPr>
      </w:pPr>
    </w:p>
    <w:p>
      <w:pPr>
        <w:pStyle w:val="BodyText"/>
        <w:spacing w:before="1"/>
        <w:ind w:left="778"/>
      </w:pPr>
      <w:r>
        <w:t>鸡只绑定人员与采精人员配合采精，与授精人员配合输精。</w:t>
      </w:r>
    </w:p>
    <w:p>
      <w:pPr>
        <w:pStyle w:val="BodyText"/>
        <w:spacing w:before="6"/>
        <w:rPr>
          <w:sz w:val="15"/>
        </w:rPr>
      </w:pPr>
    </w:p>
    <w:p>
      <w:pPr>
        <w:pStyle w:val="ListParagraph"/>
        <w:numPr>
          <w:ilvl w:val="2"/>
          <w:numId w:val="6"/>
        </w:numPr>
        <w:tabs>
          <w:tab w:val="left" w:pos="1094"/>
        </w:tabs>
        <w:spacing w:before="0" w:after="0" w:line="240" w:lineRule="auto"/>
        <w:ind w:left="1093" w:right="0" w:hanging="736"/>
        <w:jc w:val="left"/>
        <w:rPr>
          <w:sz w:val="21"/>
        </w:rPr>
      </w:pPr>
      <w:r>
        <w:rPr>
          <w:spacing w:val="-3"/>
          <w:sz w:val="21"/>
        </w:rPr>
        <w:t>输精时间与输精量</w:t>
      </w:r>
    </w:p>
    <w:p>
      <w:pPr>
        <w:pStyle w:val="BodyText"/>
        <w:spacing w:before="11"/>
        <w:rPr>
          <w:rFonts w:ascii="黑体"/>
          <w:sz w:val="22"/>
        </w:rPr>
      </w:pPr>
    </w:p>
    <w:p>
      <w:pPr>
        <w:pStyle w:val="BodyText"/>
        <w:spacing w:before="1"/>
        <w:ind w:left="778"/>
      </w:pPr>
      <w:r>
        <w:t>输精时间宜为</w:t>
      </w:r>
      <w:r>
        <w:rPr>
          <w:rFonts w:ascii="Times New Roman" w:eastAsia="Times New Roman" w:hAnsi="Times New Roman"/>
        </w:rPr>
        <w:t>15:00</w:t>
      </w:r>
      <w:r>
        <w:t>～</w:t>
      </w:r>
      <w:r>
        <w:rPr>
          <w:rFonts w:ascii="Times New Roman" w:eastAsia="Times New Roman" w:hAnsi="Times New Roman"/>
        </w:rPr>
        <w:t>18:00</w:t>
      </w:r>
      <w:r>
        <w:t>，输入精液原液量宜为</w:t>
      </w:r>
      <w:r>
        <w:rPr>
          <w:rFonts w:ascii="Times New Roman" w:eastAsia="Times New Roman" w:hAnsi="Times New Roman"/>
        </w:rPr>
        <w:t>0.025 mL/</w:t>
      </w:r>
      <w:r>
        <w:t>只</w:t>
      </w:r>
      <w:r>
        <w:rPr>
          <w:rFonts w:ascii="微软雅黑" w:eastAsia="微软雅黑" w:hAnsi="微软雅黑" w:hint="eastAsia"/>
        </w:rPr>
        <w:t>·</w:t>
      </w:r>
      <w:r>
        <w:t>次。</w:t>
      </w:r>
    </w:p>
    <w:p>
      <w:pPr>
        <w:pStyle w:val="BodyText"/>
        <w:spacing w:before="9"/>
        <w:rPr>
          <w:sz w:val="17"/>
        </w:rPr>
      </w:pPr>
    </w:p>
    <w:p>
      <w:pPr>
        <w:pStyle w:val="ListParagraph"/>
        <w:numPr>
          <w:ilvl w:val="1"/>
          <w:numId w:val="6"/>
        </w:numPr>
        <w:tabs>
          <w:tab w:val="left" w:pos="885"/>
        </w:tabs>
        <w:spacing w:before="72" w:after="0" w:line="240" w:lineRule="auto"/>
        <w:ind w:left="884" w:right="0" w:hanging="527"/>
        <w:jc w:val="left"/>
        <w:rPr>
          <w:sz w:val="21"/>
        </w:rPr>
      </w:pPr>
      <w:r>
        <w:rPr>
          <w:spacing w:val="-1"/>
          <w:sz w:val="21"/>
        </w:rPr>
        <w:t>营养需求</w:t>
      </w:r>
    </w:p>
    <w:p>
      <w:pPr>
        <w:pStyle w:val="BodyText"/>
        <w:spacing w:before="5"/>
        <w:rPr>
          <w:rFonts w:ascii="黑体"/>
          <w:sz w:val="9"/>
        </w:rPr>
      </w:pPr>
    </w:p>
    <w:p>
      <w:pPr>
        <w:pStyle w:val="BodyText"/>
        <w:spacing w:before="79"/>
        <w:ind w:left="778"/>
      </w:pPr>
      <w:r>
        <w:t>不同生长阶段的营养需求见附录</w:t>
      </w:r>
      <w:r>
        <w:rPr>
          <w:rFonts w:ascii="Times New Roman" w:eastAsia="Times New Roman"/>
        </w:rPr>
        <w:t>D</w:t>
      </w:r>
      <w:r>
        <w:t>。</w:t>
      </w:r>
    </w:p>
    <w:p>
      <w:pPr>
        <w:pStyle w:val="BodyText"/>
        <w:spacing w:before="12"/>
        <w:rPr>
          <w:sz w:val="9"/>
        </w:rPr>
      </w:pPr>
    </w:p>
    <w:p>
      <w:pPr>
        <w:pStyle w:val="ListParagraph"/>
        <w:numPr>
          <w:ilvl w:val="1"/>
          <w:numId w:val="6"/>
        </w:numPr>
        <w:tabs>
          <w:tab w:val="left" w:pos="885"/>
        </w:tabs>
        <w:spacing w:before="71" w:after="0" w:line="240" w:lineRule="auto"/>
        <w:ind w:left="884" w:right="0" w:hanging="527"/>
        <w:jc w:val="left"/>
        <w:rPr>
          <w:sz w:val="21"/>
        </w:rPr>
      </w:pPr>
      <w:r>
        <w:rPr>
          <w:spacing w:val="-1"/>
          <w:sz w:val="21"/>
        </w:rPr>
        <w:t>疫病防控</w:t>
      </w:r>
    </w:p>
    <w:p>
      <w:pPr>
        <w:pStyle w:val="BodyText"/>
        <w:spacing w:before="6"/>
        <w:rPr>
          <w:rFonts w:ascii="黑体"/>
          <w:sz w:val="9"/>
        </w:rPr>
      </w:pPr>
    </w:p>
    <w:p>
      <w:pPr>
        <w:pStyle w:val="BodyText"/>
        <w:spacing w:before="78" w:line="278" w:lineRule="auto"/>
        <w:ind w:left="358" w:right="406" w:firstLine="420"/>
        <w:jc w:val="both"/>
      </w:pPr>
      <w:r>
        <w:rPr>
          <w:spacing w:val="-3"/>
        </w:rPr>
        <w:t>推荐免疫程序见附录</w:t>
      </w:r>
      <w:r>
        <w:rPr>
          <w:rFonts w:ascii="Times New Roman" w:eastAsia="Times New Roman"/>
        </w:rPr>
        <w:t>E</w:t>
      </w:r>
      <w:r>
        <w:rPr>
          <w:spacing w:val="-6"/>
        </w:rPr>
        <w:t>。疫苗毒株可根据当地流行情况进行选择。按照</w:t>
      </w:r>
      <w:r>
        <w:rPr>
          <w:rFonts w:ascii="Times New Roman" w:eastAsia="Times New Roman"/>
        </w:rPr>
        <w:t>GB/T 18936</w:t>
      </w:r>
      <w:r>
        <w:rPr>
          <w:spacing w:val="-12"/>
        </w:rPr>
        <w:t>、</w:t>
      </w:r>
      <w:r>
        <w:rPr>
          <w:rFonts w:ascii="Times New Roman" w:eastAsia="Times New Roman"/>
        </w:rPr>
        <w:t>GB/T 16550</w:t>
      </w:r>
      <w:r>
        <w:t>规</w:t>
      </w:r>
      <w:r>
        <w:rPr>
          <w:spacing w:val="-10"/>
        </w:rPr>
        <w:t>定的采样方法、采样数量与检测方法，每月监测禽流感、新城疫抗体水平。可根据抗体水平对免疫程序</w:t>
      </w:r>
      <w:r>
        <w:rPr>
          <w:spacing w:val="-5"/>
        </w:rPr>
        <w:t>进行评估和调整。预防用药和治疗用药不能使用国家禁用的兽药，用药剂量和治疗疗程应遵医嘱。</w:t>
      </w:r>
    </w:p>
    <w:p>
      <w:pPr>
        <w:pStyle w:val="ListParagraph"/>
        <w:numPr>
          <w:ilvl w:val="1"/>
          <w:numId w:val="6"/>
        </w:numPr>
        <w:tabs>
          <w:tab w:val="left" w:pos="885"/>
        </w:tabs>
        <w:spacing w:before="156" w:after="0" w:line="240" w:lineRule="auto"/>
        <w:ind w:left="884" w:right="0" w:hanging="527"/>
        <w:jc w:val="left"/>
        <w:rPr>
          <w:sz w:val="21"/>
        </w:rPr>
      </w:pPr>
      <w:r>
        <w:rPr>
          <w:spacing w:val="-1"/>
          <w:sz w:val="21"/>
        </w:rPr>
        <w:t>人工孵化</w:t>
      </w:r>
    </w:p>
    <w:p>
      <w:pPr>
        <w:pStyle w:val="BodyText"/>
        <w:spacing w:before="12"/>
        <w:rPr>
          <w:rFonts w:ascii="黑体"/>
          <w:sz w:val="9"/>
        </w:rPr>
      </w:pPr>
    </w:p>
    <w:p>
      <w:pPr>
        <w:pStyle w:val="ListParagraph"/>
        <w:numPr>
          <w:ilvl w:val="2"/>
          <w:numId w:val="6"/>
        </w:numPr>
        <w:tabs>
          <w:tab w:val="left" w:pos="1094"/>
        </w:tabs>
        <w:spacing w:before="72" w:after="0" w:line="240" w:lineRule="auto"/>
        <w:ind w:left="1093" w:right="0" w:hanging="736"/>
        <w:jc w:val="left"/>
        <w:rPr>
          <w:sz w:val="21"/>
        </w:rPr>
      </w:pPr>
      <w:r>
        <w:rPr>
          <w:spacing w:val="-1"/>
          <w:sz w:val="21"/>
        </w:rPr>
        <w:t>种蛋选择</w:t>
      </w:r>
    </w:p>
    <w:p>
      <w:pPr>
        <w:spacing w:after="0" w:line="240"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https://d.book118.com/947015130004006032</w:t>
        </w:r>
      </w:hyperlink>
    </w:p>
    <w:p>
      <w:pPr>
        <w:spacing w:after="0" w:line="240" w:lineRule="auto"/>
        <w:jc w:val="left"/>
        <w:rPr>
          <w:sz w:val="21"/>
        </w:rPr>
      </w:pPr>
    </w:p>
    <w:sectPr>
      <w:headerReference w:type="default" r:id="rId18"/>
      <w:footerReference w:type="default" r:id="rId19"/>
      <w:pgSz w:w="11910" w:h="16840"/>
      <w:pgMar w:top="1640" w:right="720" w:bottom="1340" w:left="1060" w:header="1448" w:footer="1140"/>
      <w:pgNumType w:start="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1.1pt;height:11pt;margin-top:773.91pt;margin-left:521.84pt;mso-position-horizontal-relative:page;mso-position-vertical-relative:page;position:absolute;z-index:-251658240" filled="f" stroked="f">
          <v:textbox inset="0,0,0,0">
            <w:txbxContent>
              <w:p>
                <w:pPr>
                  <w:spacing w:before="0" w:line="220" w:lineRule="exact"/>
                  <w:ind w:left="20" w:right="0" w:firstLine="0"/>
                  <w:jc w:val="left"/>
                  <w:rPr>
                    <w:sz w:val="18"/>
                  </w:rPr>
                </w:pPr>
                <w:r>
                  <w:rPr>
                    <w:sz w:val="18"/>
                  </w:rPr>
                  <w:t xml:space="preserve">I </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5pt;height:11pt;margin-top:773.91pt;margin-left:517.4pt;mso-position-horizontal-relative:page;mso-position-vertical-relative:page;position:absolute;z-index:-251657216" filled="f" stroked="f">
          <v:textbox inset="0,0,0,0">
            <w:txbxContent>
              <w:p>
                <w:pPr>
                  <w:spacing w:before="0" w:line="220" w:lineRule="exact"/>
                  <w:ind w:left="20" w:right="0" w:firstLine="0"/>
                  <w:jc w:val="left"/>
                  <w:rPr>
                    <w:sz w:val="18"/>
                  </w:rPr>
                </w:pPr>
                <w:r>
                  <w:rPr>
                    <w:sz w:val="18"/>
                  </w:rPr>
                  <w:t xml:space="preserve">II </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0.5pt;height:11pt;margin-top:773.91pt;margin-left:515.4pt;mso-position-horizontal-relative:page;mso-position-vertical-relative:page;position:absolute;z-index:-25165619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r>
                  <w:rPr>
                    <w:sz w:val="18"/>
                  </w:rPr>
                  <w:t xml:space="preserve"> </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0.5pt;height:11pt;margin-top:773.91pt;margin-left:515.4pt;mso-position-horizontal-relative:page;mso-position-vertical-relative:page;position:absolute;z-index:-25165516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r>
                  <w:rPr>
                    <w:sz w:val="18"/>
                  </w:rPr>
                  <w:t xml:space="preserve"> </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0.5pt;height:11pt;margin-top:773.91pt;margin-left:515.4pt;mso-position-horizontal-relative:page;mso-position-vertical-relative:page;position:absolute;z-index:-25165414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r>
                  <w:rPr>
                    <w:sz w:val="18"/>
                  </w:rPr>
                  <w:t xml:space="preserve"> </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0.5pt;height:11pt;margin-top:773.91pt;margin-left:515.4pt;mso-position-horizontal-relative:page;mso-position-vertical-relative:page;position:absolute;z-index:-25165312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4</w:t>
                </w:r>
                <w:r>
                  <w:fldChar w:fldCharType="end"/>
                </w:r>
                <w:r>
                  <w:rPr>
                    <w:sz w:val="18"/>
                  </w:rPr>
                  <w:t xml:space="preserve"> </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0.5pt;height:11pt;margin-top:773.91pt;margin-left:515.4pt;mso-position-horizontal-relative:page;mso-position-vertical-relative:page;position:absolute;z-index:-25165209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r>
                  <w:rPr>
                    <w:sz w:val="18"/>
                  </w:rPr>
                  <w:t xml:space="preserve"> </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1.45pt;height:12.6pt;margin-top:71.42pt;margin-left:448.38pt;mso-position-horizontal-relative:page;mso-position-vertical-relative:page;position:absolute;z-index:-251658240" filled="f" stroked="f">
          <v:textbox inset="0,0,0,0">
            <w:txbxContent>
              <w:p>
                <w:pPr>
                  <w:pStyle w:val="BodyText"/>
                  <w:spacing w:line="251" w:lineRule="exact"/>
                  <w:ind w:left="20"/>
                  <w:rPr>
                    <w:rFonts w:ascii="黑体" w:hAnsi="黑体"/>
                  </w:rPr>
                </w:pPr>
                <w:r>
                  <w:rPr>
                    <w:rFonts w:ascii="黑体" w:hAnsi="黑体"/>
                  </w:rPr>
                  <w:t>DB51/T 3132</w:t>
                </w:r>
                <w:r>
                  <w:t>—</w:t>
                </w:r>
                <w:r>
                  <w:rPr>
                    <w:rFonts w:ascii="黑体" w:hAnsi="黑体"/>
                  </w:rPr>
                  <w:t>2023</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1.45pt;height:12.6pt;margin-top:71.42pt;margin-left:448.38pt;mso-position-horizontal-relative:page;mso-position-vertical-relative:page;position:absolute;z-index:-251657216" filled="f" stroked="f">
          <v:textbox inset="0,0,0,0">
            <w:txbxContent>
              <w:p>
                <w:pPr>
                  <w:pStyle w:val="BodyText"/>
                  <w:spacing w:line="251" w:lineRule="exact"/>
                  <w:ind w:left="20"/>
                  <w:rPr>
                    <w:rFonts w:ascii="黑体" w:hAnsi="黑体"/>
                  </w:rPr>
                </w:pPr>
                <w:r>
                  <w:rPr>
                    <w:rFonts w:ascii="黑体" w:hAnsi="黑体"/>
                  </w:rPr>
                  <w:t>DB51/T 3132</w:t>
                </w:r>
                <w:r>
                  <w:t>—</w:t>
                </w:r>
                <w:r>
                  <w:rPr>
                    <w:rFonts w:ascii="黑体" w:hAnsi="黑体"/>
                  </w:rPr>
                  <w:t>2023</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1.45pt;height:12.6pt;margin-top:71.42pt;margin-left:448.38pt;mso-position-horizontal-relative:page;mso-position-vertical-relative:page;position:absolute;z-index:-251656192" filled="f" stroked="f">
          <v:textbox inset="0,0,0,0">
            <w:txbxContent>
              <w:p>
                <w:pPr>
                  <w:pStyle w:val="BodyText"/>
                  <w:spacing w:line="251" w:lineRule="exact"/>
                  <w:ind w:left="20"/>
                  <w:rPr>
                    <w:rFonts w:ascii="黑体" w:hAnsi="黑体"/>
                  </w:rPr>
                </w:pPr>
                <w:r>
                  <w:rPr>
                    <w:rFonts w:ascii="黑体" w:hAnsi="黑体"/>
                  </w:rPr>
                  <w:t>DB51/T 3132</w:t>
                </w:r>
                <w:r>
                  <w:t>—</w:t>
                </w:r>
                <w:r>
                  <w:rPr>
                    <w:rFonts w:ascii="黑体" w:hAnsi="黑体"/>
                  </w:rPr>
                  <w:t>2023</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1.45pt;height:12.6pt;margin-top:71.42pt;margin-left:448.38pt;mso-position-horizontal-relative:page;mso-position-vertical-relative:page;position:absolute;z-index:-251655168" filled="f" stroked="f">
          <v:textbox inset="0,0,0,0">
            <w:txbxContent>
              <w:p>
                <w:pPr>
                  <w:pStyle w:val="BodyText"/>
                  <w:spacing w:line="251" w:lineRule="exact"/>
                  <w:ind w:left="20"/>
                  <w:rPr>
                    <w:rFonts w:ascii="黑体" w:hAnsi="黑体"/>
                  </w:rPr>
                </w:pPr>
                <w:r>
                  <w:rPr>
                    <w:rFonts w:ascii="黑体" w:hAnsi="黑体"/>
                  </w:rPr>
                  <w:t>DB51/T 3132</w:t>
                </w:r>
                <w:r>
                  <w:t>—</w:t>
                </w:r>
                <w:r>
                  <w:rPr>
                    <w:rFonts w:ascii="黑体" w:hAnsi="黑体"/>
                  </w:rPr>
                  <w:t>2023</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1.45pt;height:12.6pt;margin-top:71.42pt;margin-left:448.38pt;mso-position-horizontal-relative:page;mso-position-vertical-relative:page;position:absolute;z-index:-251654144" filled="f" stroked="f">
          <v:textbox inset="0,0,0,0">
            <w:txbxContent>
              <w:p>
                <w:pPr>
                  <w:pStyle w:val="BodyText"/>
                  <w:spacing w:line="251" w:lineRule="exact"/>
                  <w:ind w:left="20"/>
                  <w:rPr>
                    <w:rFonts w:ascii="黑体" w:hAnsi="黑体"/>
                  </w:rPr>
                </w:pPr>
                <w:r>
                  <w:rPr>
                    <w:rFonts w:ascii="黑体" w:hAnsi="黑体"/>
                  </w:rPr>
                  <w:t>DB51/T 3132</w:t>
                </w:r>
                <w:r>
                  <w:t>—</w:t>
                </w:r>
                <w:r>
                  <w:rPr>
                    <w:rFonts w:ascii="黑体" w:hAnsi="黑体"/>
                  </w:rPr>
                  <w:t>2023</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1.45pt;height:12.6pt;margin-top:71.42pt;margin-left:448.38pt;mso-position-horizontal-relative:page;mso-position-vertical-relative:page;position:absolute;z-index:-251653120" filled="f" stroked="f">
          <v:textbox inset="0,0,0,0">
            <w:txbxContent>
              <w:p>
                <w:pPr>
                  <w:pStyle w:val="BodyText"/>
                  <w:spacing w:line="251" w:lineRule="exact"/>
                  <w:ind w:left="20"/>
                  <w:rPr>
                    <w:rFonts w:ascii="黑体" w:hAnsi="黑体"/>
                  </w:rPr>
                </w:pPr>
                <w:r>
                  <w:rPr>
                    <w:rFonts w:ascii="黑体" w:hAnsi="黑体"/>
                  </w:rPr>
                  <w:t>DB51/T 3132</w:t>
                </w:r>
                <w:r>
                  <w:t>—</w:t>
                </w:r>
                <w:r>
                  <w:rPr>
                    <w:rFonts w:ascii="黑体" w:hAnsi="黑体"/>
                  </w:rPr>
                  <w:t>2023</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1.45pt;height:12.6pt;margin-top:71.42pt;margin-left:448.38pt;mso-position-horizontal-relative:page;mso-position-vertical-relative:page;position:absolute;z-index:-251652096" filled="f" stroked="f">
          <v:textbox inset="0,0,0,0">
            <w:txbxContent>
              <w:p>
                <w:pPr>
                  <w:pStyle w:val="BodyText"/>
                  <w:spacing w:line="251" w:lineRule="exact"/>
                  <w:ind w:left="20"/>
                  <w:rPr>
                    <w:rFonts w:ascii="黑体" w:hAnsi="黑体"/>
                  </w:rPr>
                </w:pPr>
                <w:r>
                  <w:rPr>
                    <w:rFonts w:ascii="黑体" w:hAnsi="黑体"/>
                  </w:rPr>
                  <w:t>DB51/T 3132</w:t>
                </w:r>
                <w:r>
                  <w:t>—</w:t>
                </w:r>
                <w:r>
                  <w:rPr>
                    <w:rFonts w:ascii="黑体" w:hAnsi="黑体"/>
                  </w:rPr>
                  <w:t>2023</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96118"/>
    <w:multiLevelType w:val="hybridMultilevel"/>
    <w:tmpl w:val="00000000"/>
    <w:lvl w:ilvl="0">
      <w:start w:val="1"/>
      <w:numFmt w:val="decimal"/>
      <w:lvlText w:val="%1"/>
      <w:lvlJc w:val="left"/>
      <w:pPr>
        <w:ind w:left="673" w:hanging="315"/>
        <w:jc w:val="left"/>
      </w:pPr>
      <w:rPr>
        <w:rFonts w:ascii="黑体" w:eastAsia="黑体" w:hAnsi="黑体" w:cs="黑体" w:hint="default"/>
        <w:w w:val="100"/>
        <w:sz w:val="21"/>
        <w:szCs w:val="21"/>
        <w:lang w:val="en-US" w:eastAsia="zh-CN" w:bidi="ar-SA"/>
      </w:rPr>
    </w:lvl>
    <w:lvl w:ilvl="1">
      <w:start w:val="1"/>
      <w:numFmt w:val="decimal"/>
      <w:lvlText w:val="%1.%2"/>
      <w:lvlJc w:val="left"/>
      <w:pPr>
        <w:ind w:left="88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09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2228" w:hanging="735"/>
      </w:pPr>
      <w:rPr>
        <w:rFonts w:hint="default"/>
        <w:lang w:val="en-US" w:eastAsia="zh-CN" w:bidi="ar-SA"/>
      </w:rPr>
    </w:lvl>
    <w:lvl w:ilvl="4">
      <w:start w:val="0"/>
      <w:numFmt w:val="bullet"/>
      <w:lvlText w:val="•"/>
      <w:lvlJc w:val="left"/>
      <w:pPr>
        <w:ind w:left="3356" w:hanging="735"/>
      </w:pPr>
      <w:rPr>
        <w:rFonts w:hint="default"/>
        <w:lang w:val="en-US" w:eastAsia="zh-CN" w:bidi="ar-SA"/>
      </w:rPr>
    </w:lvl>
    <w:lvl w:ilvl="5">
      <w:start w:val="0"/>
      <w:numFmt w:val="bullet"/>
      <w:lvlText w:val="•"/>
      <w:lvlJc w:val="left"/>
      <w:pPr>
        <w:ind w:left="4484" w:hanging="735"/>
      </w:pPr>
      <w:rPr>
        <w:rFonts w:hint="default"/>
        <w:lang w:val="en-US" w:eastAsia="zh-CN" w:bidi="ar-SA"/>
      </w:rPr>
    </w:lvl>
    <w:lvl w:ilvl="6">
      <w:start w:val="0"/>
      <w:numFmt w:val="bullet"/>
      <w:lvlText w:val="•"/>
      <w:lvlJc w:val="left"/>
      <w:pPr>
        <w:ind w:left="5613" w:hanging="735"/>
      </w:pPr>
      <w:rPr>
        <w:rFonts w:hint="default"/>
        <w:lang w:val="en-US" w:eastAsia="zh-CN" w:bidi="ar-SA"/>
      </w:rPr>
    </w:lvl>
    <w:lvl w:ilvl="7">
      <w:start w:val="0"/>
      <w:numFmt w:val="bullet"/>
      <w:lvlText w:val="•"/>
      <w:lvlJc w:val="left"/>
      <w:pPr>
        <w:ind w:left="6741" w:hanging="735"/>
      </w:pPr>
      <w:rPr>
        <w:rFonts w:hint="default"/>
        <w:lang w:val="en-US" w:eastAsia="zh-CN" w:bidi="ar-SA"/>
      </w:rPr>
    </w:lvl>
    <w:lvl w:ilvl="8">
      <w:start w:val="0"/>
      <w:numFmt w:val="bullet"/>
      <w:lvlText w:val="•"/>
      <w:lvlJc w:val="left"/>
      <w:pPr>
        <w:ind w:left="7869" w:hanging="735"/>
      </w:pPr>
      <w:rPr>
        <w:rFonts w:hint="default"/>
        <w:lang w:val="en-US" w:eastAsia="zh-CN" w:bidi="ar-SA"/>
      </w:rPr>
    </w:lvl>
  </w:abstractNum>
  <w:abstractNum w:abstractNumId="1">
    <w:nsid w:val="16BCDCB7"/>
    <w:multiLevelType w:val="hybridMultilevel"/>
    <w:tmpl w:val="00000000"/>
    <w:lvl w:ilvl="0">
      <w:start w:val="1"/>
      <w:numFmt w:val="decimal"/>
      <w:lvlText w:val="%1"/>
      <w:lvlJc w:val="left"/>
      <w:pPr>
        <w:ind w:left="673" w:hanging="315"/>
        <w:jc w:val="left"/>
      </w:pPr>
      <w:rPr>
        <w:rFonts w:ascii="黑体" w:eastAsia="黑体" w:hAnsi="黑体" w:cs="黑体" w:hint="default"/>
        <w:w w:val="100"/>
        <w:sz w:val="21"/>
        <w:szCs w:val="21"/>
        <w:lang w:val="en-US" w:eastAsia="zh-CN" w:bidi="ar-SA"/>
      </w:rPr>
    </w:lvl>
    <w:lvl w:ilvl="1">
      <w:start w:val="1"/>
      <w:numFmt w:val="decimal"/>
      <w:lvlText w:val="%1.%2"/>
      <w:lvlJc w:val="left"/>
      <w:pPr>
        <w:ind w:left="88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09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2228" w:hanging="735"/>
      </w:pPr>
      <w:rPr>
        <w:rFonts w:hint="default"/>
        <w:lang w:val="en-US" w:eastAsia="zh-CN" w:bidi="ar-SA"/>
      </w:rPr>
    </w:lvl>
    <w:lvl w:ilvl="4">
      <w:start w:val="0"/>
      <w:numFmt w:val="bullet"/>
      <w:lvlText w:val="•"/>
      <w:lvlJc w:val="left"/>
      <w:pPr>
        <w:ind w:left="3356" w:hanging="735"/>
      </w:pPr>
      <w:rPr>
        <w:rFonts w:hint="default"/>
        <w:lang w:val="en-US" w:eastAsia="zh-CN" w:bidi="ar-SA"/>
      </w:rPr>
    </w:lvl>
    <w:lvl w:ilvl="5">
      <w:start w:val="0"/>
      <w:numFmt w:val="bullet"/>
      <w:lvlText w:val="•"/>
      <w:lvlJc w:val="left"/>
      <w:pPr>
        <w:ind w:left="4484" w:hanging="735"/>
      </w:pPr>
      <w:rPr>
        <w:rFonts w:hint="default"/>
        <w:lang w:val="en-US" w:eastAsia="zh-CN" w:bidi="ar-SA"/>
      </w:rPr>
    </w:lvl>
    <w:lvl w:ilvl="6">
      <w:start w:val="0"/>
      <w:numFmt w:val="bullet"/>
      <w:lvlText w:val="•"/>
      <w:lvlJc w:val="left"/>
      <w:pPr>
        <w:ind w:left="5613" w:hanging="735"/>
      </w:pPr>
      <w:rPr>
        <w:rFonts w:hint="default"/>
        <w:lang w:val="en-US" w:eastAsia="zh-CN" w:bidi="ar-SA"/>
      </w:rPr>
    </w:lvl>
    <w:lvl w:ilvl="7">
      <w:start w:val="0"/>
      <w:numFmt w:val="bullet"/>
      <w:lvlText w:val="•"/>
      <w:lvlJc w:val="left"/>
      <w:pPr>
        <w:ind w:left="6741" w:hanging="735"/>
      </w:pPr>
      <w:rPr>
        <w:rFonts w:hint="default"/>
        <w:lang w:val="en-US" w:eastAsia="zh-CN" w:bidi="ar-SA"/>
      </w:rPr>
    </w:lvl>
    <w:lvl w:ilvl="8">
      <w:start w:val="0"/>
      <w:numFmt w:val="bullet"/>
      <w:lvlText w:val="•"/>
      <w:lvlJc w:val="left"/>
      <w:pPr>
        <w:ind w:left="7869" w:hanging="735"/>
      </w:pPr>
      <w:rPr>
        <w:rFonts w:hint="default"/>
        <w:lang w:val="en-US" w:eastAsia="zh-CN" w:bidi="ar-SA"/>
      </w:rPr>
    </w:lvl>
  </w:abstractNum>
  <w:abstractNum w:abstractNumId="2">
    <w:nsid w:val="17801534"/>
    <w:multiLevelType w:val="hybridMultilevel"/>
    <w:tmpl w:val="00000000"/>
    <w:lvl w:ilvl="0">
      <w:start w:val="5"/>
      <w:numFmt w:val="upperLetter"/>
      <w:lvlText w:val="%1"/>
      <w:lvlJc w:val="left"/>
      <w:pPr>
        <w:ind w:left="781" w:hanging="423"/>
        <w:jc w:val="left"/>
      </w:pPr>
      <w:rPr>
        <w:rFonts w:hint="default"/>
        <w:lang w:val="en-US" w:eastAsia="zh-CN" w:bidi="ar-SA"/>
      </w:rPr>
    </w:lvl>
    <w:lvl w:ilvl="1">
      <w:start w:val="1"/>
      <w:numFmt w:val="decimal"/>
      <w:lvlText w:val="%1.%2"/>
      <w:lvlJc w:val="left"/>
      <w:pPr>
        <w:ind w:left="781" w:hanging="423"/>
        <w:jc w:val="left"/>
      </w:pPr>
      <w:rPr>
        <w:rFonts w:ascii="黑体" w:eastAsia="黑体" w:hAnsi="黑体" w:cs="黑体" w:hint="default"/>
        <w:w w:val="100"/>
        <w:sz w:val="21"/>
        <w:szCs w:val="21"/>
        <w:lang w:val="en-US" w:eastAsia="zh-CN" w:bidi="ar-SA"/>
      </w:rPr>
    </w:lvl>
    <w:lvl w:ilvl="2">
      <w:start w:val="0"/>
      <w:numFmt w:val="bullet"/>
      <w:lvlText w:val="•"/>
      <w:lvlJc w:val="left"/>
      <w:pPr>
        <w:ind w:left="2649" w:hanging="423"/>
      </w:pPr>
      <w:rPr>
        <w:rFonts w:hint="default"/>
        <w:lang w:val="en-US" w:eastAsia="zh-CN" w:bidi="ar-SA"/>
      </w:rPr>
    </w:lvl>
    <w:lvl w:ilvl="3">
      <w:start w:val="0"/>
      <w:numFmt w:val="bullet"/>
      <w:lvlText w:val="•"/>
      <w:lvlJc w:val="left"/>
      <w:pPr>
        <w:ind w:left="3583" w:hanging="423"/>
      </w:pPr>
      <w:rPr>
        <w:rFonts w:hint="default"/>
        <w:lang w:val="en-US" w:eastAsia="zh-CN" w:bidi="ar-SA"/>
      </w:rPr>
    </w:lvl>
    <w:lvl w:ilvl="4">
      <w:start w:val="0"/>
      <w:numFmt w:val="bullet"/>
      <w:lvlText w:val="•"/>
      <w:lvlJc w:val="left"/>
      <w:pPr>
        <w:ind w:left="4518" w:hanging="423"/>
      </w:pPr>
      <w:rPr>
        <w:rFonts w:hint="default"/>
        <w:lang w:val="en-US" w:eastAsia="zh-CN" w:bidi="ar-SA"/>
      </w:rPr>
    </w:lvl>
    <w:lvl w:ilvl="5">
      <w:start w:val="0"/>
      <w:numFmt w:val="bullet"/>
      <w:lvlText w:val="•"/>
      <w:lvlJc w:val="left"/>
      <w:pPr>
        <w:ind w:left="5453" w:hanging="423"/>
      </w:pPr>
      <w:rPr>
        <w:rFonts w:hint="default"/>
        <w:lang w:val="en-US" w:eastAsia="zh-CN" w:bidi="ar-SA"/>
      </w:rPr>
    </w:lvl>
    <w:lvl w:ilvl="6">
      <w:start w:val="0"/>
      <w:numFmt w:val="bullet"/>
      <w:lvlText w:val="•"/>
      <w:lvlJc w:val="left"/>
      <w:pPr>
        <w:ind w:left="6387" w:hanging="423"/>
      </w:pPr>
      <w:rPr>
        <w:rFonts w:hint="default"/>
        <w:lang w:val="en-US" w:eastAsia="zh-CN" w:bidi="ar-SA"/>
      </w:rPr>
    </w:lvl>
    <w:lvl w:ilvl="7">
      <w:start w:val="0"/>
      <w:numFmt w:val="bullet"/>
      <w:lvlText w:val="•"/>
      <w:lvlJc w:val="left"/>
      <w:pPr>
        <w:ind w:left="7322" w:hanging="423"/>
      </w:pPr>
      <w:rPr>
        <w:rFonts w:hint="default"/>
        <w:lang w:val="en-US" w:eastAsia="zh-CN" w:bidi="ar-SA"/>
      </w:rPr>
    </w:lvl>
    <w:lvl w:ilvl="8">
      <w:start w:val="0"/>
      <w:numFmt w:val="bullet"/>
      <w:lvlText w:val="•"/>
      <w:lvlJc w:val="left"/>
      <w:pPr>
        <w:ind w:left="8257" w:hanging="423"/>
      </w:pPr>
      <w:rPr>
        <w:rFonts w:hint="default"/>
        <w:lang w:val="en-US" w:eastAsia="zh-CN" w:bidi="ar-SA"/>
      </w:rPr>
    </w:lvl>
  </w:abstractNum>
  <w:abstractNum w:abstractNumId="3">
    <w:nsid w:val="4788130C"/>
    <w:multiLevelType w:val="hybridMultilevel"/>
    <w:tmpl w:val="00000000"/>
    <w:lvl w:ilvl="0">
      <w:start w:val="5"/>
      <w:numFmt w:val="decimal"/>
      <w:lvlText w:val="%1"/>
      <w:lvlJc w:val="left"/>
      <w:pPr>
        <w:ind w:left="884" w:hanging="526"/>
        <w:jc w:val="left"/>
      </w:pPr>
      <w:rPr>
        <w:rFonts w:hint="default"/>
        <w:lang w:val="en-US" w:eastAsia="zh-CN" w:bidi="ar-SA"/>
      </w:rPr>
    </w:lvl>
    <w:lvl w:ilvl="1">
      <w:start w:val="3"/>
      <w:numFmt w:val="decimal"/>
      <w:lvlText w:val="%1.%2"/>
      <w:lvlJc w:val="left"/>
      <w:pPr>
        <w:ind w:left="88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093"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21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3446" w:hanging="428"/>
      </w:pPr>
      <w:rPr>
        <w:rFonts w:hint="default"/>
        <w:lang w:val="en-US" w:eastAsia="zh-CN" w:bidi="ar-SA"/>
      </w:rPr>
    </w:lvl>
    <w:lvl w:ilvl="5">
      <w:start w:val="0"/>
      <w:numFmt w:val="bullet"/>
      <w:lvlText w:val="•"/>
      <w:lvlJc w:val="left"/>
      <w:pPr>
        <w:ind w:left="4559" w:hanging="428"/>
      </w:pPr>
      <w:rPr>
        <w:rFonts w:hint="default"/>
        <w:lang w:val="en-US" w:eastAsia="zh-CN" w:bidi="ar-SA"/>
      </w:rPr>
    </w:lvl>
    <w:lvl w:ilvl="6">
      <w:start w:val="0"/>
      <w:numFmt w:val="bullet"/>
      <w:lvlText w:val="•"/>
      <w:lvlJc w:val="left"/>
      <w:pPr>
        <w:ind w:left="5673" w:hanging="428"/>
      </w:pPr>
      <w:rPr>
        <w:rFonts w:hint="default"/>
        <w:lang w:val="en-US" w:eastAsia="zh-CN" w:bidi="ar-SA"/>
      </w:rPr>
    </w:lvl>
    <w:lvl w:ilvl="7">
      <w:start w:val="0"/>
      <w:numFmt w:val="bullet"/>
      <w:lvlText w:val="•"/>
      <w:lvlJc w:val="left"/>
      <w:pPr>
        <w:ind w:left="6786" w:hanging="428"/>
      </w:pPr>
      <w:rPr>
        <w:rFonts w:hint="default"/>
        <w:lang w:val="en-US" w:eastAsia="zh-CN" w:bidi="ar-SA"/>
      </w:rPr>
    </w:lvl>
    <w:lvl w:ilvl="8">
      <w:start w:val="0"/>
      <w:numFmt w:val="bullet"/>
      <w:lvlText w:val="•"/>
      <w:lvlJc w:val="left"/>
      <w:pPr>
        <w:ind w:left="7899" w:hanging="428"/>
      </w:pPr>
      <w:rPr>
        <w:rFonts w:hint="default"/>
        <w:lang w:val="en-US" w:eastAsia="zh-CN" w:bidi="ar-SA"/>
      </w:rPr>
    </w:lvl>
  </w:abstractNum>
  <w:abstractNum w:abstractNumId="4">
    <w:nsid w:val="47AC9A68"/>
    <w:multiLevelType w:val="hybridMultilevel"/>
    <w:tmpl w:val="00000000"/>
    <w:lvl w:ilvl="0">
      <w:start w:val="2"/>
      <w:numFmt w:val="upperLetter"/>
      <w:lvlText w:val="%1"/>
      <w:lvlJc w:val="left"/>
      <w:pPr>
        <w:ind w:left="781" w:hanging="423"/>
        <w:jc w:val="left"/>
      </w:pPr>
      <w:rPr>
        <w:rFonts w:hint="default"/>
        <w:lang w:val="en-US" w:eastAsia="zh-CN" w:bidi="ar-SA"/>
      </w:rPr>
    </w:lvl>
    <w:lvl w:ilvl="1">
      <w:start w:val="1"/>
      <w:numFmt w:val="decimal"/>
      <w:lvlText w:val="%1.%2"/>
      <w:lvlJc w:val="left"/>
      <w:pPr>
        <w:ind w:left="781" w:hanging="423"/>
        <w:jc w:val="left"/>
      </w:pPr>
      <w:rPr>
        <w:rFonts w:ascii="黑体" w:eastAsia="黑体" w:hAnsi="黑体" w:cs="黑体" w:hint="default"/>
        <w:w w:val="100"/>
        <w:sz w:val="21"/>
        <w:szCs w:val="21"/>
        <w:lang w:val="en-US" w:eastAsia="zh-CN" w:bidi="ar-SA"/>
      </w:rPr>
    </w:lvl>
    <w:lvl w:ilvl="2">
      <w:start w:val="0"/>
      <w:numFmt w:val="bullet"/>
      <w:lvlText w:val="•"/>
      <w:lvlJc w:val="left"/>
      <w:pPr>
        <w:ind w:left="2649" w:hanging="423"/>
      </w:pPr>
      <w:rPr>
        <w:rFonts w:hint="default"/>
        <w:lang w:val="en-US" w:eastAsia="zh-CN" w:bidi="ar-SA"/>
      </w:rPr>
    </w:lvl>
    <w:lvl w:ilvl="3">
      <w:start w:val="0"/>
      <w:numFmt w:val="bullet"/>
      <w:lvlText w:val="•"/>
      <w:lvlJc w:val="left"/>
      <w:pPr>
        <w:ind w:left="3583" w:hanging="423"/>
      </w:pPr>
      <w:rPr>
        <w:rFonts w:hint="default"/>
        <w:lang w:val="en-US" w:eastAsia="zh-CN" w:bidi="ar-SA"/>
      </w:rPr>
    </w:lvl>
    <w:lvl w:ilvl="4">
      <w:start w:val="0"/>
      <w:numFmt w:val="bullet"/>
      <w:lvlText w:val="•"/>
      <w:lvlJc w:val="left"/>
      <w:pPr>
        <w:ind w:left="4518" w:hanging="423"/>
      </w:pPr>
      <w:rPr>
        <w:rFonts w:hint="default"/>
        <w:lang w:val="en-US" w:eastAsia="zh-CN" w:bidi="ar-SA"/>
      </w:rPr>
    </w:lvl>
    <w:lvl w:ilvl="5">
      <w:start w:val="0"/>
      <w:numFmt w:val="bullet"/>
      <w:lvlText w:val="•"/>
      <w:lvlJc w:val="left"/>
      <w:pPr>
        <w:ind w:left="5453" w:hanging="423"/>
      </w:pPr>
      <w:rPr>
        <w:rFonts w:hint="default"/>
        <w:lang w:val="en-US" w:eastAsia="zh-CN" w:bidi="ar-SA"/>
      </w:rPr>
    </w:lvl>
    <w:lvl w:ilvl="6">
      <w:start w:val="0"/>
      <w:numFmt w:val="bullet"/>
      <w:lvlText w:val="•"/>
      <w:lvlJc w:val="left"/>
      <w:pPr>
        <w:ind w:left="6387" w:hanging="423"/>
      </w:pPr>
      <w:rPr>
        <w:rFonts w:hint="default"/>
        <w:lang w:val="en-US" w:eastAsia="zh-CN" w:bidi="ar-SA"/>
      </w:rPr>
    </w:lvl>
    <w:lvl w:ilvl="7">
      <w:start w:val="0"/>
      <w:numFmt w:val="bullet"/>
      <w:lvlText w:val="•"/>
      <w:lvlJc w:val="left"/>
      <w:pPr>
        <w:ind w:left="7322" w:hanging="423"/>
      </w:pPr>
      <w:rPr>
        <w:rFonts w:hint="default"/>
        <w:lang w:val="en-US" w:eastAsia="zh-CN" w:bidi="ar-SA"/>
      </w:rPr>
    </w:lvl>
    <w:lvl w:ilvl="8">
      <w:start w:val="0"/>
      <w:numFmt w:val="bullet"/>
      <w:lvlText w:val="•"/>
      <w:lvlJc w:val="left"/>
      <w:pPr>
        <w:ind w:left="8257" w:hanging="423"/>
      </w:pPr>
      <w:rPr>
        <w:rFonts w:hint="default"/>
        <w:lang w:val="en-US" w:eastAsia="zh-CN" w:bidi="ar-SA"/>
      </w:rPr>
    </w:lvl>
  </w:abstractNum>
  <w:abstractNum w:abstractNumId="5">
    <w:nsid w:val="51DE654D"/>
    <w:multiLevelType w:val="hybridMultilevel"/>
    <w:tmpl w:val="00000000"/>
    <w:lvl w:ilvl="0">
      <w:start w:val="6"/>
      <w:numFmt w:val="decimal"/>
      <w:lvlText w:val="%1"/>
      <w:lvlJc w:val="left"/>
      <w:pPr>
        <w:ind w:left="673" w:hanging="315"/>
        <w:jc w:val="left"/>
      </w:pPr>
      <w:rPr>
        <w:rFonts w:ascii="黑体" w:eastAsia="黑体" w:hAnsi="黑体" w:cs="黑体" w:hint="default"/>
        <w:w w:val="100"/>
        <w:sz w:val="21"/>
        <w:szCs w:val="21"/>
        <w:lang w:val="en-US" w:eastAsia="zh-CN" w:bidi="ar-SA"/>
      </w:rPr>
    </w:lvl>
    <w:lvl w:ilvl="1">
      <w:start w:val="1"/>
      <w:numFmt w:val="decimal"/>
      <w:lvlText w:val="%1.%2"/>
      <w:lvlJc w:val="left"/>
      <w:pPr>
        <w:ind w:left="88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09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2228" w:hanging="735"/>
      </w:pPr>
      <w:rPr>
        <w:rFonts w:hint="default"/>
        <w:lang w:val="en-US" w:eastAsia="zh-CN" w:bidi="ar-SA"/>
      </w:rPr>
    </w:lvl>
    <w:lvl w:ilvl="4">
      <w:start w:val="0"/>
      <w:numFmt w:val="bullet"/>
      <w:lvlText w:val="•"/>
      <w:lvlJc w:val="left"/>
      <w:pPr>
        <w:ind w:left="3356" w:hanging="735"/>
      </w:pPr>
      <w:rPr>
        <w:rFonts w:hint="default"/>
        <w:lang w:val="en-US" w:eastAsia="zh-CN" w:bidi="ar-SA"/>
      </w:rPr>
    </w:lvl>
    <w:lvl w:ilvl="5">
      <w:start w:val="0"/>
      <w:numFmt w:val="bullet"/>
      <w:lvlText w:val="•"/>
      <w:lvlJc w:val="left"/>
      <w:pPr>
        <w:ind w:left="4484" w:hanging="735"/>
      </w:pPr>
      <w:rPr>
        <w:rFonts w:hint="default"/>
        <w:lang w:val="en-US" w:eastAsia="zh-CN" w:bidi="ar-SA"/>
      </w:rPr>
    </w:lvl>
    <w:lvl w:ilvl="6">
      <w:start w:val="0"/>
      <w:numFmt w:val="bullet"/>
      <w:lvlText w:val="•"/>
      <w:lvlJc w:val="left"/>
      <w:pPr>
        <w:ind w:left="5613" w:hanging="735"/>
      </w:pPr>
      <w:rPr>
        <w:rFonts w:hint="default"/>
        <w:lang w:val="en-US" w:eastAsia="zh-CN" w:bidi="ar-SA"/>
      </w:rPr>
    </w:lvl>
    <w:lvl w:ilvl="7">
      <w:start w:val="0"/>
      <w:numFmt w:val="bullet"/>
      <w:lvlText w:val="•"/>
      <w:lvlJc w:val="left"/>
      <w:pPr>
        <w:ind w:left="6741" w:hanging="735"/>
      </w:pPr>
      <w:rPr>
        <w:rFonts w:hint="default"/>
        <w:lang w:val="en-US" w:eastAsia="zh-CN" w:bidi="ar-SA"/>
      </w:rPr>
    </w:lvl>
    <w:lvl w:ilvl="8">
      <w:start w:val="0"/>
      <w:numFmt w:val="bullet"/>
      <w:lvlText w:val="•"/>
      <w:lvlJc w:val="left"/>
      <w:pPr>
        <w:ind w:left="7869" w:hanging="735"/>
      </w:pPr>
      <w:rPr>
        <w:rFonts w:hint="default"/>
        <w:lang w:val="en-US" w:eastAsia="zh-CN" w:bidi="ar-SA"/>
      </w:rPr>
    </w:lvl>
  </w:abstractNum>
  <w:abstractNum w:abstractNumId="6">
    <w:nsid w:val="643E7E06"/>
    <w:multiLevelType w:val="hybridMultilevel"/>
    <w:tmpl w:val="00000000"/>
    <w:lvl w:ilvl="0">
      <w:start w:val="3"/>
      <w:numFmt w:val="upperLetter"/>
      <w:lvlText w:val="%1"/>
      <w:lvlJc w:val="left"/>
      <w:pPr>
        <w:ind w:left="884" w:hanging="420"/>
        <w:jc w:val="left"/>
      </w:pPr>
      <w:rPr>
        <w:rFonts w:hint="default"/>
        <w:lang w:val="en-US" w:eastAsia="zh-CN" w:bidi="ar-SA"/>
      </w:rPr>
    </w:lvl>
    <w:lvl w:ilvl="1">
      <w:start w:val="1"/>
      <w:numFmt w:val="decimal"/>
      <w:lvlText w:val="%1.%2"/>
      <w:lvlJc w:val="left"/>
      <w:pPr>
        <w:ind w:left="884" w:hanging="420"/>
        <w:jc w:val="right"/>
      </w:pPr>
      <w:rPr>
        <w:rFonts w:ascii="黑体" w:eastAsia="黑体" w:hAnsi="黑体" w:cs="黑体" w:hint="default"/>
        <w:w w:val="100"/>
        <w:sz w:val="21"/>
        <w:szCs w:val="21"/>
        <w:lang w:val="en-US" w:eastAsia="zh-CN" w:bidi="ar-SA"/>
      </w:rPr>
    </w:lvl>
    <w:lvl w:ilvl="2">
      <w:start w:val="0"/>
      <w:numFmt w:val="bullet"/>
      <w:lvlText w:val="•"/>
      <w:lvlJc w:val="left"/>
      <w:pPr>
        <w:ind w:left="2729" w:hanging="420"/>
      </w:pPr>
      <w:rPr>
        <w:rFonts w:hint="default"/>
        <w:lang w:val="en-US" w:eastAsia="zh-CN" w:bidi="ar-SA"/>
      </w:rPr>
    </w:lvl>
    <w:lvl w:ilvl="3">
      <w:start w:val="0"/>
      <w:numFmt w:val="bullet"/>
      <w:lvlText w:val="•"/>
      <w:lvlJc w:val="left"/>
      <w:pPr>
        <w:ind w:left="3653" w:hanging="420"/>
      </w:pPr>
      <w:rPr>
        <w:rFonts w:hint="default"/>
        <w:lang w:val="en-US" w:eastAsia="zh-CN" w:bidi="ar-SA"/>
      </w:rPr>
    </w:lvl>
    <w:lvl w:ilvl="4">
      <w:start w:val="0"/>
      <w:numFmt w:val="bullet"/>
      <w:lvlText w:val="•"/>
      <w:lvlJc w:val="left"/>
      <w:pPr>
        <w:ind w:left="4578" w:hanging="420"/>
      </w:pPr>
      <w:rPr>
        <w:rFonts w:hint="default"/>
        <w:lang w:val="en-US" w:eastAsia="zh-CN" w:bidi="ar-SA"/>
      </w:rPr>
    </w:lvl>
    <w:lvl w:ilvl="5">
      <w:start w:val="0"/>
      <w:numFmt w:val="bullet"/>
      <w:lvlText w:val="•"/>
      <w:lvlJc w:val="left"/>
      <w:pPr>
        <w:ind w:left="5503" w:hanging="420"/>
      </w:pPr>
      <w:rPr>
        <w:rFonts w:hint="default"/>
        <w:lang w:val="en-US" w:eastAsia="zh-CN" w:bidi="ar-SA"/>
      </w:rPr>
    </w:lvl>
    <w:lvl w:ilvl="6">
      <w:start w:val="0"/>
      <w:numFmt w:val="bullet"/>
      <w:lvlText w:val="•"/>
      <w:lvlJc w:val="left"/>
      <w:pPr>
        <w:ind w:left="6427" w:hanging="420"/>
      </w:pPr>
      <w:rPr>
        <w:rFonts w:hint="default"/>
        <w:lang w:val="en-US" w:eastAsia="zh-CN" w:bidi="ar-SA"/>
      </w:rPr>
    </w:lvl>
    <w:lvl w:ilvl="7">
      <w:start w:val="0"/>
      <w:numFmt w:val="bullet"/>
      <w:lvlText w:val="•"/>
      <w:lvlJc w:val="left"/>
      <w:pPr>
        <w:ind w:left="7352" w:hanging="420"/>
      </w:pPr>
      <w:rPr>
        <w:rFonts w:hint="default"/>
        <w:lang w:val="en-US" w:eastAsia="zh-CN" w:bidi="ar-SA"/>
      </w:rPr>
    </w:lvl>
    <w:lvl w:ilvl="8">
      <w:start w:val="0"/>
      <w:numFmt w:val="bullet"/>
      <w:lvlText w:val="•"/>
      <w:lvlJc w:val="left"/>
      <w:pPr>
        <w:ind w:left="8277" w:hanging="420"/>
      </w:pPr>
      <w:rPr>
        <w:rFonts w:hint="default"/>
        <w:lang w:val="en-US" w:eastAsia="zh-CN" w:bidi="ar-SA"/>
      </w:rPr>
    </w:lvl>
  </w:abstractNum>
  <w:abstractNum w:abstractNumId="7">
    <w:nsid w:val="68A62647"/>
    <w:multiLevelType w:val="hybridMultilevel"/>
    <w:tmpl w:val="00000000"/>
    <w:lvl w:ilvl="0">
      <w:start w:val="5"/>
      <w:numFmt w:val="decimal"/>
      <w:lvlText w:val="%1"/>
      <w:lvlJc w:val="left"/>
      <w:pPr>
        <w:ind w:left="1093" w:hanging="735"/>
        <w:jc w:val="left"/>
      </w:pPr>
      <w:rPr>
        <w:rFonts w:hint="default"/>
        <w:lang w:val="en-US" w:eastAsia="zh-CN" w:bidi="ar-SA"/>
      </w:rPr>
    </w:lvl>
    <w:lvl w:ilvl="1">
      <w:start w:val="2"/>
      <w:numFmt w:val="decimal"/>
      <w:lvlText w:val="%1.%2"/>
      <w:lvlJc w:val="left"/>
      <w:pPr>
        <w:ind w:left="1093" w:hanging="735"/>
        <w:jc w:val="left"/>
      </w:pPr>
      <w:rPr>
        <w:rFonts w:hint="default"/>
        <w:lang w:val="en-US" w:eastAsia="zh-CN" w:bidi="ar-SA"/>
      </w:rPr>
    </w:lvl>
    <w:lvl w:ilvl="2">
      <w:start w:val="1"/>
      <w:numFmt w:val="decimal"/>
      <w:lvlText w:val="%1.%2.%3"/>
      <w:lvlJc w:val="left"/>
      <w:pPr>
        <w:ind w:left="109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807" w:hanging="735"/>
      </w:pPr>
      <w:rPr>
        <w:rFonts w:hint="default"/>
        <w:lang w:val="en-US" w:eastAsia="zh-CN" w:bidi="ar-SA"/>
      </w:rPr>
    </w:lvl>
    <w:lvl w:ilvl="4">
      <w:start w:val="0"/>
      <w:numFmt w:val="bullet"/>
      <w:lvlText w:val="•"/>
      <w:lvlJc w:val="left"/>
      <w:pPr>
        <w:ind w:left="4710" w:hanging="735"/>
      </w:pPr>
      <w:rPr>
        <w:rFonts w:hint="default"/>
        <w:lang w:val="en-US" w:eastAsia="zh-CN" w:bidi="ar-SA"/>
      </w:rPr>
    </w:lvl>
    <w:lvl w:ilvl="5">
      <w:start w:val="0"/>
      <w:numFmt w:val="bullet"/>
      <w:lvlText w:val="•"/>
      <w:lvlJc w:val="left"/>
      <w:pPr>
        <w:ind w:left="5613" w:hanging="735"/>
      </w:pPr>
      <w:rPr>
        <w:rFonts w:hint="default"/>
        <w:lang w:val="en-US" w:eastAsia="zh-CN" w:bidi="ar-SA"/>
      </w:rPr>
    </w:lvl>
    <w:lvl w:ilvl="6">
      <w:start w:val="0"/>
      <w:numFmt w:val="bullet"/>
      <w:lvlText w:val="•"/>
      <w:lvlJc w:val="left"/>
      <w:pPr>
        <w:ind w:left="6515" w:hanging="735"/>
      </w:pPr>
      <w:rPr>
        <w:rFonts w:hint="default"/>
        <w:lang w:val="en-US" w:eastAsia="zh-CN" w:bidi="ar-SA"/>
      </w:rPr>
    </w:lvl>
    <w:lvl w:ilvl="7">
      <w:start w:val="0"/>
      <w:numFmt w:val="bullet"/>
      <w:lvlText w:val="•"/>
      <w:lvlJc w:val="left"/>
      <w:pPr>
        <w:ind w:left="7418" w:hanging="735"/>
      </w:pPr>
      <w:rPr>
        <w:rFonts w:hint="default"/>
        <w:lang w:val="en-US" w:eastAsia="zh-CN" w:bidi="ar-SA"/>
      </w:rPr>
    </w:lvl>
    <w:lvl w:ilvl="8">
      <w:start w:val="0"/>
      <w:numFmt w:val="bullet"/>
      <w:lvlText w:val="•"/>
      <w:lvlJc w:val="left"/>
      <w:pPr>
        <w:ind w:left="8321" w:hanging="735"/>
      </w:pPr>
      <w:rPr>
        <w:rFonts w:hint="default"/>
        <w:lang w:val="en-US" w:eastAsia="zh-CN" w:bidi="ar-SA"/>
      </w:rPr>
    </w:lvl>
  </w:abstractNum>
  <w:abstractNum w:abstractNumId="8">
    <w:nsid w:val="7533495E"/>
    <w:multiLevelType w:val="hybridMultilevel"/>
    <w:tmpl w:val="00000000"/>
    <w:lvl w:ilvl="0">
      <w:start w:val="1"/>
      <w:numFmt w:val="decimal"/>
      <w:lvlText w:val="%1"/>
      <w:lvlJc w:val="left"/>
      <w:pPr>
        <w:ind w:left="673" w:hanging="315"/>
        <w:jc w:val="left"/>
      </w:pPr>
      <w:rPr>
        <w:rFonts w:ascii="黑体" w:eastAsia="黑体" w:hAnsi="黑体" w:cs="黑体" w:hint="default"/>
        <w:w w:val="100"/>
        <w:sz w:val="21"/>
        <w:szCs w:val="21"/>
        <w:lang w:val="en-US" w:eastAsia="zh-CN" w:bidi="ar-SA"/>
      </w:rPr>
    </w:lvl>
    <w:lvl w:ilvl="1">
      <w:start w:val="1"/>
      <w:numFmt w:val="decimal"/>
      <w:lvlText w:val="%1.%2"/>
      <w:lvlJc w:val="left"/>
      <w:pPr>
        <w:ind w:left="884"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09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2228" w:hanging="735"/>
      </w:pPr>
      <w:rPr>
        <w:rFonts w:hint="default"/>
        <w:lang w:val="en-US" w:eastAsia="zh-CN" w:bidi="ar-SA"/>
      </w:rPr>
    </w:lvl>
    <w:lvl w:ilvl="4">
      <w:start w:val="0"/>
      <w:numFmt w:val="bullet"/>
      <w:lvlText w:val="•"/>
      <w:lvlJc w:val="left"/>
      <w:pPr>
        <w:ind w:left="3356" w:hanging="735"/>
      </w:pPr>
      <w:rPr>
        <w:rFonts w:hint="default"/>
        <w:lang w:val="en-US" w:eastAsia="zh-CN" w:bidi="ar-SA"/>
      </w:rPr>
    </w:lvl>
    <w:lvl w:ilvl="5">
      <w:start w:val="0"/>
      <w:numFmt w:val="bullet"/>
      <w:lvlText w:val="•"/>
      <w:lvlJc w:val="left"/>
      <w:pPr>
        <w:ind w:left="4484" w:hanging="735"/>
      </w:pPr>
      <w:rPr>
        <w:rFonts w:hint="default"/>
        <w:lang w:val="en-US" w:eastAsia="zh-CN" w:bidi="ar-SA"/>
      </w:rPr>
    </w:lvl>
    <w:lvl w:ilvl="6">
      <w:start w:val="0"/>
      <w:numFmt w:val="bullet"/>
      <w:lvlText w:val="•"/>
      <w:lvlJc w:val="left"/>
      <w:pPr>
        <w:ind w:left="5613" w:hanging="735"/>
      </w:pPr>
      <w:rPr>
        <w:rFonts w:hint="default"/>
        <w:lang w:val="en-US" w:eastAsia="zh-CN" w:bidi="ar-SA"/>
      </w:rPr>
    </w:lvl>
    <w:lvl w:ilvl="7">
      <w:start w:val="0"/>
      <w:numFmt w:val="bullet"/>
      <w:lvlText w:val="•"/>
      <w:lvlJc w:val="left"/>
      <w:pPr>
        <w:ind w:left="6741" w:hanging="735"/>
      </w:pPr>
      <w:rPr>
        <w:rFonts w:hint="default"/>
        <w:lang w:val="en-US" w:eastAsia="zh-CN" w:bidi="ar-SA"/>
      </w:rPr>
    </w:lvl>
    <w:lvl w:ilvl="8">
      <w:start w:val="0"/>
      <w:numFmt w:val="bullet"/>
      <w:lvlText w:val="•"/>
      <w:lvlJc w:val="left"/>
      <w:pPr>
        <w:ind w:left="7869" w:hanging="735"/>
      </w:pPr>
      <w:rPr>
        <w:rFonts w:hint="default"/>
        <w:lang w:val="en-US" w:eastAsia="zh-CN" w:bidi="ar-SA"/>
      </w:rPr>
    </w:lvl>
  </w:abstractNum>
  <w:abstractNum w:abstractNumId="9">
    <w:nsid w:val="75A67CA3"/>
    <w:multiLevelType w:val="hybridMultilevel"/>
    <w:tmpl w:val="00000000"/>
    <w:lvl w:ilvl="0">
      <w:start w:val="4"/>
      <w:numFmt w:val="upperLetter"/>
      <w:lvlText w:val="%1"/>
      <w:lvlJc w:val="left"/>
      <w:pPr>
        <w:ind w:left="781" w:hanging="423"/>
        <w:jc w:val="left"/>
      </w:pPr>
      <w:rPr>
        <w:rFonts w:hint="default"/>
        <w:lang w:val="en-US" w:eastAsia="zh-CN" w:bidi="ar-SA"/>
      </w:rPr>
    </w:lvl>
    <w:lvl w:ilvl="1">
      <w:start w:val="1"/>
      <w:numFmt w:val="decimal"/>
      <w:lvlText w:val="%1.%2"/>
      <w:lvlJc w:val="left"/>
      <w:pPr>
        <w:ind w:left="781" w:hanging="423"/>
        <w:jc w:val="left"/>
      </w:pPr>
      <w:rPr>
        <w:rFonts w:ascii="黑体" w:eastAsia="黑体" w:hAnsi="黑体" w:cs="黑体" w:hint="default"/>
        <w:w w:val="100"/>
        <w:sz w:val="21"/>
        <w:szCs w:val="21"/>
        <w:lang w:val="en-US" w:eastAsia="zh-CN" w:bidi="ar-SA"/>
      </w:rPr>
    </w:lvl>
    <w:lvl w:ilvl="2">
      <w:start w:val="0"/>
      <w:numFmt w:val="bullet"/>
      <w:lvlText w:val="•"/>
      <w:lvlJc w:val="left"/>
      <w:pPr>
        <w:ind w:left="2649" w:hanging="423"/>
      </w:pPr>
      <w:rPr>
        <w:rFonts w:hint="default"/>
        <w:lang w:val="en-US" w:eastAsia="zh-CN" w:bidi="ar-SA"/>
      </w:rPr>
    </w:lvl>
    <w:lvl w:ilvl="3">
      <w:start w:val="0"/>
      <w:numFmt w:val="bullet"/>
      <w:lvlText w:val="•"/>
      <w:lvlJc w:val="left"/>
      <w:pPr>
        <w:ind w:left="3583" w:hanging="423"/>
      </w:pPr>
      <w:rPr>
        <w:rFonts w:hint="default"/>
        <w:lang w:val="en-US" w:eastAsia="zh-CN" w:bidi="ar-SA"/>
      </w:rPr>
    </w:lvl>
    <w:lvl w:ilvl="4">
      <w:start w:val="0"/>
      <w:numFmt w:val="bullet"/>
      <w:lvlText w:val="•"/>
      <w:lvlJc w:val="left"/>
      <w:pPr>
        <w:ind w:left="4518" w:hanging="423"/>
      </w:pPr>
      <w:rPr>
        <w:rFonts w:hint="default"/>
        <w:lang w:val="en-US" w:eastAsia="zh-CN" w:bidi="ar-SA"/>
      </w:rPr>
    </w:lvl>
    <w:lvl w:ilvl="5">
      <w:start w:val="0"/>
      <w:numFmt w:val="bullet"/>
      <w:lvlText w:val="•"/>
      <w:lvlJc w:val="left"/>
      <w:pPr>
        <w:ind w:left="5453" w:hanging="423"/>
      </w:pPr>
      <w:rPr>
        <w:rFonts w:hint="default"/>
        <w:lang w:val="en-US" w:eastAsia="zh-CN" w:bidi="ar-SA"/>
      </w:rPr>
    </w:lvl>
    <w:lvl w:ilvl="6">
      <w:start w:val="0"/>
      <w:numFmt w:val="bullet"/>
      <w:lvlText w:val="•"/>
      <w:lvlJc w:val="left"/>
      <w:pPr>
        <w:ind w:left="6387" w:hanging="423"/>
      </w:pPr>
      <w:rPr>
        <w:rFonts w:hint="default"/>
        <w:lang w:val="en-US" w:eastAsia="zh-CN" w:bidi="ar-SA"/>
      </w:rPr>
    </w:lvl>
    <w:lvl w:ilvl="7">
      <w:start w:val="0"/>
      <w:numFmt w:val="bullet"/>
      <w:lvlText w:val="•"/>
      <w:lvlJc w:val="left"/>
      <w:pPr>
        <w:ind w:left="7322" w:hanging="423"/>
      </w:pPr>
      <w:rPr>
        <w:rFonts w:hint="default"/>
        <w:lang w:val="en-US" w:eastAsia="zh-CN" w:bidi="ar-SA"/>
      </w:rPr>
    </w:lvl>
    <w:lvl w:ilvl="8">
      <w:start w:val="0"/>
      <w:numFmt w:val="bullet"/>
      <w:lvlText w:val="•"/>
      <w:lvlJc w:val="left"/>
      <w:pPr>
        <w:ind w:left="8257" w:hanging="423"/>
      </w:pPr>
      <w:rPr>
        <w:rFonts w:hint="default"/>
        <w:lang w:val="en-US" w:eastAsia="zh-CN" w:bidi="ar-SA"/>
      </w:rPr>
    </w:lvl>
  </w:abstractNum>
  <w:num w:numId="1">
    <w:abstractNumId w:val="2"/>
  </w:num>
  <w:num w:numId="2">
    <w:abstractNumId w:val="9"/>
  </w:num>
  <w:num w:numId="3">
    <w:abstractNumId w:val="6"/>
  </w:num>
  <w:num w:numId="4">
    <w:abstractNumId w:val="4"/>
  </w:num>
  <w:num w:numId="5">
    <w:abstractNumId w:val="5"/>
  </w:num>
  <w:num w:numId="6">
    <w:abstractNumId w:val="3"/>
  </w:num>
  <w:num w:numId="7">
    <w:abstractNumId w:val="7"/>
  </w:num>
  <w:num w:numId="8">
    <w:abstractNumId w:val="0"/>
  </w:num>
  <w:num w:numId="9">
    <w:abstractNumId w:val="8"/>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4"/>
      <w:jc w:val="center"/>
      <w:outlineLvl w:val="0"/>
    </w:pPr>
    <w:rPr>
      <w:rFonts w:ascii="黑体" w:eastAsia="黑体" w:hAnsi="黑体" w:cs="黑体"/>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59"/>
      <w:ind w:left="6139"/>
    </w:pPr>
    <w:rPr>
      <w:rFonts w:ascii="Times New Roman" w:eastAsia="Times New Roman" w:hAnsi="Times New Roman" w:cs="Times New Roman"/>
      <w:b/>
      <w:bCs/>
      <w:sz w:val="96"/>
      <w:szCs w:val="96"/>
      <w:lang w:val="en-US" w:eastAsia="zh-CN" w:bidi="ar-SA"/>
    </w:rPr>
  </w:style>
  <w:style w:type="paragraph" w:styleId="ListParagraph">
    <w:name w:val="List Paragraph"/>
    <w:basedOn w:val="Normal"/>
    <w:uiPriority w:val="1"/>
    <w:qFormat/>
    <w:pPr>
      <w:ind w:left="1093" w:hanging="736"/>
    </w:pPr>
    <w:rPr>
      <w:rFonts w:ascii="黑体" w:eastAsia="黑体" w:hAnsi="黑体" w:cs="黑体"/>
      <w:lang w:val="en-US" w:eastAsia="zh-CN" w:bidi="ar-SA"/>
    </w:rPr>
  </w:style>
  <w:style w:type="paragraph" w:customStyle="1" w:styleId="TableParagraph">
    <w:name w:val="Table Paragraph"/>
    <w:basedOn w:val="Normal"/>
    <w:uiPriority w:val="1"/>
    <w:qFormat/>
    <w:pPr>
      <w:spacing w:before="38"/>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yperlink" Target="https://d.book118.com/947015130004006032" TargetMode="Externa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1</dc:creator>
  <cp:revision>0</cp:revision>
  <dcterms:created xsi:type="dcterms:W3CDTF">2024-01-17T12:42:34Z</dcterms:created>
  <dcterms:modified xsi:type="dcterms:W3CDTF">2024-01-17T12:42:34Z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2024-01-10T00:00:00Z</vt:filetime>
  </property>
  <property fmtid="{D5CDD505-2E9C-101B-9397-08002B2CF9AE}" pid="3" name="Creator">
    <vt:lpwstr>Aspose Ltd.</vt:lpwstr>
  </property>
  <property fmtid="{D5CDD505-2E9C-101B-9397-08002B2CF9AE}" pid="4" name="LastSaved">
    <vt:filetime>2024-01-17T00:00:00Z</vt:filetime>
  </property>
</Properties>
</file>