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175"/>
        <w:ind w:left="2188" w:right="5104" w:firstLine="0"/>
        <w:jc w:val="center"/>
        <w:rPr>
          <w:rFonts w:ascii="黑体" w:eastAsia="黑体" w:hint="eastAsia"/>
          <w:b/>
          <w:sz w:val="29"/>
        </w:rPr>
      </w:pPr>
      <w:r>
        <w:rPr>
          <w:rFonts w:ascii="黑体" w:eastAsia="黑体" w:hint="eastAsia"/>
          <w:b/>
          <w:w w:val="95"/>
          <w:sz w:val="29"/>
        </w:rPr>
        <w:t>达州砂石工程</w:t>
      </w:r>
    </w:p>
    <w:p>
      <w:pPr>
        <w:pStyle w:val="BodyText"/>
        <w:rPr>
          <w:rFonts w:ascii="黑体"/>
          <w:b/>
          <w:sz w:val="28"/>
        </w:rPr>
      </w:pPr>
    </w:p>
    <w:p>
      <w:pPr>
        <w:pStyle w:val="BodyText"/>
        <w:rPr>
          <w:rFonts w:ascii="黑体"/>
          <w:b/>
          <w:sz w:val="28"/>
        </w:rPr>
      </w:pPr>
    </w:p>
    <w:p>
      <w:pPr>
        <w:pStyle w:val="BodyText"/>
        <w:spacing w:before="10"/>
        <w:rPr>
          <w:rFonts w:ascii="黑体"/>
          <w:b/>
          <w:sz w:val="36"/>
        </w:rPr>
      </w:pPr>
    </w:p>
    <w:p>
      <w:pPr>
        <w:spacing w:before="0"/>
        <w:ind w:left="4918" w:right="0" w:firstLine="0"/>
        <w:jc w:val="left"/>
        <w:rPr>
          <w:rFonts w:ascii="黑体" w:eastAsia="黑体" w:hint="eastAsia"/>
          <w:b/>
          <w:sz w:val="29"/>
        </w:rPr>
      </w:pPr>
      <w:r>
        <w:rPr>
          <w:rFonts w:ascii="黑体" w:eastAsia="黑体" w:hint="eastAsia"/>
          <w:b/>
          <w:w w:val="95"/>
          <w:sz w:val="29"/>
        </w:rPr>
        <w:t>可行性争论报告</w:t>
      </w:r>
    </w:p>
    <w:p>
      <w:pPr>
        <w:pStyle w:val="BodyText"/>
        <w:rPr>
          <w:rFonts w:ascii="黑体"/>
          <w:b/>
          <w:sz w:val="28"/>
        </w:rPr>
      </w:pPr>
    </w:p>
    <w:p>
      <w:pPr>
        <w:pStyle w:val="BodyText"/>
        <w:rPr>
          <w:rFonts w:ascii="黑体"/>
          <w:b/>
          <w:sz w:val="28"/>
        </w:rPr>
      </w:pPr>
    </w:p>
    <w:p>
      <w:pPr>
        <w:pStyle w:val="BodyText"/>
        <w:rPr>
          <w:rFonts w:ascii="黑体"/>
          <w:b/>
          <w:sz w:val="28"/>
        </w:rPr>
      </w:pPr>
    </w:p>
    <w:p>
      <w:pPr>
        <w:pStyle w:val="BodyText"/>
        <w:rPr>
          <w:rFonts w:ascii="黑体"/>
          <w:b/>
          <w:sz w:val="28"/>
        </w:rPr>
      </w:pPr>
    </w:p>
    <w:p>
      <w:pPr>
        <w:pStyle w:val="BodyText"/>
        <w:rPr>
          <w:rFonts w:ascii="黑体"/>
          <w:b/>
          <w:sz w:val="28"/>
        </w:rPr>
      </w:pPr>
    </w:p>
    <w:p>
      <w:pPr>
        <w:pStyle w:val="BodyText"/>
        <w:rPr>
          <w:rFonts w:ascii="黑体"/>
          <w:b/>
          <w:sz w:val="28"/>
        </w:rPr>
      </w:pPr>
    </w:p>
    <w:p>
      <w:pPr>
        <w:pStyle w:val="BodyText"/>
        <w:rPr>
          <w:rFonts w:ascii="黑体"/>
          <w:b/>
          <w:sz w:val="28"/>
        </w:rPr>
      </w:pPr>
    </w:p>
    <w:p>
      <w:pPr>
        <w:pStyle w:val="BodyText"/>
        <w:rPr>
          <w:rFonts w:ascii="黑体"/>
          <w:b/>
          <w:sz w:val="28"/>
        </w:rPr>
      </w:pPr>
    </w:p>
    <w:p>
      <w:pPr>
        <w:pStyle w:val="BodyText"/>
        <w:rPr>
          <w:rFonts w:ascii="黑体"/>
          <w:b/>
          <w:sz w:val="28"/>
        </w:rPr>
      </w:pPr>
    </w:p>
    <w:p>
      <w:pPr>
        <w:pStyle w:val="BodyText"/>
        <w:rPr>
          <w:rFonts w:ascii="黑体"/>
          <w:b/>
          <w:sz w:val="28"/>
        </w:rPr>
      </w:pPr>
    </w:p>
    <w:p>
      <w:pPr>
        <w:pStyle w:val="BodyText"/>
        <w:rPr>
          <w:rFonts w:ascii="黑体"/>
          <w:b/>
          <w:sz w:val="28"/>
        </w:rPr>
      </w:pPr>
    </w:p>
    <w:p>
      <w:pPr>
        <w:pStyle w:val="BodyText"/>
        <w:rPr>
          <w:rFonts w:ascii="黑体"/>
          <w:b/>
          <w:sz w:val="28"/>
        </w:rPr>
      </w:pPr>
    </w:p>
    <w:p>
      <w:pPr>
        <w:pStyle w:val="BodyText"/>
        <w:rPr>
          <w:rFonts w:ascii="黑体"/>
          <w:b/>
          <w:sz w:val="28"/>
        </w:rPr>
      </w:pPr>
    </w:p>
    <w:p>
      <w:pPr>
        <w:pStyle w:val="BodyText"/>
        <w:rPr>
          <w:rFonts w:ascii="黑体"/>
          <w:b/>
          <w:sz w:val="28"/>
        </w:rPr>
      </w:pPr>
    </w:p>
    <w:p>
      <w:pPr>
        <w:pStyle w:val="BodyText"/>
        <w:rPr>
          <w:rFonts w:ascii="黑体"/>
          <w:b/>
          <w:sz w:val="28"/>
        </w:rPr>
      </w:pPr>
    </w:p>
    <w:p>
      <w:pPr>
        <w:pStyle w:val="BodyText"/>
        <w:rPr>
          <w:rFonts w:ascii="黑体"/>
          <w:b/>
          <w:sz w:val="28"/>
        </w:rPr>
      </w:pPr>
    </w:p>
    <w:p>
      <w:pPr>
        <w:pStyle w:val="BodyText"/>
        <w:rPr>
          <w:rFonts w:ascii="黑体"/>
          <w:b/>
          <w:sz w:val="28"/>
        </w:rPr>
      </w:pPr>
    </w:p>
    <w:p>
      <w:pPr>
        <w:pStyle w:val="BodyText"/>
        <w:rPr>
          <w:rFonts w:ascii="黑体"/>
          <w:b/>
          <w:sz w:val="28"/>
        </w:rPr>
      </w:pPr>
    </w:p>
    <w:p>
      <w:pPr>
        <w:pStyle w:val="BodyText"/>
        <w:rPr>
          <w:rFonts w:ascii="黑体"/>
          <w:b/>
          <w:sz w:val="28"/>
        </w:rPr>
      </w:pPr>
    </w:p>
    <w:p>
      <w:pPr>
        <w:pStyle w:val="BodyText"/>
        <w:rPr>
          <w:rFonts w:ascii="黑体"/>
          <w:b/>
          <w:sz w:val="28"/>
        </w:rPr>
      </w:pPr>
    </w:p>
    <w:p>
      <w:pPr>
        <w:pStyle w:val="BodyText"/>
        <w:rPr>
          <w:rFonts w:ascii="黑体"/>
          <w:b/>
          <w:sz w:val="28"/>
        </w:rPr>
      </w:pPr>
    </w:p>
    <w:p>
      <w:pPr>
        <w:pStyle w:val="BodyText"/>
        <w:rPr>
          <w:rFonts w:ascii="黑体"/>
          <w:b/>
          <w:sz w:val="28"/>
        </w:rPr>
      </w:pPr>
    </w:p>
    <w:p>
      <w:pPr>
        <w:pStyle w:val="BodyText"/>
        <w:rPr>
          <w:rFonts w:ascii="黑体"/>
          <w:b/>
          <w:sz w:val="28"/>
        </w:rPr>
      </w:pPr>
    </w:p>
    <w:p>
      <w:pPr>
        <w:pStyle w:val="BodyText"/>
        <w:rPr>
          <w:rFonts w:ascii="黑体"/>
          <w:b/>
          <w:sz w:val="28"/>
        </w:rPr>
      </w:pPr>
    </w:p>
    <w:p>
      <w:pPr>
        <w:pStyle w:val="BodyText"/>
        <w:rPr>
          <w:rFonts w:ascii="黑体"/>
          <w:b/>
          <w:sz w:val="28"/>
        </w:rPr>
      </w:pPr>
    </w:p>
    <w:p>
      <w:pPr>
        <w:pStyle w:val="BodyText"/>
        <w:rPr>
          <w:rFonts w:ascii="黑体"/>
          <w:b/>
          <w:sz w:val="28"/>
        </w:rPr>
      </w:pPr>
    </w:p>
    <w:p>
      <w:pPr>
        <w:pStyle w:val="BodyText"/>
        <w:rPr>
          <w:rFonts w:ascii="黑体"/>
          <w:b/>
          <w:sz w:val="28"/>
        </w:rPr>
      </w:pPr>
    </w:p>
    <w:p>
      <w:pPr>
        <w:pStyle w:val="BodyText"/>
        <w:rPr>
          <w:rFonts w:ascii="黑体"/>
          <w:b/>
          <w:sz w:val="28"/>
        </w:rPr>
      </w:pPr>
    </w:p>
    <w:p>
      <w:pPr>
        <w:pStyle w:val="BodyText"/>
        <w:spacing w:before="5"/>
        <w:rPr>
          <w:rFonts w:ascii="黑体"/>
          <w:b/>
          <w:sz w:val="34"/>
        </w:rPr>
      </w:pPr>
    </w:p>
    <w:p>
      <w:pPr>
        <w:pStyle w:val="Heading1"/>
        <w:ind w:left="4761" w:right="5094"/>
        <w:jc w:val="center"/>
      </w:pPr>
      <w:r>
        <w:rPr>
          <w:w w:val="95"/>
        </w:rPr>
        <w:t>xxx</w:t>
      </w:r>
      <w:r>
        <w:rPr>
          <w:spacing w:val="-17"/>
          <w:w w:val="95"/>
        </w:rPr>
        <w:t xml:space="preserve"> </w:t>
      </w:r>
    </w:p>
    <w:p>
      <w:pPr>
        <w:spacing w:after="0"/>
        <w:jc w:val="center"/>
        <w:sectPr>
          <w:headerReference w:type="even" r:id="rId4"/>
          <w:headerReference w:type="default" r:id="rId5"/>
          <w:type w:val="continuous"/>
          <w:pgSz w:w="18360" w:h="23760"/>
          <w:pgMar w:top="2260" w:right="1200" w:bottom="280" w:left="1520" w:header="869" w:footer="708"/>
          <w:cols w:space="708"/>
        </w:sectPr>
      </w:pPr>
    </w:p>
    <w:p>
      <w:pPr>
        <w:pStyle w:val="BodyText"/>
        <w:spacing w:before="21"/>
        <w:ind w:left="4761" w:right="5083"/>
        <w:jc w:val="center"/>
        <w:rPr>
          <w:rFonts w:ascii="幼圆" w:eastAsia="幼圆" w:hint="eastAsia"/>
        </w:rPr>
      </w:pPr>
      <w:r>
        <w:rPr>
          <w:rFonts w:ascii="幼圆" w:eastAsia="幼圆" w:hint="eastAsia"/>
          <w:w w:val="95"/>
        </w:rPr>
        <w:t>摘要</w:t>
      </w:r>
    </w:p>
    <w:p>
      <w:pPr>
        <w:pStyle w:val="BodyText"/>
        <w:spacing w:before="422"/>
        <w:ind w:left="1180"/>
        <w:jc w:val="both"/>
      </w:pPr>
      <w:r>
        <w:rPr>
          <w:w w:val="95"/>
        </w:rPr>
        <w:t>到 2023 年，在资源优势地区建立本地配套的砂石骨料生产基地；</w:t>
      </w:r>
    </w:p>
    <w:p>
      <w:pPr>
        <w:pStyle w:val="BodyText"/>
        <w:spacing w:before="422" w:line="405" w:lineRule="auto"/>
        <w:ind w:left="280" w:right="1079"/>
        <w:jc w:val="both"/>
      </w:pPr>
      <w:r>
        <w:rPr>
          <w:w w:val="95"/>
        </w:rPr>
        <w:t>再创立一批国家级绿色矿山单位；通过整合或联合重组，将年产</w:t>
      </w:r>
      <w:r>
        <w:rPr>
          <w:spacing w:val="217"/>
        </w:rPr>
        <w:t xml:space="preserve"> </w:t>
      </w:r>
      <w:r>
        <w:rPr>
          <w:w w:val="95"/>
        </w:rPr>
        <w:t>500</w:t>
      </w:r>
      <w:r>
        <w:rPr>
          <w:spacing w:val="-225"/>
          <w:w w:val="95"/>
        </w:rPr>
        <w:t xml:space="preserve"> </w:t>
      </w:r>
      <w:r>
        <w:rPr>
          <w:spacing w:val="-2"/>
          <w:w w:val="95"/>
        </w:rPr>
        <w:t xml:space="preserve">万吨及以上的机制砂石骨料企业生产集中度提高到 </w:t>
      </w:r>
      <w:r>
        <w:rPr>
          <w:w w:val="95"/>
        </w:rPr>
        <w:t>80%以上。</w:t>
      </w:r>
    </w:p>
    <w:p>
      <w:pPr>
        <w:pStyle w:val="BodyText"/>
        <w:spacing w:line="405" w:lineRule="auto"/>
        <w:ind w:left="280" w:right="995" w:firstLine="900"/>
        <w:jc w:val="both"/>
      </w:pPr>
      <w:r>
        <w:t>砂石骨料是工程建设最根底、用量最大的原材料资源。我国砂石</w:t>
      </w:r>
      <w:r>
        <w:rPr>
          <w:w w:val="95"/>
        </w:rPr>
        <w:t>矿产资源丰富，滥采乱挖现象严峻，砂石质量参差不齐，砂石骨料产</w:t>
      </w:r>
      <w:r>
        <w:rPr>
          <w:spacing w:val="1"/>
          <w:w w:val="95"/>
        </w:rPr>
        <w:t xml:space="preserve"> </w:t>
      </w:r>
      <w:r>
        <w:t>业呈现的特征。</w:t>
      </w:r>
    </w:p>
    <w:p>
      <w:pPr>
        <w:pStyle w:val="BodyText"/>
        <w:spacing w:line="405" w:lineRule="auto"/>
        <w:ind w:left="280" w:right="995" w:firstLine="900"/>
        <w:jc w:val="both"/>
      </w:pPr>
      <w:r>
        <w:t>从应用目的来看，全球砂石骨料主要应用于商业建筑、住房、工</w:t>
      </w:r>
      <w:r>
        <w:rPr>
          <w:w w:val="95"/>
        </w:rPr>
        <w:t>业建设以及根底设施建设中。其中，受益于各企业和政府部门不断增</w:t>
      </w:r>
      <w:r>
        <w:rPr>
          <w:spacing w:val="1"/>
          <w:w w:val="95"/>
        </w:rPr>
        <w:t xml:space="preserve"> </w:t>
      </w:r>
      <w:r>
        <w:t>长的投资，根底设施建设对砂石骨料的需求量最大。</w:t>
      </w:r>
    </w:p>
    <w:p>
      <w:pPr>
        <w:pStyle w:val="BodyText"/>
        <w:spacing w:line="612" w:lineRule="exact"/>
        <w:ind w:left="1180"/>
        <w:jc w:val="both"/>
      </w:pPr>
      <w:r>
        <w:rPr>
          <w:spacing w:val="19"/>
          <w:w w:val="95"/>
        </w:rPr>
        <w:t xml:space="preserve">该砂石工程打算总投资 </w:t>
      </w:r>
      <w:r>
        <w:rPr>
          <w:w w:val="95"/>
        </w:rPr>
        <w:t>5063.47</w:t>
      </w:r>
      <w:r>
        <w:rPr>
          <w:spacing w:val="10"/>
          <w:w w:val="95"/>
        </w:rPr>
        <w:t xml:space="preserve"> 万元，其中：固定资产投资</w:t>
      </w:r>
    </w:p>
    <w:p>
      <w:pPr>
        <w:pStyle w:val="BodyText"/>
        <w:spacing w:before="413" w:line="405" w:lineRule="auto"/>
        <w:ind w:left="280" w:right="958"/>
        <w:jc w:val="both"/>
      </w:pPr>
      <w:r>
        <w:rPr>
          <w:w w:val="95"/>
        </w:rPr>
        <w:t>4031.57</w:t>
      </w:r>
      <w:r>
        <w:rPr>
          <w:spacing w:val="6"/>
          <w:w w:val="95"/>
        </w:rPr>
        <w:t xml:space="preserve"> 万元，占工程总投资的 </w:t>
      </w:r>
      <w:r>
        <w:rPr>
          <w:w w:val="95"/>
        </w:rPr>
        <w:t>79.62</w:t>
      </w:r>
      <w:r>
        <w:rPr>
          <w:spacing w:val="7"/>
          <w:w w:val="95"/>
        </w:rPr>
        <w:t xml:space="preserve">%；流淌资金 </w:t>
      </w:r>
      <w:r>
        <w:rPr>
          <w:w w:val="95"/>
        </w:rPr>
        <w:t>1031.90</w:t>
      </w:r>
      <w:r>
        <w:rPr>
          <w:spacing w:val="9"/>
          <w:w w:val="95"/>
        </w:rPr>
        <w:t xml:space="preserve"> 万元，占</w:t>
      </w:r>
      <w:r>
        <w:rPr>
          <w:spacing w:val="-14"/>
          <w:w w:val="95"/>
        </w:rPr>
        <w:t xml:space="preserve">工程总投资的 </w:t>
      </w:r>
      <w:r>
        <w:rPr>
          <w:w w:val="95"/>
        </w:rPr>
        <w:t>20.38%。</w:t>
      </w:r>
    </w:p>
    <w:p>
      <w:pPr>
        <w:pStyle w:val="BodyText"/>
        <w:spacing w:line="613" w:lineRule="exact"/>
        <w:ind w:left="1180"/>
        <w:jc w:val="both"/>
      </w:pPr>
      <w:r>
        <w:rPr>
          <w:spacing w:val="7"/>
          <w:w w:val="95"/>
        </w:rPr>
        <w:t xml:space="preserve">达产年营业收入 </w:t>
      </w:r>
      <w:r>
        <w:rPr>
          <w:w w:val="95"/>
        </w:rPr>
        <w:t>8130.00</w:t>
      </w:r>
      <w:r>
        <w:rPr>
          <w:spacing w:val="9"/>
          <w:w w:val="95"/>
        </w:rPr>
        <w:t xml:space="preserve"> 万元，总本钱费用 </w:t>
      </w:r>
      <w:r>
        <w:rPr>
          <w:w w:val="95"/>
        </w:rPr>
        <w:t>6150.20</w:t>
      </w:r>
      <w:r>
        <w:rPr>
          <w:spacing w:val="6"/>
          <w:w w:val="95"/>
        </w:rPr>
        <w:t xml:space="preserve"> 万元，税金</w:t>
      </w:r>
    </w:p>
    <w:p>
      <w:pPr>
        <w:pStyle w:val="BodyText"/>
        <w:spacing w:before="423"/>
        <w:ind w:left="280"/>
        <w:jc w:val="both"/>
      </w:pPr>
      <w:r>
        <w:rPr>
          <w:spacing w:val="17"/>
          <w:w w:val="95"/>
        </w:rPr>
        <w:t xml:space="preserve">及附加 </w:t>
      </w:r>
      <w:r>
        <w:rPr>
          <w:w w:val="95"/>
        </w:rPr>
        <w:t>92.72</w:t>
      </w:r>
      <w:r>
        <w:rPr>
          <w:spacing w:val="14"/>
          <w:w w:val="95"/>
        </w:rPr>
        <w:t xml:space="preserve"> 万元，利润总额 </w:t>
      </w:r>
      <w:r>
        <w:rPr>
          <w:w w:val="95"/>
        </w:rPr>
        <w:t>1979.80</w:t>
      </w:r>
      <w:r>
        <w:rPr>
          <w:spacing w:val="15"/>
          <w:w w:val="95"/>
        </w:rPr>
        <w:t xml:space="preserve"> 万元，利税总额 </w:t>
      </w:r>
      <w:r>
        <w:rPr>
          <w:w w:val="95"/>
        </w:rPr>
        <w:t>2345.60</w:t>
      </w:r>
      <w:r>
        <w:rPr>
          <w:spacing w:val="15"/>
          <w:w w:val="95"/>
        </w:rPr>
        <w:t xml:space="preserve"> 万元，</w:t>
      </w:r>
    </w:p>
    <w:p>
      <w:pPr>
        <w:pStyle w:val="BodyText"/>
        <w:spacing w:before="422" w:line="405" w:lineRule="auto"/>
        <w:ind w:left="280" w:right="598"/>
        <w:jc w:val="both"/>
      </w:pPr>
      <w:r>
        <w:rPr>
          <w:spacing w:val="6"/>
          <w:w w:val="95"/>
        </w:rPr>
        <w:t xml:space="preserve">税后净利润 </w:t>
      </w:r>
      <w:r>
        <w:rPr>
          <w:w w:val="95"/>
        </w:rPr>
        <w:t>1484.85</w:t>
      </w:r>
      <w:r>
        <w:rPr>
          <w:spacing w:val="3"/>
          <w:w w:val="95"/>
        </w:rPr>
        <w:t xml:space="preserve"> 万元，达产年纳税总额 </w:t>
      </w:r>
      <w:r>
        <w:rPr>
          <w:w w:val="95"/>
        </w:rPr>
        <w:t>860.75 万元；达产年投资</w:t>
      </w:r>
      <w:r>
        <w:rPr>
          <w:spacing w:val="27"/>
          <w:w w:val="95"/>
        </w:rPr>
        <w:t xml:space="preserve">利润率 </w:t>
      </w:r>
      <w:r>
        <w:rPr>
          <w:w w:val="95"/>
        </w:rPr>
        <w:t>39.10</w:t>
      </w:r>
      <w:r>
        <w:rPr>
          <w:spacing w:val="15"/>
          <w:w w:val="95"/>
        </w:rPr>
        <w:t xml:space="preserve">%，投资利税率 </w:t>
      </w:r>
      <w:r>
        <w:rPr>
          <w:w w:val="95"/>
        </w:rPr>
        <w:t>46.32</w:t>
      </w:r>
      <w:r>
        <w:rPr>
          <w:spacing w:val="13"/>
          <w:w w:val="95"/>
        </w:rPr>
        <w:t xml:space="preserve">%，投资回报率 </w:t>
      </w:r>
      <w:r>
        <w:rPr>
          <w:w w:val="95"/>
        </w:rPr>
        <w:t>29.32%，全部投资回</w:t>
      </w:r>
      <w:r>
        <w:rPr>
          <w:spacing w:val="-32"/>
          <w:w w:val="95"/>
        </w:rPr>
        <w:t xml:space="preserve">收期 </w:t>
      </w:r>
      <w:r>
        <w:rPr>
          <w:w w:val="95"/>
        </w:rPr>
        <w:t>4.91</w:t>
      </w:r>
      <w:r>
        <w:rPr>
          <w:spacing w:val="-22"/>
          <w:w w:val="95"/>
        </w:rPr>
        <w:t xml:space="preserve"> 年，供给就业职位 </w:t>
      </w:r>
      <w:r>
        <w:rPr>
          <w:w w:val="95"/>
        </w:rPr>
        <w:t>161</w:t>
      </w:r>
      <w:r>
        <w:rPr>
          <w:spacing w:val="-36"/>
          <w:w w:val="95"/>
        </w:rPr>
        <w:t xml:space="preserve"> 个。</w:t>
      </w:r>
    </w:p>
    <w:p>
      <w:pPr>
        <w:spacing w:after="0" w:line="405" w:lineRule="auto"/>
        <w:jc w:val="both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https://d.book118.com/947143116161006025</w:t>
        </w:r>
      </w:hyperlink>
    </w:p>
    <w:p>
      <w:pPr>
        <w:spacing w:after="0" w:line="405" w:lineRule="auto"/>
        <w:jc w:val="both"/>
      </w:pPr>
    </w:p>
    <w:sectPr>
      <w:headerReference w:type="even" r:id="rId7"/>
      <w:headerReference w:type="default" r:id="rId8"/>
      <w:pgSz w:w="18360" w:h="23760"/>
      <w:pgMar w:top="2260" w:right="1200" w:bottom="280" w:left="1520" w:header="869" w:footer="0"/>
      <w:pgNumType w:start="2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仿宋">
    <w:altName w:val="仿宋"/>
    <w:charset w:val="86"/>
    <w:family w:val="modern"/>
    <w:pitch w:val="fixed"/>
    <w:sig w:usb0="00000000" w:usb1="00000000" w:usb2="00000000" w:usb3="00000000" w:csb0="00040000" w:csb1="00000000"/>
  </w:font>
  <w:font w:name="黑体">
    <w:altName w:val="黑体"/>
    <w:charset w:val="86"/>
    <w:family w:val="modern"/>
    <w:pitch w:val="fixed"/>
    <w:sig w:usb0="00000000" w:usb1="00000000" w:usb2="00000000" w:usb3="00000000" w:csb0="00040000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10.75pt;height:16.95pt;margin-top:42.45pt;margin-left:89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0" w:line="339" w:lineRule="exact"/>
                  <w:ind w:left="20" w:right="0" w:firstLine="0"/>
                  <w:jc w:val="left"/>
                  <w:rPr>
                    <w:sz w:val="30"/>
                  </w:rPr>
                </w:pPr>
              </w:p>
            </w:txbxContent>
          </v:textbox>
        </v:shape>
      </w:pict>
    </w:r>
    <w:r>
      <w:pict>
        <v:shape id="_x0000_s2050" type="#_x0000_t202" style="width:196.25pt;height:16.95pt;margin-top:42.45pt;margin-left:220.43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0" w:line="339" w:lineRule="exact"/>
                  <w:ind w:left="20" w:right="0" w:firstLine="0"/>
                  <w:jc w:val="left"/>
                  <w:rPr>
                    <w:sz w:val="30"/>
                  </w:rPr>
                </w:pPr>
                <w:r>
                  <w:rPr>
                    <w:w w:val="95"/>
                    <w:sz w:val="30"/>
                  </w:rPr>
                  <w:t>达州砂石工程可行性争论报告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110.75pt;height:16.95pt;margin-top:42.45pt;margin-left:89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0" w:line="339" w:lineRule="exact"/>
                  <w:ind w:left="20" w:right="0" w:firstLine="0"/>
                  <w:jc w:val="left"/>
                  <w:rPr>
                    <w:sz w:val="30"/>
                  </w:rPr>
                </w:pPr>
              </w:p>
            </w:txbxContent>
          </v:textbox>
        </v:shape>
      </w:pict>
    </w:r>
    <w:r>
      <w:pict>
        <v:shape id="_x0000_s2052" type="#_x0000_t202" style="width:196.25pt;height:16.95pt;margin-top:42.45pt;margin-left:220.43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0" w:line="339" w:lineRule="exact"/>
                  <w:ind w:left="20" w:right="0" w:firstLine="0"/>
                  <w:jc w:val="left"/>
                  <w:rPr>
                    <w:sz w:val="30"/>
                  </w:rPr>
                </w:pPr>
                <w:r>
                  <w:rPr>
                    <w:w w:val="95"/>
                    <w:sz w:val="30"/>
                  </w:rPr>
                  <w:t>达州砂石工程可行性争论报告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110.75pt;height:16.95pt;margin-top:42.45pt;margin-left:89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0" w:line="339" w:lineRule="exact"/>
                  <w:ind w:left="20" w:right="0" w:firstLine="0"/>
                  <w:jc w:val="left"/>
                  <w:rPr>
                    <w:sz w:val="30"/>
                  </w:rPr>
                </w:pPr>
              </w:p>
            </w:txbxContent>
          </v:textbox>
        </v:shape>
      </w:pict>
    </w:r>
    <w:r>
      <w:pict>
        <v:shape id="_x0000_s2054" type="#_x0000_t202" style="width:196.25pt;height:16.95pt;margin-top:42.45pt;margin-left:220.43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0" w:line="339" w:lineRule="exact"/>
                  <w:ind w:left="20" w:right="0" w:firstLine="0"/>
                  <w:jc w:val="left"/>
                  <w:rPr>
                    <w:sz w:val="30"/>
                  </w:rPr>
                </w:pPr>
                <w:r>
                  <w:rPr>
                    <w:w w:val="95"/>
                    <w:sz w:val="30"/>
                  </w:rPr>
                  <w:t>达州砂石工程可行性争论报告</w:t>
                </w:r>
              </w:p>
            </w:txbxContent>
          </v:textbox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110.75pt;height:16.95pt;margin-top:42.45pt;margin-left:89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0" w:line="339" w:lineRule="exact"/>
                  <w:ind w:left="20" w:right="0" w:firstLine="0"/>
                  <w:jc w:val="left"/>
                  <w:rPr>
                    <w:sz w:val="30"/>
                  </w:rPr>
                </w:pPr>
              </w:p>
            </w:txbxContent>
          </v:textbox>
        </v:shape>
      </w:pict>
    </w:r>
    <w:r>
      <w:pict>
        <v:shape id="_x0000_s2056" type="#_x0000_t202" style="width:196.25pt;height:16.95pt;margin-top:42.45pt;margin-left:220.43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0" w:line="339" w:lineRule="exact"/>
                  <w:ind w:left="20" w:right="0" w:firstLine="0"/>
                  <w:jc w:val="left"/>
                  <w:rPr>
                    <w:sz w:val="30"/>
                  </w:rPr>
                </w:pPr>
                <w:r>
                  <w:rPr>
                    <w:w w:val="95"/>
                    <w:sz w:val="30"/>
                  </w:rPr>
                  <w:t>达州砂石工程可行性争论报告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B8545"/>
    <w:multiLevelType w:val="hybridMultilevel"/>
    <w:tmpl w:val="00000000"/>
    <w:lvl w:ilvl="0">
      <w:start w:val="1"/>
      <w:numFmt w:val="decimal"/>
      <w:lvlText w:val="%1."/>
      <w:lvlJc w:val="left"/>
      <w:pPr>
        <w:ind w:left="1901" w:hanging="721"/>
        <w:jc w:val="left"/>
      </w:pPr>
      <w:rPr>
        <w:rFonts w:ascii="仿宋" w:eastAsia="仿宋" w:hAnsi="仿宋" w:cs="仿宋" w:hint="default"/>
        <w:spacing w:val="0"/>
        <w:w w:val="99"/>
        <w:sz w:val="46"/>
        <w:szCs w:val="46"/>
      </w:rPr>
    </w:lvl>
    <w:lvl w:ilvl="1">
      <w:start w:val="0"/>
      <w:numFmt w:val="bullet"/>
      <w:lvlText w:val="•"/>
      <w:lvlJc w:val="left"/>
      <w:pPr>
        <w:ind w:left="3274" w:hanging="7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48" w:hanging="7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022" w:hanging="7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396" w:hanging="7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770" w:hanging="7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144" w:hanging="7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518" w:hanging="7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892" w:hanging="721"/>
      </w:pPr>
      <w:rPr>
        <w:rFonts w:hint="default"/>
      </w:rPr>
    </w:lvl>
  </w:abstractNum>
  <w:abstractNum w:abstractNumId="1">
    <w:nsid w:val="5CB5E5C4"/>
    <w:multiLevelType w:val="hybridMultilevel"/>
    <w:tmpl w:val="00000000"/>
    <w:lvl w:ilvl="0">
      <w:start w:val="1"/>
      <w:numFmt w:val="decimal"/>
      <w:lvlText w:val="%1."/>
      <w:lvlJc w:val="left"/>
      <w:pPr>
        <w:ind w:left="1901" w:hanging="721"/>
        <w:jc w:val="left"/>
      </w:pPr>
      <w:rPr>
        <w:rFonts w:ascii="仿宋" w:eastAsia="仿宋" w:hAnsi="仿宋" w:cs="仿宋" w:hint="default"/>
        <w:spacing w:val="0"/>
        <w:w w:val="99"/>
        <w:sz w:val="46"/>
        <w:szCs w:val="46"/>
      </w:rPr>
    </w:lvl>
    <w:lvl w:ilvl="1">
      <w:start w:val="0"/>
      <w:numFmt w:val="bullet"/>
      <w:lvlText w:val="•"/>
      <w:lvlJc w:val="left"/>
      <w:pPr>
        <w:ind w:left="3274" w:hanging="7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48" w:hanging="7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022" w:hanging="7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396" w:hanging="7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770" w:hanging="7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144" w:hanging="7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518" w:hanging="7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892" w:hanging="72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仿宋" w:eastAsia="仿宋" w:hAnsi="仿宋" w:cs="仿宋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仿宋" w:eastAsia="仿宋" w:hAnsi="仿宋" w:cs="仿宋"/>
      <w:sz w:val="48"/>
      <w:szCs w:val="48"/>
    </w:rPr>
  </w:style>
  <w:style w:type="paragraph" w:customStyle="1" w:styleId="Heading1">
    <w:name w:val="Heading 1"/>
    <w:basedOn w:val="Normal"/>
    <w:uiPriority w:val="1"/>
    <w:qFormat/>
    <w:pPr>
      <w:ind w:left="1180"/>
      <w:outlineLvl w:val="1"/>
    </w:pPr>
    <w:rPr>
      <w:rFonts w:ascii="黑体" w:eastAsia="黑体" w:hAnsi="黑体" w:cs="黑体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901" w:hanging="722"/>
    </w:pPr>
    <w:rPr>
      <w:rFonts w:ascii="仿宋" w:eastAsia="仿宋" w:hAnsi="仿宋" w:cs="仿宋"/>
    </w:rPr>
  </w:style>
  <w:style w:type="paragraph" w:customStyle="1" w:styleId="TableParagraph">
    <w:name w:val="Table Paragraph"/>
    <w:basedOn w:val="Normal"/>
    <w:uiPriority w:val="1"/>
    <w:qFormat/>
    <w:pPr>
      <w:spacing w:before="158"/>
      <w:ind w:left="50"/>
    </w:pPr>
    <w:rPr>
      <w:rFonts w:ascii="仿宋" w:eastAsia="仿宋" w:hAnsi="仿宋" w:cs="仿宋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yperlink" Target="https://d.book118.com/947143116161006025" TargetMode="External" /><Relationship Id="rId7" Type="http://schemas.openxmlformats.org/officeDocument/2006/relationships/header" Target="header3.xml" /><Relationship Id="rId8" Type="http://schemas.openxmlformats.org/officeDocument/2006/relationships/header" Target="header4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2023-10-07T18:13:15Z</dcterms:created>
  <dcterms:modified xsi:type="dcterms:W3CDTF">2023-10-07T18:13:15Z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LastSaved">
    <vt:filetime>2023-10-07T00:00:00Z</vt:filetime>
  </property>
</Properties>
</file>