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386" w:rsidRPr="00F75B2E" w:rsidP="00900386">
      <w:pPr>
        <w:pStyle w:val="3"/>
        <w:rPr>
          <w:rFonts w:ascii="DFKai-SB" w:eastAsia="DFKai-SB" w:hAnsi="DFKai-SB" w:hint="eastAsia"/>
        </w:rPr>
      </w:pPr>
      <w:r>
        <w:rPr>
          <w:rFonts w:ascii="DFKai-SB" w:eastAsia="DFKai-SB" w:hAnsi="DFKai-SB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s1025" type="#_x0000_t75" style="width:393pt;height:200.25pt;margin-top:1.7pt;margin-left:0;position:absolute;visibility:visible;z-index:251658240" filled="f" stroked="f">
            <v:imagedata r:id="rId6" o:title=""/>
            <o:lock v:ext="edit" aspectratio="t"/>
          </v:shape>
        </w:pict>
      </w:r>
    </w:p>
    <w:p w:rsidR="00900386" w:rsidRPr="00F75B2E" w:rsidP="00900386">
      <w:pPr>
        <w:pStyle w:val="3"/>
        <w:rPr>
          <w:rFonts w:ascii="DFKai-SB" w:eastAsia="DFKai-SB" w:hAnsi="DFKai-SB" w:hint="eastAsia"/>
        </w:rPr>
      </w:pPr>
    </w:p>
    <w:p w:rsidR="00900386" w:rsidRPr="00F75B2E" w:rsidP="00900386">
      <w:pPr>
        <w:pStyle w:val="3"/>
        <w:rPr>
          <w:rFonts w:ascii="DFKai-SB" w:eastAsia="DFKai-SB" w:hAnsi="DFKai-SB" w:hint="eastAsia"/>
        </w:rPr>
      </w:pPr>
    </w:p>
    <w:p w:rsidR="00900386" w:rsidRPr="00F75B2E" w:rsidP="00900386">
      <w:pPr>
        <w:pStyle w:val="2"/>
        <w:rPr>
          <w:rFonts w:ascii="DFKai-SB" w:eastAsia="DFKai-SB" w:hAnsi="DFKai-SB" w:hint="eastAsia"/>
        </w:rPr>
      </w:pPr>
      <w:r w:rsidRPr="00F75B2E">
        <w:rPr>
          <w:rFonts w:ascii="DFKai-SB" w:eastAsia="DFKai-SB" w:hAnsi="DFKai-SB" w:hint="eastAsia"/>
        </w:rPr>
        <w:t>药品与医疗器械</w:t>
      </w:r>
    </w:p>
    <w:p w:rsidR="00900386" w:rsidRPr="00F75B2E" w:rsidP="00900386">
      <w:pPr>
        <w:pStyle w:val="2"/>
        <w:rPr>
          <w:rFonts w:ascii="DFKai-SB" w:eastAsia="DFKai-SB" w:hAnsi="DFKai-SB" w:hint="eastAsia"/>
        </w:rPr>
      </w:pPr>
      <w:r w:rsidRPr="00F75B2E">
        <w:rPr>
          <w:rFonts w:ascii="DFKai-SB" w:eastAsia="DFKai-SB" w:hAnsi="DFKai-SB" w:hint="eastAsia"/>
        </w:rPr>
        <w:t>实时监控系统</w:t>
      </w:r>
    </w:p>
    <w:p w:rsidR="00900386" w:rsidRPr="00F75B2E" w:rsidP="00900386">
      <w:pPr>
        <w:pStyle w:val="2"/>
        <w:rPr>
          <w:rFonts w:ascii="DFKai-SB" w:eastAsia="DFKai-SB" w:hAnsi="DFKai-SB" w:hint="eastAsia"/>
        </w:rPr>
      </w:pPr>
    </w:p>
    <w:p w:rsidR="00900386" w:rsidRPr="00F75B2E" w:rsidP="00900386">
      <w:pPr>
        <w:pStyle w:val="2"/>
        <w:rPr>
          <w:rFonts w:ascii="DFKai-SB" w:eastAsia="DFKai-SB" w:hAnsi="DFKai-SB" w:hint="eastAsia"/>
        </w:rPr>
      </w:pPr>
    </w:p>
    <w:p w:rsidR="00900386" w:rsidRPr="00F75B2E" w:rsidP="00900386">
      <w:pPr>
        <w:pStyle w:val="2"/>
        <w:rPr>
          <w:rFonts w:ascii="DFKai-SB" w:eastAsia="DFKai-SB" w:hAnsi="DFKai-SB" w:hint="eastAsia"/>
        </w:rPr>
      </w:pPr>
    </w:p>
    <w:p w:rsidR="00900386" w:rsidRPr="00F75B2E" w:rsidP="00900386">
      <w:pPr>
        <w:pStyle w:val="2"/>
        <w:rPr>
          <w:rFonts w:ascii="DFKai-SB" w:eastAsia="DFKai-SB" w:hAnsi="DFKai-SB" w:hint="eastAsia"/>
        </w:rPr>
      </w:pPr>
    </w:p>
    <w:p w:rsidR="00900386" w:rsidRPr="00F75B2E" w:rsidP="00900386">
      <w:pPr>
        <w:pStyle w:val="1"/>
        <w:rPr>
          <w:rFonts w:ascii="DFKai-SB" w:eastAsia="DFKai-SB" w:hAnsi="DFKai-SB" w:hint="eastAsia"/>
        </w:rPr>
      </w:pPr>
      <w:r w:rsidRPr="00F75B2E">
        <w:rPr>
          <w:rFonts w:ascii="DFKai-SB" w:eastAsia="DFKai-SB" w:hAnsi="DFKai-SB" w:hint="eastAsia"/>
        </w:rPr>
        <w:t>企业用户使用说明手册</w:t>
      </w:r>
    </w:p>
    <w:p w:rsidR="00900386" w:rsidRPr="00F75B2E" w:rsidP="00900386">
      <w:pPr>
        <w:rPr>
          <w:rFonts w:ascii="DFKai-SB" w:eastAsia="DFKai-SB" w:hAnsi="DFKai-SB" w:hint="eastAsia"/>
        </w:rPr>
      </w:pPr>
    </w:p>
    <w:p w:rsidR="00900386" w:rsidRPr="00F75B2E" w:rsidP="00900386">
      <w:pPr>
        <w:rPr>
          <w:rFonts w:ascii="DFKai-SB" w:eastAsia="DFKai-SB" w:hAnsi="DFKai-SB" w:hint="eastAsia"/>
        </w:rPr>
      </w:pPr>
    </w:p>
    <w:p w:rsidR="00900386" w:rsidRPr="00F75B2E" w:rsidP="00900386">
      <w:pPr>
        <w:rPr>
          <w:rFonts w:ascii="DFKai-SB" w:eastAsia="DFKai-SB" w:hAnsi="DFKai-SB" w:hint="eastAsia"/>
        </w:rPr>
      </w:pPr>
    </w:p>
    <w:p w:rsidR="00900386" w:rsidRPr="00F75B2E" w:rsidP="00900386">
      <w:pPr>
        <w:rPr>
          <w:rFonts w:ascii="DFKai-SB" w:eastAsia="DFKai-SB" w:hAnsi="DFKai-SB" w:hint="eastAsia"/>
        </w:rPr>
      </w:pPr>
    </w:p>
    <w:p w:rsidR="00900386" w:rsidRPr="00F75B2E" w:rsidP="00900386">
      <w:pPr>
        <w:rPr>
          <w:rFonts w:ascii="DFKai-SB" w:eastAsia="DFKai-SB" w:hAnsi="DFKai-SB" w:hint="eastAsia"/>
        </w:rPr>
      </w:pPr>
    </w:p>
    <w:p w:rsidR="00900386" w:rsidRPr="00F75B2E" w:rsidP="00900386">
      <w:pPr>
        <w:rPr>
          <w:rFonts w:ascii="DFKai-SB" w:eastAsia="DFKai-SB" w:hAnsi="DFKai-SB" w:hint="eastAsia"/>
        </w:rPr>
      </w:pPr>
    </w:p>
    <w:p w:rsidR="00900386" w:rsidRPr="00F75B2E" w:rsidP="00900386">
      <w:pPr>
        <w:rPr>
          <w:rFonts w:ascii="DFKai-SB" w:eastAsia="DFKai-SB" w:hAnsi="DFKai-SB" w:hint="eastAsia"/>
        </w:rPr>
      </w:pPr>
    </w:p>
    <w:p w:rsidR="00900386" w:rsidRPr="00F75B2E" w:rsidP="00900386">
      <w:pPr>
        <w:pStyle w:val="4"/>
        <w:rPr>
          <w:rFonts w:ascii="DFKai-SB" w:eastAsia="DFKai-SB" w:hAnsi="DFKai-SB" w:hint="eastAsia"/>
        </w:rPr>
        <w:sectPr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r w:rsidRPr="00F75B2E">
        <w:rPr>
          <w:rFonts w:ascii="DFKai-SB" w:eastAsia="DFKai-SB" w:hAnsi="DFKai-SB" w:hint="eastAsia"/>
        </w:rPr>
        <w:t xml:space="preserve">  版本号:v1.0</w:t>
      </w:r>
    </w:p>
    <w:p w:rsidR="00900386" w:rsidRPr="00F75B2E" w:rsidP="00900386">
      <w:pPr>
        <w:pStyle w:val="Heading1"/>
        <w:rPr>
          <w:rFonts w:ascii="DFKai-SB" w:eastAsia="DFKai-SB" w:hAnsi="DFKai-SB" w:hint="eastAsia"/>
        </w:rPr>
      </w:pPr>
      <w:bookmarkStart w:id="0" w:name="_Toc168366924"/>
      <w:r w:rsidRPr="00F75B2E">
        <w:rPr>
          <w:rFonts w:ascii="DFKai-SB" w:eastAsia="DFKai-SB" w:hAnsi="DFKai-SB" w:hint="eastAsia"/>
        </w:rPr>
        <w:t>系统简介</w:t>
      </w:r>
      <w:bookmarkEnd w:id="0"/>
    </w:p>
    <w:p w:rsidR="00900386" w:rsidRPr="00F75B2E" w:rsidP="00900386">
      <w:pPr>
        <w:rPr>
          <w:rFonts w:ascii="DFKai-SB" w:eastAsia="DFKai-SB" w:hAnsi="DFKai-SB" w:hint="eastAsia"/>
        </w:rPr>
      </w:pPr>
      <w:r w:rsidRPr="00F75B2E">
        <w:rPr>
          <w:rFonts w:ascii="DFKai-SB" w:eastAsia="DFKai-SB" w:hAnsi="DFKai-SB" w:hint="eastAsia"/>
        </w:rPr>
        <w:t>药品与医疗器械实时监控系统是为食品药品监视管理局加强对药品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医疗器械的监管力度而设计的一套系统.本系统具备科学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标准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灵活及平安等特点,是真正为食药监局与药品医疗器械企业间沟通搭建的网络平台.系统用户可分为管理端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局端和企业端三组用户.</w:t>
      </w:r>
    </w:p>
    <w:p w:rsidR="00900386" w:rsidRPr="00F75B2E" w:rsidP="00900386">
      <w:pPr>
        <w:pStyle w:val="Heading1"/>
        <w:rPr>
          <w:rFonts w:ascii="DFKai-SB" w:eastAsia="DFKai-SB" w:hAnsi="DFKai-SB" w:hint="eastAsia"/>
        </w:rPr>
      </w:pPr>
      <w:bookmarkStart w:id="1" w:name="_Toc168366925"/>
      <w:r w:rsidRPr="00F75B2E">
        <w:rPr>
          <w:rFonts w:ascii="DFKai-SB" w:eastAsia="DFKai-SB" w:hAnsi="DFKai-SB" w:hint="eastAsia"/>
        </w:rPr>
        <w:t>登陆系统</w:t>
      </w:r>
      <w:bookmarkEnd w:id="1"/>
    </w:p>
    <w:p w:rsidR="00900386" w:rsidRPr="00F75B2E" w:rsidP="00900386">
      <w:pPr>
        <w:rPr>
          <w:rFonts w:ascii="DFKai-SB" w:eastAsia="DFKai-SB" w:hAnsi="DFKai-SB" w:hint="eastAsia"/>
          <w:color w:val="0000FF"/>
        </w:rPr>
      </w:pPr>
      <w:r w:rsidRPr="00F75B2E">
        <w:rPr>
          <w:rFonts w:ascii="DFKai-SB" w:eastAsia="DFKai-SB" w:hAnsi="DFKai-SB" w:hint="eastAsia"/>
        </w:rPr>
        <w:t>翻开IE浏览器,在地址栏中输入药品与医疗器械实时监控系统网址,敲Enter键跳转到系统登陆界面,如下图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/>
        </w:rPr>
        <w:pict>
          <v:shape id="_x0000_i1026" type="#_x0000_t75" style="width:414.7pt;height:245pt" stroked="f">
            <v:imagedata r:id="rId12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</w:rPr>
      </w:pPr>
      <w:r w:rsidRPr="00F75B2E">
        <w:rPr>
          <w:rFonts w:ascii="DFKai-SB" w:eastAsia="DFKai-SB" w:hAnsi="DFKai-SB" w:hint="eastAsia"/>
        </w:rPr>
        <w:t>录入用户名和密码(初始密码为123456),点登录或Enter键即可进入系统首页.</w:t>
      </w:r>
    </w:p>
    <w:p w:rsidR="00900386" w:rsidRPr="00F75B2E" w:rsidP="00900386">
      <w:pPr>
        <w:rPr>
          <w:rFonts w:ascii="DFKai-SB" w:eastAsia="DFKai-SB" w:hAnsi="DFKai-SB" w:hint="eastAsia"/>
        </w:rPr>
        <w:sectPr>
          <w:headerReference w:type="even" r:id="rId13"/>
          <w:headerReference w:type="default" r:id="rId14"/>
          <w:footerReference w:type="even" r:id="rId15"/>
          <w:footerReference w:type="default" r:id="rId16"/>
          <w:footerReference w:type="first" r:id="rId17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Pr="00F75B2E">
        <w:rPr>
          <w:rFonts w:ascii="DFKai-SB" w:eastAsia="DFKai-SB" w:hAnsi="DFKai-SB" w:hint="eastAsia"/>
        </w:rPr>
        <w:t>首页包括返回首页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菜单栏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系统功能按钮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公告信息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日历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公告和系统疑问留言,以管理端用户的首页为例,如下图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/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27" type="#_x0000_t62" style="width:90pt;height:23.4pt;margin-top:-23.4pt;margin-left:279pt;position:absolute;z-index:251660288" adj="23268,22108">
            <v:textbox>
              <w:txbxContent>
                <w:p w:rsidR="00900386" w:rsidP="0090038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系统功能按钮</w:t>
                  </w:r>
                </w:p>
              </w:txbxContent>
            </v:textbox>
          </v:shape>
        </w:pict>
      </w:r>
      <w:r>
        <w:rPr>
          <w:rFonts w:ascii="DFKai-SB" w:eastAsia="DFKai-SB" w:hAnsi="DFKai-SB"/>
          <w:noProof/>
        </w:rPr>
        <w:pict>
          <v:shape id="_x0000_s1028" type="#_x0000_t62" style="width:63pt;height:23.4pt;margin-top:-23.4pt;margin-left:2in;position:absolute;z-index:251659264" adj="16783,27923">
            <v:textbox>
              <w:txbxContent>
                <w:p w:rsidR="00900386" w:rsidP="0090038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菜单栏</w:t>
                  </w:r>
                </w:p>
              </w:txbxContent>
            </v:textbox>
          </v:shape>
        </w:pict>
      </w:r>
      <w:r>
        <w:rPr>
          <w:rFonts w:ascii="DFKai-SB" w:eastAsia="DFKai-SB" w:hAnsi="DFKai-SB"/>
          <w:noProof/>
        </w:rPr>
        <w:pict>
          <v:shape id="_x0000_s1029" type="#_x0000_t62" style="width:63pt;height:23.4pt;margin-top:39pt;margin-left:90pt;position:absolute;z-index:251661312" adj="-1989,-3692">
            <v:textbox>
              <w:txbxContent>
                <w:p w:rsidR="00900386" w:rsidP="0090038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返回首页</w:t>
                  </w:r>
                </w:p>
              </w:txbxContent>
            </v:textbox>
          </v:shape>
        </w:pict>
      </w:r>
      <w:r>
        <w:rPr>
          <w:rFonts w:ascii="DFKai-SB" w:eastAsia="DFKai-SB" w:hAnsi="DFKai-SB" w:hint="eastAsia"/>
        </w:rPr>
        <w:pict>
          <v:shape id="_x0000_i1030" type="#_x0000_t75" style="width:415.2pt;height:274.85pt" stroked="f">
            <v:imagedata r:id="rId18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</w:rPr>
      </w:pPr>
      <w:r w:rsidRPr="00F75B2E">
        <w:rPr>
          <w:rFonts w:ascii="DFKai-SB" w:eastAsia="DFKai-SB" w:hAnsi="DFKai-SB" w:hint="eastAsia"/>
        </w:rPr>
        <w:t>注:</w:t>
      </w:r>
      <w:r w:rsidRPr="00F75B2E">
        <w:rPr>
          <w:rFonts w:ascii="DFKai-SB" w:eastAsia="DFKai-SB" w:hAnsi="DFKai-SB"/>
        </w:rPr>
        <w:t>①</w:t>
      </w:r>
      <w:r w:rsidRPr="00F75B2E">
        <w:rPr>
          <w:rFonts w:ascii="DFKai-SB" w:eastAsia="DFKai-SB" w:hAnsi="DFKai-SB" w:hint="eastAsia"/>
          <w:b/>
          <w:shd w:val="pct15" w:color="auto" w:fill="FFFFFF"/>
        </w:rPr>
        <w:t>返回首页</w:t>
      </w:r>
      <w:r w:rsidRPr="00F75B2E">
        <w:rPr>
          <w:rFonts w:ascii="DFKai-SB" w:eastAsia="DFKai-SB" w:hAnsi="DFKai-SB" w:hint="eastAsia"/>
        </w:rPr>
        <w:t>:当光标移近系统标题时,显示返回首页;用户在操作过程中,点击系统标题即可返回首页.</w:t>
      </w:r>
    </w:p>
    <w:p w:rsidR="00900386" w:rsidRPr="00F75B2E" w:rsidP="00900386">
      <w:pPr>
        <w:rPr>
          <w:rFonts w:ascii="DFKai-SB" w:eastAsia="DFKai-SB" w:hAnsi="DFKai-SB" w:hint="eastAsia"/>
        </w:rPr>
      </w:pPr>
      <w:r w:rsidRPr="00F75B2E">
        <w:rPr>
          <w:rFonts w:ascii="DFKai-SB" w:eastAsia="DFKai-SB" w:hAnsi="DFKai-SB"/>
        </w:rPr>
        <w:t>②</w:t>
      </w:r>
      <w:r w:rsidRPr="00F75B2E">
        <w:rPr>
          <w:rFonts w:ascii="DFKai-SB" w:eastAsia="DFKai-SB" w:hAnsi="DFKai-SB" w:hint="eastAsia"/>
          <w:b/>
          <w:shd w:val="pct15" w:color="auto" w:fill="FFFFFF"/>
        </w:rPr>
        <w:t>菜单栏</w:t>
      </w:r>
      <w:r w:rsidRPr="00F75B2E">
        <w:rPr>
          <w:rFonts w:ascii="DFKai-SB" w:eastAsia="DFKai-SB" w:hAnsi="DFKai-SB" w:hint="eastAsia"/>
        </w:rPr>
        <w:t>:根据各组用户拥有的权限不同,各自所能进展操作的菜单模块也不同.</w:t>
      </w:r>
    </w:p>
    <w:p w:rsidR="00900386" w:rsidRPr="00F75B2E" w:rsidP="00900386">
      <w:pPr>
        <w:rPr>
          <w:rFonts w:ascii="DFKai-SB" w:eastAsia="DFKai-SB" w:hAnsi="DFKai-SB" w:hint="eastAsia"/>
        </w:rPr>
      </w:pPr>
      <w:r w:rsidRPr="00F75B2E">
        <w:rPr>
          <w:rFonts w:ascii="DFKai-SB" w:eastAsia="DFKai-SB" w:hAnsi="DFKai-SB"/>
        </w:rPr>
        <w:t>③</w:t>
      </w:r>
      <w:r w:rsidRPr="00F75B2E">
        <w:rPr>
          <w:rFonts w:ascii="DFKai-SB" w:eastAsia="DFKai-SB" w:hAnsi="DFKai-SB" w:hint="eastAsia"/>
          <w:b/>
          <w:bCs/>
          <w:shd w:val="pct15" w:color="auto" w:fill="FFFFFF"/>
        </w:rPr>
        <w:t>系统功能按钮</w:t>
      </w:r>
      <w:r w:rsidRPr="00F75B2E">
        <w:rPr>
          <w:rFonts w:ascii="DFKai-SB" w:eastAsia="DFKai-SB" w:hAnsi="DFKai-SB" w:hint="eastAsia"/>
        </w:rPr>
        <w:t>(即修改密码和退出):</w:t>
      </w:r>
    </w:p>
    <w:p w:rsidR="00900386" w:rsidRPr="00F75B2E" w:rsidP="00900386">
      <w:pPr>
        <w:rPr>
          <w:rFonts w:ascii="DFKai-SB" w:eastAsia="DFKai-SB" w:hAnsi="DFKai-SB" w:hint="eastAsia"/>
        </w:rPr>
      </w:pPr>
      <w:r w:rsidRPr="00F75B2E">
        <w:rPr>
          <w:rFonts w:ascii="DFKai-SB" w:eastAsia="DFKai-SB" w:hAnsi="DFKai-SB" w:hint="eastAsia"/>
          <w:b/>
        </w:rPr>
        <w:t xml:space="preserve">修改密码 </w:t>
      </w:r>
      <w:r w:rsidRPr="00F75B2E">
        <w:rPr>
          <w:rFonts w:ascii="DFKai-SB" w:eastAsia="DFKai-SB" w:hAnsi="DFKai-SB" w:hint="eastAsia"/>
        </w:rPr>
        <w:t>点修改密码,切换页面,录入一次原始密码和两遍新密码,点确定,即修改密码成功.如下图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 w:hint="eastAsia"/>
        </w:rPr>
        <w:pict>
          <v:shape id="_x0000_i1031" type="#_x0000_t75" style="width:415.15pt;height:156.45pt" stroked="f">
            <v:imagedata r:id="rId19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</w:rPr>
        <w:sectPr>
          <w:headerReference w:type="even" r:id="rId20"/>
          <w:headerReference w:type="default" r:id="rId21"/>
          <w:footerReference w:type="even" r:id="rId22"/>
          <w:footerReference w:type="default" r:id="rId23"/>
          <w:footerReference w:type="first" r:id="rId24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F75B2E">
        <w:rPr>
          <w:rFonts w:ascii="DFKai-SB" w:eastAsia="DFKai-SB" w:hAnsi="DFKai-SB" w:hint="eastAsia"/>
        </w:rPr>
        <w:t>确定后显示操作成功页面,如下图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 w:hint="eastAsia"/>
        </w:rPr>
        <w:pict>
          <v:shape id="_x0000_i1032" type="#_x0000_t75" style="width:390.8pt;height:187.55pt" stroked="f">
            <v:imagedata r:id="rId25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  <w:b/>
          <w:bCs/>
        </w:rPr>
      </w:pPr>
      <w:r w:rsidRPr="00F75B2E">
        <w:rPr>
          <w:rFonts w:ascii="DFKai-SB" w:eastAsia="DFKai-SB" w:hAnsi="DFKai-SB" w:hint="eastAsia"/>
          <w:b/>
          <w:bCs/>
        </w:rPr>
        <w:t xml:space="preserve">退出 </w:t>
      </w:r>
      <w:r w:rsidRPr="00F75B2E">
        <w:rPr>
          <w:rFonts w:ascii="DFKai-SB" w:eastAsia="DFKai-SB" w:hAnsi="DFKai-SB" w:hint="eastAsia"/>
        </w:rPr>
        <w:t>点退出,即退出系统,回到系统登陆页面.</w:t>
      </w:r>
    </w:p>
    <w:p w:rsidR="00900386" w:rsidRPr="00F75B2E" w:rsidP="00900386">
      <w:pPr>
        <w:rPr>
          <w:rFonts w:ascii="DFKai-SB" w:eastAsia="DFKai-SB" w:hAnsi="DFKai-SB" w:hint="eastAsia"/>
        </w:rPr>
      </w:pPr>
      <w:r w:rsidRPr="00F75B2E">
        <w:rPr>
          <w:rFonts w:ascii="DFKai-SB" w:eastAsia="DFKai-SB" w:hAnsi="DFKai-SB"/>
        </w:rPr>
        <w:t>④</w:t>
      </w:r>
      <w:r w:rsidRPr="00F75B2E">
        <w:rPr>
          <w:rFonts w:ascii="DFKai-SB" w:eastAsia="DFKai-SB" w:hAnsi="DFKai-SB" w:hint="eastAsia"/>
          <w:b/>
          <w:bCs/>
          <w:shd w:val="pct15" w:color="auto" w:fill="FFFFFF"/>
        </w:rPr>
        <w:t>公告信息</w:t>
      </w:r>
      <w:r w:rsidRPr="00F75B2E">
        <w:rPr>
          <w:rFonts w:ascii="DFKai-SB" w:eastAsia="DFKai-SB" w:hAnsi="DFKai-SB" w:hint="eastAsia"/>
        </w:rPr>
        <w:t>:局端和管理端通过菜单栏中公共信息/公告栏中</w:t>
      </w:r>
      <w:r w:rsidRPr="00F75B2E">
        <w:rPr>
          <w:rFonts w:ascii="DFKai-SB" w:eastAsia="DFKai-SB" w:hAnsi="DFKai-SB" w:hint="eastAsia"/>
          <w:color w:val="FF0000"/>
        </w:rPr>
        <w:t>已放在首页</w:t>
      </w:r>
      <w:r w:rsidRPr="00F75B2E">
        <w:rPr>
          <w:rFonts w:ascii="DFKai-SB" w:eastAsia="DFKai-SB" w:hAnsi="DFKai-SB" w:hint="eastAsia"/>
        </w:rPr>
        <w:t>操作把重要信息放到首页,让系统所有用户进入系统后第一时间查看到.,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/>
          <w:noProof/>
        </w:rPr>
        <w:pict>
          <v:shape id="_x0000_s1033" type="#_x0000_t62" style="width:54pt;height:23.4pt;margin-top:54.6pt;margin-left:270pt;position:absolute;z-index:251664384" adj="-4720,25108">
            <v:textbox>
              <w:txbxContent>
                <w:p w:rsidR="00900386" w:rsidP="0090038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下一年</w:t>
                  </w:r>
                </w:p>
              </w:txbxContent>
            </v:textbox>
          </v:shape>
        </w:pict>
      </w:r>
      <w:r>
        <w:rPr>
          <w:rFonts w:ascii="DFKai-SB" w:eastAsia="DFKai-SB" w:hAnsi="DFKai-SB"/>
          <w:noProof/>
        </w:rPr>
        <w:pict>
          <v:shape id="_x0000_s1034" type="#_x0000_t62" style="width:54pt;height:23.4pt;margin-top:54.6pt;margin-left:180pt;position:absolute;z-index:251665408" adj="24080,23446">
            <v:textbox>
              <w:txbxContent>
                <w:p w:rsidR="00900386" w:rsidP="0090038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下一月</w:t>
                  </w:r>
                </w:p>
              </w:txbxContent>
            </v:textbox>
          </v:shape>
        </w:pict>
      </w:r>
      <w:r>
        <w:rPr>
          <w:rFonts w:ascii="DFKai-SB" w:eastAsia="DFKai-SB" w:hAnsi="DFKai-SB"/>
          <w:noProof/>
        </w:rPr>
        <w:pict>
          <v:shape id="_x0000_s1035" type="#_x0000_t62" style="width:54pt;height:23.4pt;margin-top:54.6pt;margin-left:108pt;position:absolute;z-index:251666432" adj="-5020,26492">
            <v:textbox>
              <w:txbxContent>
                <w:p w:rsidR="00900386" w:rsidP="0090038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上一月</w:t>
                  </w:r>
                </w:p>
              </w:txbxContent>
            </v:textbox>
          </v:shape>
        </w:pict>
      </w:r>
      <w:r w:rsidRPr="00F75B2E">
        <w:rPr>
          <w:rFonts w:ascii="DFKai-SB" w:eastAsia="DFKai-SB" w:hAnsi="DFKai-SB"/>
        </w:rPr>
        <w:t>⑤</w:t>
      </w:r>
      <w:r w:rsidRPr="00F75B2E">
        <w:rPr>
          <w:rFonts w:ascii="DFKai-SB" w:eastAsia="DFKai-SB" w:hAnsi="DFKai-SB" w:hint="eastAsia"/>
          <w:b/>
          <w:bCs/>
          <w:shd w:val="pct15" w:color="auto" w:fill="FFFFFF"/>
        </w:rPr>
        <w:t>日历</w:t>
      </w:r>
      <w:r w:rsidRPr="00F75B2E">
        <w:rPr>
          <w:rFonts w:ascii="DFKai-SB" w:eastAsia="DFKai-SB" w:hAnsi="DFKai-SB" w:hint="eastAsia"/>
        </w:rPr>
        <w:t>:默认显示当月日历信息,即年份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阴阳历日月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星期及节日;当日由阴影标出;查询上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下一年或上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下一月的日历可通过上翻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下翻按钮完成;当光标移近日期时,显示该日期的农历日期及节日,如下图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/>
          <w:noProof/>
        </w:rPr>
        <w:pict>
          <v:shape id="_x0000_s1036" type="#_x0000_t62" style="width:45pt;height:23.4pt;margin-top:78pt;margin-left:-36pt;position:absolute;z-index:251663360" adj="21336,-2862">
            <v:textbox>
              <w:txbxContent>
                <w:p w:rsidR="00900386" w:rsidP="0090038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当天</w:t>
                  </w:r>
                </w:p>
              </w:txbxContent>
            </v:textbox>
          </v:shape>
        </w:pict>
      </w:r>
      <w:r>
        <w:rPr>
          <w:rFonts w:ascii="DFKai-SB" w:eastAsia="DFKai-SB" w:hAnsi="DFKai-SB"/>
          <w:noProof/>
        </w:rPr>
        <w:pict>
          <v:shape id="_x0000_s1037" type="#_x0000_t62" style="width:54pt;height:23.4pt;margin-top:0;margin-left:9pt;position:absolute;z-index:251662336" adj="26780,9877">
            <v:textbox>
              <w:txbxContent>
                <w:p w:rsidR="00900386" w:rsidP="0090038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上一年</w:t>
                  </w:r>
                </w:p>
              </w:txbxContent>
            </v:textbox>
          </v:shape>
        </w:pict>
      </w:r>
      <w:r>
        <w:rPr>
          <w:rFonts w:ascii="DFKai-SB" w:eastAsia="DFKai-SB" w:hAnsi="DFKai-SB" w:hint="eastAsia"/>
        </w:rPr>
        <w:pict>
          <v:shape id="_x0000_i1038" type="#_x0000_t75" style="width:359.95pt;height:188.25pt" stroked="f">
            <v:imagedata r:id="rId26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</w:rPr>
        <w:sectPr>
          <w:headerReference w:type="even" r:id="rId27"/>
          <w:headerReference w:type="default" r:id="rId28"/>
          <w:footerReference w:type="even" r:id="rId29"/>
          <w:footerReference w:type="default" r:id="rId30"/>
          <w:footerReference w:type="first" r:id="rId31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F75B2E">
        <w:rPr>
          <w:rFonts w:ascii="DFKai-SB" w:eastAsia="DFKai-SB" w:hAnsi="DFKai-SB"/>
        </w:rPr>
        <w:t>⑥</w:t>
      </w:r>
      <w:r w:rsidRPr="00F75B2E">
        <w:rPr>
          <w:rFonts w:ascii="DFKai-SB" w:eastAsia="DFKai-SB" w:hAnsi="DFKai-SB" w:hint="eastAsia"/>
          <w:b/>
          <w:bCs/>
          <w:shd w:val="pct15" w:color="auto" w:fill="FFFFFF"/>
        </w:rPr>
        <w:t>公告</w:t>
      </w:r>
      <w:r w:rsidRPr="00F75B2E">
        <w:rPr>
          <w:rFonts w:ascii="DFKai-SB" w:eastAsia="DFKai-SB" w:hAnsi="DFKai-SB" w:hint="eastAsia"/>
        </w:rPr>
        <w:t>:显示公告信息列表;公告后红色数字标注说明新信息数目;新公告由NEW标出;如想查看所有信息,点更多即可查看到,如下图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 w:hint="eastAsia"/>
        </w:rPr>
        <w:pict>
          <v:shape id="_x0000_i1039" type="#_x0000_t75" style="width:281.95pt;height:79.5pt" stroked="f">
            <v:imagedata r:id="rId32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</w:rPr>
      </w:pPr>
      <w:r w:rsidRPr="00F75B2E">
        <w:rPr>
          <w:rFonts w:ascii="DFKai-SB" w:eastAsia="DFKai-SB" w:hAnsi="DFKai-SB" w:hint="eastAsia"/>
        </w:rPr>
        <w:t>点击公告标题查看详细信息,当前用户对自己发布的信息可进展修改,并有返回按钮;但对其它用户发布的信息只有返回操作,如下图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 w:hint="eastAsia"/>
        </w:rPr>
        <w:pict>
          <v:shape id="_x0000_i1040" type="#_x0000_t75" style="width:405.05pt;height:281.95pt" stroked="f">
            <v:imagedata r:id="rId33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</w:rPr>
      </w:pPr>
      <w:r w:rsidRPr="00F75B2E">
        <w:rPr>
          <w:rFonts w:ascii="DFKai-SB" w:eastAsia="DFKai-SB" w:hAnsi="DFKai-SB" w:hint="eastAsia"/>
        </w:rPr>
        <w:t>点返回,页面跳转到信息管理(即公共信息下公告栏)页面,具体操作将在公告栏中详细说明.</w:t>
      </w:r>
    </w:p>
    <w:p w:rsidR="00900386" w:rsidRPr="00F75B2E" w:rsidP="00900386">
      <w:pPr>
        <w:rPr>
          <w:rFonts w:ascii="DFKai-SB" w:eastAsia="DFKai-SB" w:hAnsi="DFKai-SB" w:hint="eastAsia"/>
        </w:rPr>
      </w:pPr>
      <w:r w:rsidRPr="00F75B2E">
        <w:rPr>
          <w:rFonts w:ascii="DFKai-SB" w:eastAsia="DFKai-SB" w:hAnsi="DFKai-SB"/>
        </w:rPr>
        <w:t>⑦</w:t>
      </w:r>
      <w:r w:rsidRPr="00F75B2E">
        <w:rPr>
          <w:rFonts w:ascii="DFKai-SB" w:eastAsia="DFKai-SB" w:hAnsi="DFKai-SB" w:hint="eastAsia"/>
          <w:b/>
          <w:bCs/>
          <w:shd w:val="pct15" w:color="auto" w:fill="FFFFFF"/>
        </w:rPr>
        <w:t>系统疑问留言</w:t>
      </w:r>
      <w:r w:rsidRPr="00F75B2E">
        <w:rPr>
          <w:rFonts w:ascii="DFKai-SB" w:eastAsia="DFKai-SB" w:hAnsi="DFKai-SB" w:hint="eastAsia"/>
        </w:rPr>
        <w:t>:企业端用户通过此模块给管理端和局端用户提出系统疑问,管理端和局端用户通过回复解释疑问.显示留言信息列表;留言板后红色数字标注说明新留言数目;新留言由NEW标出;如想查看所有留言,点更多即可查看到,如下图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 w:hint="eastAsia"/>
        </w:rPr>
        <w:pict>
          <v:shape id="_x0000_i1041" type="#_x0000_t75" style="width:282.8pt;height:84pt" stroked="f">
            <v:imagedata r:id="rId34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</w:rPr>
        <w:sectPr>
          <w:headerReference w:type="even" r:id="rId35"/>
          <w:headerReference w:type="default" r:id="rId36"/>
          <w:footerReference w:type="even" r:id="rId37"/>
          <w:footerReference w:type="default" r:id="rId38"/>
          <w:footerReference w:type="first" r:id="rId39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 w:rsidRPr="00F75B2E">
        <w:rPr>
          <w:rFonts w:ascii="DFKai-SB" w:eastAsia="DFKai-SB" w:hAnsi="DFKai-SB" w:hint="eastAsia"/>
        </w:rPr>
        <w:t>点击标题显查看详细留言内容,如下图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 w:hint="eastAsia"/>
        </w:rPr>
        <w:pict>
          <v:shape id="_x0000_i1042" type="#_x0000_t75" style="width:414.9pt;height:124.75pt" stroked="f">
            <v:imagedata r:id="rId40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</w:rPr>
      </w:pPr>
      <w:r w:rsidRPr="00F75B2E">
        <w:rPr>
          <w:rFonts w:ascii="DFKai-SB" w:eastAsia="DFKai-SB" w:hAnsi="DFKai-SB" w:hint="eastAsia"/>
        </w:rPr>
        <w:t>具体操作将在公共信息下系统疑问留言中详细说明.</w:t>
      </w:r>
    </w:p>
    <w:p w:rsidR="00900386" w:rsidRPr="00F75B2E" w:rsidP="00900386">
      <w:pPr>
        <w:pStyle w:val="Heading2"/>
        <w:rPr>
          <w:rFonts w:ascii="DFKai-SB" w:eastAsia="DFKai-SB" w:hAnsi="DFKai-SB" w:hint="eastAsia"/>
        </w:rPr>
      </w:pPr>
      <w:bookmarkStart w:id="2" w:name="_Toc168366938"/>
      <w:r w:rsidRPr="00F75B2E">
        <w:rPr>
          <w:rFonts w:ascii="DFKai-SB" w:eastAsia="DFKai-SB" w:hAnsi="DFKai-SB" w:hint="eastAsia"/>
        </w:rPr>
        <w:t>企业端</w:t>
      </w:r>
      <w:bookmarkEnd w:id="2"/>
    </w:p>
    <w:p w:rsidR="00900386" w:rsidRPr="00F75B2E" w:rsidP="00900386">
      <w:pPr>
        <w:rPr>
          <w:rFonts w:ascii="DFKai-SB" w:eastAsia="DFKai-SB" w:hAnsi="DFKai-SB" w:hint="eastAsia"/>
        </w:rPr>
      </w:pPr>
      <w:r w:rsidRPr="00F75B2E">
        <w:rPr>
          <w:rFonts w:ascii="DFKai-SB" w:eastAsia="DFKai-SB" w:hAnsi="DFKai-SB" w:hint="eastAsia"/>
        </w:rPr>
        <w:t>企业端菜单包括数据上报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统计查询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公共信息和根本信息,如下图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 w:hint="eastAsia"/>
        </w:rPr>
        <w:pict>
          <v:shape id="_x0000_i1043" type="#_x0000_t75" style="width:255.05pt;height:29.25pt" stroked="f">
            <v:imagedata r:id="rId41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</w:rPr>
      </w:pPr>
      <w:r w:rsidRPr="00F75B2E">
        <w:rPr>
          <w:rFonts w:ascii="DFKai-SB" w:eastAsia="DFKai-SB" w:hAnsi="DFKai-SB" w:hint="eastAsia"/>
        </w:rPr>
        <w:t>(注:企业端用户首次登陆系统时,首先要在数据上报--在线填报下进展库存填报,保障系统数据准确完整性;然后在根本信息中设置好供货企业编码,方便数据上报--在线填报</w:t>
      </w:r>
      <w:r w:rsidRPr="00F75B2E">
        <w:rPr>
          <w:rFonts w:ascii="DFKai-SB" w:eastAsia="DFKai-SB" w:hAnsi="DFKai-SB"/>
        </w:rPr>
        <w:t>—</w:t>
      </w:r>
      <w:r w:rsidRPr="00F75B2E">
        <w:rPr>
          <w:rFonts w:ascii="DFKai-SB" w:eastAsia="DFKai-SB" w:hAnsi="DFKai-SB" w:hint="eastAsia"/>
        </w:rPr>
        <w:t>购进记录填报中通过选择供货企业编码快速填报.)</w:t>
      </w:r>
    </w:p>
    <w:p w:rsidR="00900386" w:rsidRPr="00F75B2E" w:rsidP="00900386">
      <w:pPr>
        <w:pStyle w:val="Heading3"/>
        <w:rPr>
          <w:rFonts w:ascii="DFKai-SB" w:eastAsia="DFKai-SB" w:hAnsi="DFKai-SB" w:hint="eastAsia"/>
        </w:rPr>
      </w:pPr>
      <w:bookmarkStart w:id="3" w:name="_Toc168366939"/>
      <w:r w:rsidRPr="00F75B2E">
        <w:rPr>
          <w:rFonts w:ascii="DFKai-SB" w:eastAsia="DFKai-SB" w:hAnsi="DFKai-SB" w:hint="eastAsia"/>
        </w:rPr>
        <w:t>数据上报</w:t>
      </w:r>
      <w:bookmarkEnd w:id="3"/>
    </w:p>
    <w:p w:rsidR="00900386" w:rsidRPr="00F75B2E" w:rsidP="00900386">
      <w:pPr>
        <w:rPr>
          <w:rFonts w:ascii="DFKai-SB" w:eastAsia="DFKai-SB" w:hAnsi="DFKai-SB" w:hint="eastAsia"/>
        </w:rPr>
      </w:pPr>
      <w:r w:rsidRPr="00F75B2E">
        <w:rPr>
          <w:rFonts w:ascii="DFKai-SB" w:eastAsia="DFKai-SB" w:hAnsi="DFKai-SB" w:hint="eastAsia"/>
        </w:rPr>
        <w:t>数据上报菜单出现在管理端下企业库--添加企业时设置了上报数据的企业系统菜单中.数据上报包括导入数据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在线填报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修改购进数据及修改销售数据,如下图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 w:hint="eastAsia"/>
        </w:rPr>
        <w:pict>
          <v:shape id="_x0000_i1044" type="#_x0000_t75" style="width:234.7pt;height:15pt" stroked="f">
            <v:imagedata r:id="rId42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 w:hint="eastAsia"/>
        </w:rPr>
        <w:pict>
          <v:shape id="_x0000_i1045" type="#_x0000_t75" style="width:43.5pt;height:12.75pt" stroked="f">
            <v:imagedata r:id="rId43" o:title=""/>
          </v:shape>
        </w:pict>
      </w:r>
      <w:r w:rsidRPr="00F75B2E">
        <w:rPr>
          <w:rFonts w:ascii="DFKai-SB" w:eastAsia="DFKai-SB" w:hAnsi="DFKai-SB" w:hint="eastAsia"/>
        </w:rPr>
        <w:t>和</w:t>
      </w:r>
      <w:r>
        <w:rPr>
          <w:rFonts w:ascii="DFKai-SB" w:eastAsia="DFKai-SB" w:hAnsi="DFKai-SB" w:hint="eastAsia"/>
        </w:rPr>
        <w:pict>
          <v:shape id="_x0000_i1046" type="#_x0000_t75" style="width:42.75pt;height:15.75pt" stroked="f">
            <v:imagedata r:id="rId44" o:title=""/>
          </v:shape>
        </w:pict>
      </w:r>
      <w:r w:rsidRPr="00F75B2E">
        <w:rPr>
          <w:rFonts w:ascii="DFKai-SB" w:eastAsia="DFKai-SB" w:hAnsi="DFKai-SB" w:hint="eastAsia"/>
        </w:rPr>
        <w:t>是系统提供应企业上报数据的两种途径;本节所有数据局端用户在其统计查询里都可查看到.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 w:hint="eastAsia"/>
        </w:rPr>
        <w:pict>
          <v:shape id="_x0000_i1047" type="#_x0000_t75" style="width:43.5pt;height:12.75pt" stroked="f">
            <v:imagedata r:id="rId43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</w:rPr>
        <w:sectPr>
          <w:headerReference w:type="even" r:id="rId45"/>
          <w:headerReference w:type="default" r:id="rId46"/>
          <w:footerReference w:type="even" r:id="rId47"/>
          <w:footerReference w:type="default" r:id="rId48"/>
          <w:footerReference w:type="first" r:id="rId49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 w:rsidRPr="00F75B2E">
        <w:rPr>
          <w:rFonts w:ascii="DFKai-SB" w:eastAsia="DFKai-SB" w:hAnsi="DFKai-SB" w:hint="eastAsia"/>
        </w:rPr>
        <w:t>导入数据要求企业有系统对接的功能,把数据导入要求格式的接口文件,且有空值上报功能,根据提示操作即可,如下图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 w:hint="eastAsia"/>
        </w:rPr>
        <w:pict>
          <v:shape id="_x0000_i1048" type="#_x0000_t75" style="width:415.2pt;height:344.45pt" stroked="f">
            <v:imagedata r:id="rId50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 w:hint="eastAsia"/>
        </w:rPr>
        <w:pict>
          <v:shape id="_x0000_i1049" type="#_x0000_t75" style="width:42.75pt;height:15.75pt" stroked="f">
            <v:imagedata r:id="rId44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</w:rPr>
        <w:sectPr>
          <w:headerReference w:type="even" r:id="rId51"/>
          <w:headerReference w:type="default" r:id="rId52"/>
          <w:footerReference w:type="even" r:id="rId53"/>
          <w:footerReference w:type="default" r:id="rId54"/>
          <w:footerReference w:type="first" r:id="rId55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 w:rsidRPr="00F75B2E">
        <w:rPr>
          <w:rFonts w:ascii="DFKai-SB" w:eastAsia="DFKai-SB" w:hAnsi="DFKai-SB" w:hint="eastAsia"/>
        </w:rPr>
        <w:t>对于没有系统对接功能的企业,上报数据可选用在线填报.点在线填报,显示提示说明页面,按步骤操作即可,如下图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 w:hint="eastAsia"/>
        </w:rPr>
        <w:pict>
          <v:shape id="_x0000_i1050" type="#_x0000_t75" style="width:415.3pt;height:323.2pt" stroked="f">
            <v:imagedata r:id="rId56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</w:rPr>
        <w:sectPr>
          <w:headerReference w:type="even" r:id="rId57"/>
          <w:headerReference w:type="default" r:id="rId58"/>
          <w:footerReference w:type="even" r:id="rId59"/>
          <w:footerReference w:type="default" r:id="rId60"/>
          <w:footerReference w:type="first" r:id="rId61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 w:rsidRPr="00F75B2E">
        <w:rPr>
          <w:rFonts w:ascii="DFKai-SB" w:eastAsia="DFKai-SB" w:hAnsi="DFKai-SB"/>
        </w:rPr>
        <w:t>①</w:t>
      </w:r>
      <w:r w:rsidRPr="00F75B2E">
        <w:rPr>
          <w:rFonts w:ascii="DFKai-SB" w:eastAsia="DFKai-SB" w:hAnsi="DFKai-SB" w:hint="eastAsia"/>
          <w:b/>
          <w:bCs/>
          <w:shd w:val="pct15" w:color="auto" w:fill="FFFFFF"/>
        </w:rPr>
        <w:t>购进记录填报</w:t>
      </w:r>
      <w:r w:rsidRPr="00F75B2E">
        <w:rPr>
          <w:rFonts w:ascii="DFKai-SB" w:eastAsia="DFKai-SB" w:hAnsi="DFKai-SB" w:hint="eastAsia"/>
        </w:rPr>
        <w:t>:点购进记录填报,选择供货企业编号,购置日期,录入填写人后点添加,如下图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 w:hint="eastAsia"/>
        </w:rPr>
        <w:pict>
          <v:shape id="_x0000_i1051" type="#_x0000_t75" style="width:415pt;height:321.25pt" stroked="f">
            <v:imagedata r:id="rId62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</w:rPr>
      </w:pPr>
      <w:r w:rsidRPr="00F75B2E">
        <w:rPr>
          <w:rFonts w:ascii="DFKai-SB" w:eastAsia="DFKai-SB" w:hAnsi="DFKai-SB" w:hint="eastAsia"/>
        </w:rPr>
        <w:t>添加后转到填写详细购进记录页面,可通过药品通用名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商品名称</w:t>
      </w:r>
      <w:r w:rsidRPr="00F75B2E">
        <w:rPr>
          <w:rFonts w:ascii="DFKai-SB" w:eastAsia="DFKai-SB" w:hAnsi="DFKai-SB"/>
        </w:rPr>
        <w:t>、</w:t>
      </w:r>
      <w:r w:rsidRPr="00F75B2E">
        <w:rPr>
          <w:rFonts w:ascii="DFKai-SB" w:eastAsia="DFKai-SB" w:hAnsi="DFKai-SB" w:hint="eastAsia"/>
        </w:rPr>
        <w:t>批准文号及生产厂家进展查询;可进展快速添加操作;还可直接录入药品信息后点添加;添加成功的记录也可删除,如下图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 w:hint="eastAsia"/>
        </w:rPr>
        <w:pict>
          <v:shape id="_x0000_i1052" type="#_x0000_t75" style="width:410.3pt;height:261.05pt" stroked="f">
            <v:imagedata r:id="rId63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  <w:b/>
          <w:bCs/>
        </w:rPr>
        <w:sectPr>
          <w:headerReference w:type="even" r:id="rId64"/>
          <w:headerReference w:type="default" r:id="rId65"/>
          <w:footerReference w:type="even" r:id="rId66"/>
          <w:footerReference w:type="default" r:id="rId67"/>
          <w:footerReference w:type="first" r:id="rId68"/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 w:rsidRPr="00F75B2E">
        <w:rPr>
          <w:rFonts w:ascii="DFKai-SB" w:eastAsia="DFKai-SB" w:hAnsi="DFKai-SB" w:hint="eastAsia"/>
          <w:b/>
          <w:bCs/>
        </w:rPr>
        <w:t xml:space="preserve">快速添加 </w:t>
      </w:r>
    </w:p>
    <w:p w:rsidR="00900386" w:rsidRPr="00F75B2E" w:rsidP="00900386">
      <w:pPr>
        <w:rPr>
          <w:rFonts w:ascii="DFKai-SB" w:eastAsia="DFKai-SB" w:hAnsi="DFKai-SB" w:hint="eastAsia"/>
          <w:b/>
          <w:bCs/>
        </w:rPr>
      </w:pPr>
      <w:r w:rsidRPr="00F75B2E">
        <w:rPr>
          <w:rFonts w:ascii="DFKai-SB" w:eastAsia="DFKai-SB" w:hAnsi="DFKai-SB" w:hint="eastAsia"/>
        </w:rPr>
        <w:t>点快速添加,药品信息随即自动录入分隔行下相应栏中,用户只需填上批号和数量后,点添加即完成购进记录填报,如下图</w:t>
      </w:r>
    </w:p>
    <w:p w:rsidR="00900386" w:rsidRPr="00F75B2E" w:rsidP="00900386">
      <w:pPr>
        <w:rPr>
          <w:rFonts w:ascii="DFKai-SB" w:eastAsia="DFKai-SB" w:hAnsi="DFKai-SB" w:hint="eastAsia"/>
        </w:rPr>
      </w:pPr>
      <w:r>
        <w:rPr>
          <w:rFonts w:ascii="DFKai-SB" w:eastAsia="DFKai-SB" w:hAnsi="DFKai-SB" w:hint="eastAsia"/>
        </w:rPr>
        <w:pict>
          <v:shape id="_x0000_i1053" type="#_x0000_t75" style="width:415.25pt;height:228.55pt" stroked="f">
            <v:imagedata r:id="rId69" o:title=""/>
          </v:shape>
        </w:pict>
      </w:r>
    </w:p>
    <w:p w:rsidR="00900386" w:rsidRPr="00F75B2E" w:rsidP="00900386">
      <w:pPr>
        <w:rPr>
          <w:rFonts w:ascii="DFKai-SB" w:eastAsia="DFKai-SB" w:hAnsi="DFKai-SB" w:hint="eastAsia"/>
        </w:rPr>
      </w:pPr>
      <w:r w:rsidRPr="00F75B2E">
        <w:rPr>
          <w:rFonts w:ascii="DFKai-SB" w:eastAsia="DFKai-SB" w:hAnsi="DFKai-SB"/>
        </w:rPr>
        <w:t>②</w:t>
      </w:r>
      <w:r w:rsidRPr="00F75B2E">
        <w:rPr>
          <w:rFonts w:ascii="DFKai-SB" w:eastAsia="DFKai-SB" w:hAnsi="DFKai-SB" w:hint="eastAsia"/>
          <w:b/>
          <w:bCs/>
          <w:shd w:val="pct15" w:color="auto" w:fill="FFFFFF"/>
        </w:rPr>
        <w:t>问题药品销售去向填报</w:t>
      </w:r>
      <w:r w:rsidRPr="00F75B2E">
        <w:rPr>
          <w:rFonts w:ascii="DFKai-SB" w:eastAsia="DFKai-SB" w:hAnsi="DFKai-SB" w:hint="eastAsia"/>
        </w:rPr>
        <w:t>:假设管理端已设置该药品为问题药品,企业端就必须进展问题药品销售去向填报.单击后在下拉框中选择药品通用名,药品根本信息系统将自动录入,用户只需录入剩余库存量及上报人后点添加即可,如下图</w:t>
      </w:r>
      <w:r w:rsidRPr="00F75B2E">
        <w:rPr>
          <w:rFonts w:ascii="DFKai-SB" w:eastAsia="DFKai-SB" w:hAnsi="DFKai-SB" w:hint="eastAsia"/>
        </w:rPr>
        <w:br/>
      </w:r>
      <w:r w:rsidRPr="00F75B2E">
        <w:rPr>
          <w:rFonts w:ascii="DFKai-SB" w:eastAsia="DFKai-SB" w:hAnsi="DFKai-SB" w:hint="eastAsia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https://d.book118.com/947166115034006054</w:t>
        </w:r>
      </w:hyperlink>
    </w:p>
    <w:p w:rsidR="00900386" w:rsidRPr="00F75B2E" w:rsidP="00900386">
      <w:pPr>
        <w:rPr>
          <w:rFonts w:ascii="DFKai-SB" w:eastAsia="DFKai-SB" w:hAnsi="DFKai-SB" w:hint="eastAsia"/>
        </w:rPr>
      </w:pPr>
    </w:p>
    <w:sectPr>
      <w:headerReference w:type="even" r:id="rId71"/>
      <w:headerReference w:type="default" r:id="rId72"/>
      <w:footerReference w:type="even" r:id="rId73"/>
      <w:footerReference w:type="default" r:id="rId74"/>
      <w:footerReference w:type="first" r:id="rId75"/>
      <w:type w:val="nextPage"/>
      <w:pgSz w:w="11906" w:h="16838"/>
      <w:pgMar w:top="1440" w:right="1800" w:bottom="1440" w:left="1800" w:header="851" w:footer="992" w:gutter="0"/>
      <w:pgNumType w:start="10"/>
      <w:cols w:space="425"/>
      <w:titlePg w:val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CA6" w:rsidP="00900386">
      <w:r>
        <w:separator/>
      </w:r>
    </w:p>
    <w:p w:rsidR="00075CA6" w:rsidP="00900386"/>
  </w:endnote>
  <w:endnote w:type="continuationSeparator" w:id="1">
    <w:p w:rsidR="00075CA6" w:rsidP="00900386">
      <w:r>
        <w:continuationSeparator/>
      </w:r>
    </w:p>
    <w:p w:rsidR="00075CA6" w:rsidP="0090038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panose1 w:val="02010609030101010101"/>
    <w:charset w:val="86"/>
    <w:family w:val="modern"/>
    <w:pitch w:val="fixed"/>
    <w:sig w:usb0="00000000" w:usb1="080E0000" w:usb2="00000010" w:usb3="00000000" w:csb0="00040000" w:csb1="00000000"/>
  </w:font>
  <w:font w:name="仿宋_GB2312">
    <w:altName w:val="Arial Unicode MS"/>
    <w:panose1 w:val="02010609030101010101"/>
    <w:charset w:val="86"/>
    <w:family w:val="modern"/>
    <w:pitch w:val="fixed"/>
    <w:sig w:usb0="00000000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Footer"/>
      <w:rPr>
        <w:rStyle w:val="PageNumber"/>
      </w:rPr>
    </w:pPr>
    <w:r>
      <w:rPr>
        <w:rStyle w:val="PageNumber"/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  <w:p w:rsidR="00900386" w:rsidP="00900386">
    <w:pPr>
      <w:pStyle w:val="Footer"/>
    </w:pPr>
  </w:p>
  <w:p w:rsidR="00900386" w:rsidP="0090038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Footer"/>
      <w:rPr>
        <w:rStyle w:val="PageNumber"/>
      </w:rPr>
    </w:pPr>
    <w:r>
      <w:rPr>
        <w:rStyle w:val="PageNumber"/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900386" w:rsidP="00900386">
    <w:pPr>
      <w:pStyle w:val="Footer"/>
    </w:pPr>
  </w:p>
  <w:p w:rsidR="00900386" w:rsidP="00900386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Footer"/>
      <w:rPr>
        <w:rStyle w:val="PageNumber"/>
      </w:rPr>
    </w:pPr>
    <w:r>
      <w:rPr>
        <w:rStyle w:val="PageNumber"/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  <w:p w:rsidR="00900386" w:rsidP="00900386">
    <w:pPr>
      <w:pStyle w:val="Footer"/>
    </w:pPr>
  </w:p>
  <w:p w:rsidR="00900386" w:rsidP="00900386"/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Footer"/>
      <w:rPr>
        <w:rStyle w:val="PageNumber"/>
      </w:rPr>
    </w:pPr>
    <w:r>
      <w:rPr>
        <w:rStyle w:val="PageNumber"/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900386" w:rsidP="00900386">
    <w:pPr>
      <w:pStyle w:val="Footer"/>
    </w:pPr>
  </w:p>
  <w:p w:rsidR="00900386" w:rsidP="00900386"/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Footer"/>
      <w:rPr>
        <w:rStyle w:val="PageNumber"/>
      </w:rPr>
    </w:pPr>
    <w:r>
      <w:rPr>
        <w:rStyle w:val="PageNumber"/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  <w:p w:rsidR="00900386" w:rsidP="00900386">
    <w:pPr>
      <w:pStyle w:val="Footer"/>
    </w:pPr>
  </w:p>
  <w:p w:rsidR="00900386" w:rsidP="00900386"/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Footer"/>
      <w:rPr>
        <w:rStyle w:val="PageNumber"/>
      </w:rPr>
    </w:pPr>
    <w:r>
      <w:rPr>
        <w:rStyle w:val="PageNumber"/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900386" w:rsidP="00900386">
    <w:pPr>
      <w:pStyle w:val="Footer"/>
    </w:pPr>
  </w:p>
  <w:p w:rsidR="00900386" w:rsidP="00900386"/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Footer"/>
      <w:rPr>
        <w:rStyle w:val="PageNumber"/>
      </w:rPr>
    </w:pPr>
    <w:r>
      <w:rPr>
        <w:rStyle w:val="PageNumber"/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  <w:p w:rsidR="00900386" w:rsidP="00900386">
    <w:pPr>
      <w:pStyle w:val="Footer"/>
    </w:pPr>
  </w:p>
  <w:p w:rsidR="00900386" w:rsidP="00900386"/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Footer"/>
      <w:rPr>
        <w:rStyle w:val="PageNumber"/>
      </w:rPr>
    </w:pPr>
    <w:r>
      <w:rPr>
        <w:rStyle w:val="PageNumber"/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900386" w:rsidP="00900386">
    <w:pPr>
      <w:pStyle w:val="Footer"/>
    </w:pPr>
  </w:p>
  <w:p w:rsidR="00900386" w:rsidP="00900386"/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Footer"/>
      <w:rPr>
        <w:rStyle w:val="PageNumber"/>
      </w:rPr>
    </w:pPr>
    <w:r>
      <w:rPr>
        <w:rStyle w:val="PageNumber"/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  <w:p w:rsidR="00900386" w:rsidP="00900386">
    <w:pPr>
      <w:pStyle w:val="Footer"/>
    </w:pPr>
  </w:p>
  <w:p w:rsidR="00900386" w:rsidP="00900386"/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Footer"/>
      <w:rPr>
        <w:rStyle w:val="PageNumber"/>
      </w:rPr>
    </w:pPr>
    <w:r>
      <w:rPr>
        <w:rStyle w:val="PageNumber"/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900386" w:rsidP="00900386">
    <w:pPr>
      <w:pStyle w:val="Footer"/>
    </w:pPr>
  </w:p>
  <w:p w:rsidR="00900386" w:rsidP="00900386"/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of accountability, redress of orders and prohibitions. Strengthening the honesty and self-discipline of leading cadres honesty in politics and education work, enhance leaders ability to resist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CA6" w:rsidP="00900386">
      <w:r>
        <w:separator/>
      </w:r>
    </w:p>
    <w:p w:rsidR="00075CA6" w:rsidP="00900386"/>
  </w:footnote>
  <w:footnote w:type="continuationSeparator" w:id="1">
    <w:p w:rsidR="00075CA6" w:rsidP="00900386">
      <w:r>
        <w:continuationSeparator/>
      </w:r>
    </w:p>
    <w:p w:rsidR="00075CA6" w:rsidP="0090038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Head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  <w:p w:rsidR="00900386" w:rsidP="00900386">
    <w:pPr>
      <w:pStyle w:val="Header"/>
    </w:pPr>
  </w:p>
  <w:p w:rsidR="00900386" w:rsidP="00900386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Head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900386" w:rsidP="00900386">
    <w:pPr>
      <w:pStyle w:val="Header"/>
    </w:pPr>
  </w:p>
  <w:p w:rsidR="00900386" w:rsidP="00900386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Head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  <w:p w:rsidR="00900386" w:rsidP="00900386">
    <w:pPr>
      <w:pStyle w:val="Header"/>
    </w:pPr>
  </w:p>
  <w:p w:rsidR="00900386" w:rsidP="00900386"/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Head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900386" w:rsidP="00900386">
    <w:pPr>
      <w:pStyle w:val="Header"/>
    </w:pPr>
  </w:p>
  <w:p w:rsidR="00900386" w:rsidP="00900386"/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Head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  <w:p w:rsidR="00900386" w:rsidP="00900386">
    <w:pPr>
      <w:pStyle w:val="Header"/>
    </w:pPr>
  </w:p>
  <w:p w:rsidR="00900386" w:rsidP="00900386"/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Head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900386" w:rsidP="00900386">
    <w:pPr>
      <w:pStyle w:val="Header"/>
    </w:pPr>
  </w:p>
  <w:p w:rsidR="00900386" w:rsidP="00900386"/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Head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  <w:p w:rsidR="00900386" w:rsidP="00900386">
    <w:pPr>
      <w:pStyle w:val="Header"/>
    </w:pPr>
  </w:p>
  <w:p w:rsidR="00900386" w:rsidP="00900386"/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Head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900386" w:rsidP="00900386">
    <w:pPr>
      <w:pStyle w:val="Header"/>
    </w:pPr>
  </w:p>
  <w:p w:rsidR="00900386" w:rsidP="00900386"/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Head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  <w:p w:rsidR="00900386" w:rsidP="00900386">
    <w:pPr>
      <w:pStyle w:val="Header"/>
    </w:pPr>
  </w:p>
  <w:p w:rsidR="00900386" w:rsidP="00900386"/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386" w:rsidP="00900386">
    <w:pPr>
      <w:pStyle w:val="Head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900386" w:rsidP="00900386">
    <w:pPr>
      <w:pStyle w:val="Header"/>
    </w:pPr>
  </w:p>
  <w:p w:rsidR="00900386" w:rsidP="00900386"/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5DA2"/>
    <w:multiLevelType w:val="hybridMultilevel"/>
    <w:tmpl w:val="F82EC476"/>
    <w:lvl w:ilvl="0">
      <w:start w:val="1"/>
      <w:numFmt w:val="japaneseCounting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74BF2039"/>
    <w:multiLevelType w:val="hybridMultilevel"/>
    <w:tmpl w:val="97FACCB2"/>
    <w:lvl w:ilvl="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AF2"/>
    <w:rsid w:val="00075CA6"/>
    <w:rsid w:val="00847754"/>
    <w:rsid w:val="00900386"/>
    <w:rsid w:val="00CC75C0"/>
    <w:rsid w:val="00F75B2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sid w:val="00C332EE"/>
    <w:pPr>
      <w:widowControl w:val="0"/>
      <w:spacing w:line="360" w:lineRule="auto"/>
      <w:jc w:val="both"/>
    </w:pPr>
    <w:rPr>
      <w:rFonts w:ascii="黑体" w:hAnsi="黑体" w:cs="黑体"/>
      <w:kern w:val="2"/>
      <w:sz w:val="21"/>
      <w:szCs w:val="21"/>
      <w:lang w:val="en-US" w:eastAsia="zh-CN" w:bidi="ar-SA"/>
    </w:rPr>
  </w:style>
  <w:style w:type="paragraph" w:styleId="Heading1">
    <w:name w:val="heading 1"/>
    <w:basedOn w:val="Normal"/>
    <w:next w:val="Normal"/>
    <w:autoRedefine/>
    <w:qFormat/>
    <w:rsid w:val="005F3C88"/>
    <w:pPr>
      <w:keepNext/>
      <w:keepLines/>
      <w:spacing w:before="340" w:after="330" w:line="578" w:lineRule="auto"/>
      <w:outlineLvl w:val="0"/>
    </w:pPr>
    <w:rPr>
      <w:b/>
      <w:bCs/>
      <w:kern w:val="44"/>
      <w:sz w:val="36"/>
      <w:szCs w:val="44"/>
    </w:rPr>
  </w:style>
  <w:style w:type="paragraph" w:styleId="Heading2">
    <w:name w:val="heading 2"/>
    <w:basedOn w:val="Normal"/>
    <w:next w:val="Normal"/>
    <w:qFormat/>
    <w:rsid w:val="007B2725"/>
    <w:pPr>
      <w:keepNext/>
      <w:keepLines/>
      <w:spacing w:before="260" w:after="260" w:line="416" w:lineRule="auto"/>
      <w:outlineLvl w:val="1"/>
    </w:pPr>
    <w:rPr>
      <w:rFonts w:ascii="Arial" w:eastAsia="黑体" w:hAnsi="Arial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autoRedefine/>
    <w:qFormat/>
    <w:rsid w:val="00E256C3"/>
    <w:pPr>
      <w:keepNext/>
      <w:keepLines/>
      <w:spacing w:before="260" w:after="260" w:line="416" w:lineRule="auto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OC1">
    <w:name w:val="toc 1"/>
    <w:basedOn w:val="Normal"/>
    <w:next w:val="Normal"/>
    <w:autoRedefine/>
    <w:semiHidden/>
    <w:rsid w:val="00EF4A0E"/>
    <w:pPr>
      <w:tabs>
        <w:tab w:val="right" w:leader="dot" w:pos="8296"/>
      </w:tabs>
    </w:pPr>
    <w:rPr>
      <w:b/>
      <w:sz w:val="30"/>
    </w:rPr>
  </w:style>
  <w:style w:type="paragraph" w:styleId="TOC2">
    <w:name w:val="toc 2"/>
    <w:basedOn w:val="Normal"/>
    <w:next w:val="Normal"/>
    <w:autoRedefine/>
    <w:semiHidden/>
    <w:rsid w:val="00EF4A0E"/>
    <w:pPr>
      <w:tabs>
        <w:tab w:val="right" w:leader="dot" w:pos="8296"/>
      </w:tabs>
      <w:ind w:left="420" w:leftChars="200"/>
    </w:pPr>
    <w:rPr>
      <w:b/>
      <w:noProof/>
      <w:sz w:val="28"/>
    </w:rPr>
  </w:style>
  <w:style w:type="paragraph" w:styleId="TOC3">
    <w:name w:val="toc 3"/>
    <w:basedOn w:val="Normal"/>
    <w:next w:val="Normal"/>
    <w:autoRedefine/>
    <w:semiHidden/>
    <w:rsid w:val="00EF4A0E"/>
    <w:pPr>
      <w:tabs>
        <w:tab w:val="right" w:leader="dot" w:pos="8296"/>
      </w:tabs>
      <w:ind w:left="840" w:leftChars="400"/>
    </w:pPr>
    <w:rPr>
      <w:noProof/>
      <w:sz w:val="24"/>
    </w:rPr>
  </w:style>
  <w:style w:type="character" w:styleId="Hyperlink">
    <w:name w:val="Hyperlink"/>
    <w:rsid w:val="004D6972"/>
    <w:rPr>
      <w:color w:val="0000FF"/>
      <w:u w:val="single"/>
    </w:rPr>
  </w:style>
  <w:style w:type="paragraph" w:customStyle="1" w:styleId="1">
    <w:name w:val="样式1"/>
    <w:basedOn w:val="Normal"/>
    <w:rsid w:val="00EF4A0E"/>
    <w:pPr>
      <w:jc w:val="center"/>
    </w:pPr>
    <w:rPr>
      <w:rFonts w:eastAsia="楷体_GB2312"/>
      <w:b/>
      <w:sz w:val="52"/>
    </w:rPr>
  </w:style>
  <w:style w:type="paragraph" w:customStyle="1" w:styleId="2">
    <w:name w:val="样式2"/>
    <w:basedOn w:val="1"/>
    <w:rsid w:val="00EF4A0E"/>
    <w:rPr>
      <w:sz w:val="72"/>
    </w:rPr>
  </w:style>
  <w:style w:type="paragraph" w:customStyle="1" w:styleId="3">
    <w:name w:val="样式3"/>
    <w:basedOn w:val="1"/>
    <w:rsid w:val="00EF4A0E"/>
    <w:pPr>
      <w:jc w:val="left"/>
    </w:pPr>
    <w:rPr>
      <w:rFonts w:eastAsia="宋体"/>
      <w:sz w:val="30"/>
    </w:rPr>
  </w:style>
  <w:style w:type="paragraph" w:styleId="Header">
    <w:name w:val="header"/>
    <w:basedOn w:val="Normal"/>
    <w:rsid w:val="00696B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b/>
      <w:szCs w:val="18"/>
    </w:rPr>
  </w:style>
  <w:style w:type="paragraph" w:styleId="Footer">
    <w:name w:val="footer"/>
    <w:basedOn w:val="Normal"/>
    <w:rsid w:val="00696B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4">
    <w:name w:val="样式4"/>
    <w:basedOn w:val="Normal"/>
    <w:autoRedefine/>
    <w:rsid w:val="00696B0F"/>
    <w:pPr>
      <w:jc w:val="center"/>
    </w:pPr>
    <w:rPr>
      <w:rFonts w:eastAsia="楷体_GB2312"/>
      <w:sz w:val="30"/>
    </w:rPr>
  </w:style>
  <w:style w:type="table" w:styleId="TableGrid">
    <w:name w:val="Table Grid"/>
    <w:basedOn w:val="TableNormal"/>
    <w:rsid w:val="00696B0F"/>
    <w:pPr>
      <w:widowControl w:val="0"/>
      <w:jc w:val="both"/>
    </w:pPr>
    <w:rPr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样式13"/>
    <w:basedOn w:val="Normal"/>
    <w:autoRedefine/>
    <w:rsid w:val="00696B0F"/>
    <w:pPr>
      <w:jc w:val="center"/>
    </w:pPr>
    <w:rPr>
      <w:rFonts w:eastAsia="仿宋_GB2312" w:hAnsi="宋体"/>
      <w:b/>
      <w:bCs/>
      <w:sz w:val="24"/>
      <w:szCs w:val="24"/>
    </w:rPr>
  </w:style>
  <w:style w:type="character" w:styleId="PageNumber">
    <w:name w:val="page number"/>
    <w:basedOn w:val="DefaultParagraphFont"/>
    <w:rsid w:val="008E30B0"/>
  </w:style>
  <w:style w:type="paragraph" w:customStyle="1" w:styleId="12">
    <w:name w:val="样式12"/>
    <w:basedOn w:val="Normal"/>
    <w:link w:val="12Char"/>
    <w:autoRedefine/>
    <w:rsid w:val="003D5117"/>
    <w:pPr>
      <w:jc w:val="left"/>
    </w:pPr>
    <w:rPr>
      <w:rFonts w:eastAsia="仿宋_GB2312" w:hAnsi="宋体"/>
    </w:rPr>
  </w:style>
  <w:style w:type="paragraph" w:styleId="TOC7">
    <w:name w:val="toc 7"/>
    <w:basedOn w:val="Normal"/>
    <w:next w:val="Normal"/>
    <w:autoRedefine/>
    <w:semiHidden/>
    <w:rsid w:val="005F3C88"/>
    <w:pPr>
      <w:ind w:left="2520" w:leftChars="1200"/>
    </w:pPr>
  </w:style>
  <w:style w:type="character" w:customStyle="1" w:styleId="12Char">
    <w:name w:val="样式12 Char"/>
    <w:link w:val="12"/>
    <w:rsid w:val="003D5117"/>
    <w:rPr>
      <w:rFonts w:ascii="黑体" w:eastAsia="仿宋_GB2312" w:hAnsi="宋体" w:cs="黑体"/>
      <w:kern w:val="2"/>
      <w:sz w:val="21"/>
      <w:szCs w:val="21"/>
      <w:lang w:val="en-US" w:eastAsia="zh-CN" w:bidi="ar-SA"/>
    </w:rPr>
  </w:style>
  <w:style w:type="paragraph" w:customStyle="1" w:styleId="5">
    <w:name w:val="样式5"/>
    <w:basedOn w:val="Normal"/>
    <w:link w:val="5Char"/>
    <w:autoRedefine/>
    <w:rsid w:val="0016413C"/>
    <w:rPr>
      <w:b/>
    </w:rPr>
  </w:style>
  <w:style w:type="character" w:customStyle="1" w:styleId="5Char">
    <w:name w:val="样式5 Char"/>
    <w:link w:val="5"/>
    <w:rsid w:val="0016413C"/>
    <w:rPr>
      <w:rFonts w:ascii="黑体" w:eastAsia="宋体" w:hAnsi="黑体" w:cs="黑体"/>
      <w:b/>
      <w:kern w:val="2"/>
      <w:sz w:val="21"/>
      <w:szCs w:val="21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2.xml" /><Relationship Id="rId11" Type="http://schemas.openxmlformats.org/officeDocument/2006/relationships/footer" Target="footer3.xml" /><Relationship Id="rId12" Type="http://schemas.openxmlformats.org/officeDocument/2006/relationships/image" Target="media/image2.png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4.xml" /><Relationship Id="rId16" Type="http://schemas.openxmlformats.org/officeDocument/2006/relationships/footer" Target="footer5.xml" /><Relationship Id="rId17" Type="http://schemas.openxmlformats.org/officeDocument/2006/relationships/footer" Target="footer6.xml" /><Relationship Id="rId18" Type="http://schemas.openxmlformats.org/officeDocument/2006/relationships/image" Target="media/image3.png" /><Relationship Id="rId19" Type="http://schemas.openxmlformats.org/officeDocument/2006/relationships/image" Target="media/image4.png" /><Relationship Id="rId2" Type="http://schemas.openxmlformats.org/officeDocument/2006/relationships/endnotes" Target="endnotes.xml" /><Relationship Id="rId20" Type="http://schemas.openxmlformats.org/officeDocument/2006/relationships/header" Target="header5.xml" /><Relationship Id="rId21" Type="http://schemas.openxmlformats.org/officeDocument/2006/relationships/header" Target="header6.xml" /><Relationship Id="rId22" Type="http://schemas.openxmlformats.org/officeDocument/2006/relationships/footer" Target="footer7.xml" /><Relationship Id="rId23" Type="http://schemas.openxmlformats.org/officeDocument/2006/relationships/footer" Target="footer8.xml" /><Relationship Id="rId24" Type="http://schemas.openxmlformats.org/officeDocument/2006/relationships/footer" Target="footer9.xml" /><Relationship Id="rId25" Type="http://schemas.openxmlformats.org/officeDocument/2006/relationships/image" Target="media/image5.png" /><Relationship Id="rId26" Type="http://schemas.openxmlformats.org/officeDocument/2006/relationships/image" Target="media/image6.png" /><Relationship Id="rId27" Type="http://schemas.openxmlformats.org/officeDocument/2006/relationships/header" Target="header7.xml" /><Relationship Id="rId28" Type="http://schemas.openxmlformats.org/officeDocument/2006/relationships/header" Target="header8.xml" /><Relationship Id="rId29" Type="http://schemas.openxmlformats.org/officeDocument/2006/relationships/footer" Target="footer10.xml" /><Relationship Id="rId3" Type="http://schemas.openxmlformats.org/officeDocument/2006/relationships/settings" Target="settings.xml" /><Relationship Id="rId30" Type="http://schemas.openxmlformats.org/officeDocument/2006/relationships/footer" Target="footer11.xml" /><Relationship Id="rId31" Type="http://schemas.openxmlformats.org/officeDocument/2006/relationships/footer" Target="footer12.xml" /><Relationship Id="rId32" Type="http://schemas.openxmlformats.org/officeDocument/2006/relationships/image" Target="media/image7.png" /><Relationship Id="rId33" Type="http://schemas.openxmlformats.org/officeDocument/2006/relationships/image" Target="media/image8.png" /><Relationship Id="rId34" Type="http://schemas.openxmlformats.org/officeDocument/2006/relationships/image" Target="media/image9.png" /><Relationship Id="rId35" Type="http://schemas.openxmlformats.org/officeDocument/2006/relationships/header" Target="header9.xml" /><Relationship Id="rId36" Type="http://schemas.openxmlformats.org/officeDocument/2006/relationships/header" Target="header10.xml" /><Relationship Id="rId37" Type="http://schemas.openxmlformats.org/officeDocument/2006/relationships/footer" Target="footer13.xml" /><Relationship Id="rId38" Type="http://schemas.openxmlformats.org/officeDocument/2006/relationships/footer" Target="footer14.xml" /><Relationship Id="rId39" Type="http://schemas.openxmlformats.org/officeDocument/2006/relationships/footer" Target="footer15.xml" /><Relationship Id="rId4" Type="http://schemas.openxmlformats.org/officeDocument/2006/relationships/webSettings" Target="webSettings.xml" /><Relationship Id="rId40" Type="http://schemas.openxmlformats.org/officeDocument/2006/relationships/image" Target="media/image10.png" /><Relationship Id="rId41" Type="http://schemas.openxmlformats.org/officeDocument/2006/relationships/image" Target="media/image11.png" /><Relationship Id="rId42" Type="http://schemas.openxmlformats.org/officeDocument/2006/relationships/image" Target="media/image12.png" /><Relationship Id="rId43" Type="http://schemas.openxmlformats.org/officeDocument/2006/relationships/image" Target="media/image13.png" /><Relationship Id="rId44" Type="http://schemas.openxmlformats.org/officeDocument/2006/relationships/image" Target="media/image14.png" /><Relationship Id="rId45" Type="http://schemas.openxmlformats.org/officeDocument/2006/relationships/header" Target="header11.xml" /><Relationship Id="rId46" Type="http://schemas.openxmlformats.org/officeDocument/2006/relationships/header" Target="header12.xml" /><Relationship Id="rId47" Type="http://schemas.openxmlformats.org/officeDocument/2006/relationships/footer" Target="footer16.xml" /><Relationship Id="rId48" Type="http://schemas.openxmlformats.org/officeDocument/2006/relationships/footer" Target="footer17.xml" /><Relationship Id="rId49" Type="http://schemas.openxmlformats.org/officeDocument/2006/relationships/footer" Target="footer18.xml" /><Relationship Id="rId5" Type="http://schemas.openxmlformats.org/officeDocument/2006/relationships/fontTable" Target="fontTable.xml" /><Relationship Id="rId50" Type="http://schemas.openxmlformats.org/officeDocument/2006/relationships/image" Target="media/image15.png" /><Relationship Id="rId51" Type="http://schemas.openxmlformats.org/officeDocument/2006/relationships/header" Target="header13.xml" /><Relationship Id="rId52" Type="http://schemas.openxmlformats.org/officeDocument/2006/relationships/header" Target="header14.xml" /><Relationship Id="rId53" Type="http://schemas.openxmlformats.org/officeDocument/2006/relationships/footer" Target="footer19.xml" /><Relationship Id="rId54" Type="http://schemas.openxmlformats.org/officeDocument/2006/relationships/footer" Target="footer20.xml" /><Relationship Id="rId55" Type="http://schemas.openxmlformats.org/officeDocument/2006/relationships/footer" Target="footer21.xml" /><Relationship Id="rId56" Type="http://schemas.openxmlformats.org/officeDocument/2006/relationships/image" Target="media/image16.png" /><Relationship Id="rId57" Type="http://schemas.openxmlformats.org/officeDocument/2006/relationships/header" Target="header15.xml" /><Relationship Id="rId58" Type="http://schemas.openxmlformats.org/officeDocument/2006/relationships/header" Target="header16.xml" /><Relationship Id="rId59" Type="http://schemas.openxmlformats.org/officeDocument/2006/relationships/footer" Target="footer22.xml" /><Relationship Id="rId6" Type="http://schemas.openxmlformats.org/officeDocument/2006/relationships/image" Target="media/image1.png" /><Relationship Id="rId60" Type="http://schemas.openxmlformats.org/officeDocument/2006/relationships/footer" Target="footer23.xml" /><Relationship Id="rId61" Type="http://schemas.openxmlformats.org/officeDocument/2006/relationships/footer" Target="footer24.xml" /><Relationship Id="rId62" Type="http://schemas.openxmlformats.org/officeDocument/2006/relationships/image" Target="media/image17.png" /><Relationship Id="rId63" Type="http://schemas.openxmlformats.org/officeDocument/2006/relationships/image" Target="media/image18.png" /><Relationship Id="rId64" Type="http://schemas.openxmlformats.org/officeDocument/2006/relationships/header" Target="header17.xml" /><Relationship Id="rId65" Type="http://schemas.openxmlformats.org/officeDocument/2006/relationships/header" Target="header18.xml" /><Relationship Id="rId66" Type="http://schemas.openxmlformats.org/officeDocument/2006/relationships/footer" Target="footer25.xml" /><Relationship Id="rId67" Type="http://schemas.openxmlformats.org/officeDocument/2006/relationships/footer" Target="footer26.xml" /><Relationship Id="rId68" Type="http://schemas.openxmlformats.org/officeDocument/2006/relationships/footer" Target="footer27.xml" /><Relationship Id="rId69" Type="http://schemas.openxmlformats.org/officeDocument/2006/relationships/image" Target="media/image19.png" /><Relationship Id="rId7" Type="http://schemas.openxmlformats.org/officeDocument/2006/relationships/header" Target="header1.xml" /><Relationship Id="rId70" Type="http://schemas.openxmlformats.org/officeDocument/2006/relationships/hyperlink" Target="https://d.book118.com/947166115034006054" TargetMode="External" /><Relationship Id="rId71" Type="http://schemas.openxmlformats.org/officeDocument/2006/relationships/header" Target="header19.xml" /><Relationship Id="rId72" Type="http://schemas.openxmlformats.org/officeDocument/2006/relationships/header" Target="header20.xml" /><Relationship Id="rId73" Type="http://schemas.openxmlformats.org/officeDocument/2006/relationships/footer" Target="footer28.xml" /><Relationship Id="rId74" Type="http://schemas.openxmlformats.org/officeDocument/2006/relationships/footer" Target="footer29.xml" /><Relationship Id="rId75" Type="http://schemas.openxmlformats.org/officeDocument/2006/relationships/footer" Target="footer30.xml" /><Relationship Id="rId76" Type="http://schemas.openxmlformats.org/officeDocument/2006/relationships/theme" Target="theme/theme1.xml" /><Relationship Id="rId77" Type="http://schemas.openxmlformats.org/officeDocument/2006/relationships/numbering" Target="numbering.xml" /><Relationship Id="rId78" Type="http://schemas.openxmlformats.org/officeDocument/2006/relationships/styles" Target="styles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514</Words>
  <Characters>2932</Characters>
  <Application>Microsoft Office Word</Application>
  <DocSecurity>0</DocSecurity>
  <Lines>24</Lines>
  <Paragraphs>6</Paragraphs>
  <ScaleCrop>false</ScaleCrop>
  <Company>searainbow</Company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上海市药品医疗器械实时监控平台</dc:title>
  <dc:creator>jz</dc:creator>
  <cp:lastModifiedBy>JonMMx 2000</cp:lastModifiedBy>
  <cp:revision>3</cp:revision>
  <dcterms:created xsi:type="dcterms:W3CDTF">2021-11-07T16:08:00Z</dcterms:created>
  <dcterms:modified xsi:type="dcterms:W3CDTF">2021-11-30T01:06:00Z</dcterms:modified>
</cp:coreProperties>
</file>