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014" w:rsidP="00623014">
      <w:pPr>
        <w:pStyle w:val="NormalWeb"/>
        <w:spacing w:before="0" w:beforeAutospacing="0" w:after="0" w:afterAutospacing="0"/>
        <w:jc w:val="center"/>
        <w:rPr>
          <w:color w:val="000000"/>
          <w:sz w:val="44"/>
          <w:szCs w:val="44"/>
        </w:rPr>
      </w:pPr>
      <w:r>
        <w:rPr>
          <w:rFonts w:hint="eastAsia"/>
          <w:color w:val="000000"/>
          <w:sz w:val="44"/>
          <w:szCs w:val="44"/>
        </w:rPr>
        <w:t>﻿2024辽宁省安全员-C证考试题库</w:t>
      </w:r>
    </w:p>
    <w:p w:rsidR="00623014" w:rsidP="00623014">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623014" w:rsidP="00623014">
      <w:pPr>
        <w:jc w:val="left"/>
        <w:rPr>
          <w:rFonts w:ascii="宋体" w:hAnsi="宋体" w:cs="宋体"/>
          <w:sz w:val="24"/>
          <w:szCs w:val="24"/>
        </w:rPr>
      </w:pPr>
      <w:r>
        <w:rPr>
          <w:rFonts w:ascii="Times New Roman" w:hAnsi="Times New Roman" w:cs="Times New Roman"/>
          <w:color w:val="000000"/>
          <w:sz w:val="27"/>
          <w:szCs w:val="27"/>
        </w:rPr>
        <w:br/>
      </w:r>
    </w:p>
    <w:p w:rsidR="00623014" w:rsidP="00623014">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623014" w:rsidP="00623014">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电工、焊工、架工、司炉工、爆破工、机操工及起重工、打桩机和各种机动车辆司机等特种公种工人，除进行一般安全教育外，还要经过（</w:t>
      </w:r>
      <w:r>
        <w:rPr>
          <w:rFonts w:ascii="Times New Roman" w:hAnsi="Times New Roman" w:cs="Times New Roman"/>
          <w:color w:val="000000"/>
          <w:sz w:val="27"/>
          <w:szCs w:val="27"/>
        </w:rPr>
        <w:t>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专业安全技术教育</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安全生产意识和安全管理水平教育</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三健全教育</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遵章守纪、自我保护能力教育</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关于安全带的说法不正确的是（</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安全带有效期为</w:t>
      </w:r>
      <w:r>
        <w:rPr>
          <w:rFonts w:ascii="Times New Roman" w:hAnsi="Times New Roman" w:cs="Times New Roman"/>
          <w:color w:val="000000"/>
          <w:sz w:val="27"/>
          <w:szCs w:val="27"/>
        </w:rPr>
        <w:t>5</w:t>
      </w:r>
      <w:r>
        <w:rPr>
          <w:rFonts w:ascii="Times New Roman" w:hAnsi="Times New Roman" w:cs="Times New Roman"/>
          <w:color w:val="000000"/>
          <w:sz w:val="27"/>
          <w:szCs w:val="27"/>
        </w:rPr>
        <w:t>年</w:t>
      </w:r>
      <w:r>
        <w:rPr>
          <w:rFonts w:ascii="Times New Roman" w:hAnsi="Times New Roman" w:cs="Times New Roman"/>
          <w:color w:val="000000"/>
          <w:sz w:val="27"/>
          <w:szCs w:val="27"/>
        </w:rPr>
        <w:br/>
        <w:t>B.</w:t>
      </w:r>
      <w:r>
        <w:rPr>
          <w:rFonts w:ascii="Times New Roman" w:hAnsi="Times New Roman" w:cs="Times New Roman"/>
          <w:color w:val="000000"/>
          <w:sz w:val="27"/>
          <w:szCs w:val="27"/>
        </w:rPr>
        <w:t>高处作业使用的安全带绳长限定在</w:t>
      </w:r>
      <w:r>
        <w:rPr>
          <w:rFonts w:ascii="Times New Roman" w:hAnsi="Times New Roman" w:cs="Times New Roman"/>
          <w:color w:val="000000"/>
          <w:sz w:val="27"/>
          <w:szCs w:val="27"/>
        </w:rPr>
        <w:t>1.5</w:t>
      </w:r>
      <w:r>
        <w:rPr>
          <w:rFonts w:ascii="Times New Roman" w:hAnsi="Times New Roman" w:cs="Times New Roman"/>
          <w:color w:val="000000"/>
          <w:sz w:val="27"/>
          <w:szCs w:val="27"/>
        </w:rPr>
        <w:t>～</w:t>
      </w:r>
      <w:r>
        <w:rPr>
          <w:rFonts w:ascii="Times New Roman" w:hAnsi="Times New Roman" w:cs="Times New Roman"/>
          <w:color w:val="000000"/>
          <w:sz w:val="27"/>
          <w:szCs w:val="27"/>
        </w:rPr>
        <w:t>2.2m</w:t>
      </w:r>
      <w:r>
        <w:rPr>
          <w:rFonts w:ascii="Times New Roman" w:hAnsi="Times New Roman" w:cs="Times New Roman"/>
          <w:color w:val="000000"/>
          <w:sz w:val="27"/>
          <w:szCs w:val="27"/>
        </w:rPr>
        <w:t>；如需接长，必须按规定加设缓冲器</w:t>
      </w:r>
      <w:r>
        <w:rPr>
          <w:rFonts w:ascii="Times New Roman" w:hAnsi="Times New Roman" w:cs="Times New Roman"/>
          <w:color w:val="000000"/>
          <w:sz w:val="27"/>
          <w:szCs w:val="27"/>
        </w:rPr>
        <w:br/>
        <w:t>C.</w:t>
      </w:r>
      <w:r>
        <w:rPr>
          <w:rFonts w:ascii="Times New Roman" w:hAnsi="Times New Roman" w:cs="Times New Roman"/>
          <w:color w:val="000000"/>
          <w:sz w:val="27"/>
          <w:szCs w:val="27"/>
        </w:rPr>
        <w:t>使用时必须高挂低用，严禁低挂高用</w:t>
      </w:r>
      <w:r>
        <w:rPr>
          <w:rFonts w:ascii="Times New Roman" w:hAnsi="Times New Roman" w:cs="Times New Roman"/>
          <w:color w:val="000000"/>
          <w:sz w:val="27"/>
          <w:szCs w:val="27"/>
        </w:rPr>
        <w:br/>
        <w:t>D.</w:t>
      </w:r>
      <w:r>
        <w:rPr>
          <w:rFonts w:ascii="Times New Roman" w:hAnsi="Times New Roman" w:cs="Times New Roman"/>
          <w:color w:val="000000"/>
          <w:sz w:val="27"/>
          <w:szCs w:val="27"/>
        </w:rPr>
        <w:t>不准将安全带的自锁钩直接挂在不牢固物或直接挂在非金属绳上</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）能够防止钢丝绳在传动过程中脱离滑轮槽而造成钢丝绳卡死和损伤。</w:t>
      </w:r>
      <w:r>
        <w:rPr>
          <w:rFonts w:ascii="Times New Roman" w:hAnsi="Times New Roman" w:cs="Times New Roman"/>
          <w:color w:val="000000"/>
          <w:sz w:val="27"/>
          <w:szCs w:val="27"/>
        </w:rPr>
        <w:br/>
        <w:t>A.</w:t>
      </w:r>
      <w:r>
        <w:rPr>
          <w:rFonts w:ascii="Times New Roman" w:hAnsi="Times New Roman" w:cs="Times New Roman"/>
          <w:color w:val="000000"/>
          <w:sz w:val="27"/>
          <w:szCs w:val="27"/>
        </w:rPr>
        <w:t>力矩限制器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超高限制器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吊钩保险</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钢丝绳防脱槽装置</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《安全生产法》明确了安全生产三大目标，即（</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）。保护国家财产安全，促进社会经济发展。</w:t>
      </w:r>
    </w:p>
    <w:p w:rsidR="00623014" w:rsidP="00623014">
      <w:pPr>
        <w:rPr>
          <w:rFonts w:ascii="宋体" w:hAnsi="宋体" w:cs="宋体"/>
          <w:sz w:val="24"/>
          <w:szCs w:val="24"/>
        </w:rPr>
      </w:pPr>
      <w:r>
        <w:rPr>
          <w:rFonts w:ascii="Times New Roman" w:hAnsi="Times New Roman" w:cs="Times New Roman"/>
          <w:color w:val="000000"/>
          <w:sz w:val="27"/>
          <w:szCs w:val="27"/>
        </w:rPr>
        <w:br/>
        <w:t>A.</w:t>
      </w:r>
      <w:r>
        <w:rPr>
          <w:rFonts w:ascii="Times New Roman" w:hAnsi="Times New Roman" w:cs="Times New Roman"/>
          <w:color w:val="000000"/>
          <w:sz w:val="27"/>
          <w:szCs w:val="27"/>
        </w:rPr>
        <w:t>保护环境卫生</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保证产品质量</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保障人民生命安全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健全安全生</w:t>
      </w:r>
      <w:r>
        <w:rPr>
          <w:rFonts w:ascii="Times New Roman" w:hAnsi="Times New Roman" w:cs="Times New Roman"/>
          <w:color w:val="000000"/>
          <w:sz w:val="27"/>
          <w:szCs w:val="27"/>
        </w:rPr>
        <w:t>产体系</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夜间施工，是指（</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）期间的施工。</w:t>
      </w:r>
      <w:r>
        <w:rPr>
          <w:rFonts w:ascii="Times New Roman" w:hAnsi="Times New Roman" w:cs="Times New Roman"/>
          <w:color w:val="000000"/>
          <w:sz w:val="27"/>
          <w:szCs w:val="27"/>
        </w:rPr>
        <w:br/>
        <w:t>A.10</w:t>
      </w:r>
      <w:r>
        <w:rPr>
          <w:rFonts w:ascii="Times New Roman" w:hAnsi="Times New Roman" w:cs="Times New Roman"/>
          <w:color w:val="000000"/>
          <w:sz w:val="27"/>
          <w:szCs w:val="27"/>
        </w:rPr>
        <w:t>时至次日</w:t>
      </w:r>
      <w:r>
        <w:rPr>
          <w:rFonts w:ascii="Times New Roman" w:hAnsi="Times New Roman" w:cs="Times New Roman"/>
          <w:color w:val="000000"/>
          <w:sz w:val="27"/>
          <w:szCs w:val="27"/>
        </w:rPr>
        <w:t>6</w:t>
      </w:r>
      <w:r>
        <w:rPr>
          <w:rFonts w:ascii="Times New Roman" w:hAnsi="Times New Roman" w:cs="Times New Roman"/>
          <w:color w:val="000000"/>
          <w:sz w:val="27"/>
          <w:szCs w:val="27"/>
        </w:rPr>
        <w:t>时</w:t>
      </w:r>
      <w:r>
        <w:rPr>
          <w:rFonts w:ascii="Times New Roman" w:hAnsi="Times New Roman" w:cs="Times New Roman"/>
          <w:color w:val="000000"/>
          <w:sz w:val="27"/>
          <w:szCs w:val="27"/>
        </w:rPr>
        <w:t xml:space="preserve"> B.22</w:t>
      </w:r>
      <w:r>
        <w:rPr>
          <w:rFonts w:ascii="Times New Roman" w:hAnsi="Times New Roman" w:cs="Times New Roman"/>
          <w:color w:val="000000"/>
          <w:sz w:val="27"/>
          <w:szCs w:val="27"/>
        </w:rPr>
        <w:t>时至次日</w:t>
      </w:r>
      <w:r>
        <w:rPr>
          <w:rFonts w:ascii="Times New Roman" w:hAnsi="Times New Roman" w:cs="Times New Roman"/>
          <w:color w:val="000000"/>
          <w:sz w:val="27"/>
          <w:szCs w:val="27"/>
        </w:rPr>
        <w:t>6</w:t>
      </w:r>
      <w:r>
        <w:rPr>
          <w:rFonts w:ascii="Times New Roman" w:hAnsi="Times New Roman" w:cs="Times New Roman"/>
          <w:color w:val="000000"/>
          <w:sz w:val="27"/>
          <w:szCs w:val="27"/>
        </w:rPr>
        <w:t>时</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晚</w:t>
      </w:r>
      <w:r>
        <w:rPr>
          <w:rFonts w:ascii="Times New Roman" w:hAnsi="Times New Roman" w:cs="Times New Roman"/>
          <w:color w:val="000000"/>
          <w:sz w:val="27"/>
          <w:szCs w:val="27"/>
        </w:rPr>
        <w:t>22</w:t>
      </w:r>
      <w:r>
        <w:rPr>
          <w:rFonts w:ascii="Times New Roman" w:hAnsi="Times New Roman" w:cs="Times New Roman"/>
          <w:color w:val="000000"/>
          <w:sz w:val="27"/>
          <w:szCs w:val="27"/>
        </w:rPr>
        <w:t>时至次日</w:t>
      </w:r>
      <w:r>
        <w:rPr>
          <w:rFonts w:ascii="Times New Roman" w:hAnsi="Times New Roman" w:cs="Times New Roman"/>
          <w:color w:val="000000"/>
          <w:sz w:val="27"/>
          <w:szCs w:val="27"/>
        </w:rPr>
        <w:t>5</w:t>
      </w:r>
      <w:r>
        <w:rPr>
          <w:rFonts w:ascii="Times New Roman" w:hAnsi="Times New Roman" w:cs="Times New Roman"/>
          <w:color w:val="000000"/>
          <w:sz w:val="27"/>
          <w:szCs w:val="27"/>
        </w:rPr>
        <w:t>时</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晚</w:t>
      </w:r>
      <w:r>
        <w:rPr>
          <w:rFonts w:ascii="Times New Roman" w:hAnsi="Times New Roman" w:cs="Times New Roman"/>
          <w:color w:val="000000"/>
          <w:sz w:val="27"/>
          <w:szCs w:val="27"/>
        </w:rPr>
        <w:t>9</w:t>
      </w:r>
      <w:r>
        <w:rPr>
          <w:rFonts w:ascii="Times New Roman" w:hAnsi="Times New Roman" w:cs="Times New Roman"/>
          <w:color w:val="000000"/>
          <w:sz w:val="27"/>
          <w:szCs w:val="27"/>
        </w:rPr>
        <w:t>时至次日</w:t>
      </w:r>
      <w:r>
        <w:rPr>
          <w:rFonts w:ascii="Times New Roman" w:hAnsi="Times New Roman" w:cs="Times New Roman"/>
          <w:color w:val="000000"/>
          <w:sz w:val="27"/>
          <w:szCs w:val="27"/>
        </w:rPr>
        <w:t>6</w:t>
      </w:r>
      <w:r>
        <w:rPr>
          <w:rFonts w:ascii="Times New Roman" w:hAnsi="Times New Roman" w:cs="Times New Roman"/>
          <w:color w:val="000000"/>
          <w:sz w:val="27"/>
          <w:szCs w:val="27"/>
        </w:rPr>
        <w:t>时</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钢丝绳在起升卷扬机卷筒上应按顺序排列整齐，当吊钩处于工作位置最低点时，钢丝绳在卷筒上的缠绕不少于（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A.2</w:t>
      </w:r>
      <w:r>
        <w:rPr>
          <w:rFonts w:ascii="Times New Roman" w:hAnsi="Times New Roman" w:cs="Times New Roman"/>
          <w:color w:val="000000"/>
          <w:sz w:val="27"/>
          <w:szCs w:val="27"/>
        </w:rPr>
        <w:t>圈</w:t>
      </w:r>
      <w:r>
        <w:rPr>
          <w:rFonts w:ascii="Times New Roman" w:hAnsi="Times New Roman" w:cs="Times New Roman"/>
          <w:color w:val="000000"/>
          <w:sz w:val="27"/>
          <w:szCs w:val="27"/>
        </w:rPr>
        <w:t xml:space="preserve"> B.3</w:t>
      </w:r>
      <w:r>
        <w:rPr>
          <w:rFonts w:ascii="Times New Roman" w:hAnsi="Times New Roman" w:cs="Times New Roman"/>
          <w:color w:val="000000"/>
          <w:sz w:val="27"/>
          <w:szCs w:val="27"/>
        </w:rPr>
        <w:t>圈</w:t>
      </w:r>
      <w:r>
        <w:rPr>
          <w:rFonts w:ascii="Times New Roman" w:hAnsi="Times New Roman" w:cs="Times New Roman"/>
          <w:color w:val="000000"/>
          <w:sz w:val="27"/>
          <w:szCs w:val="27"/>
        </w:rPr>
        <w:t xml:space="preserve"> C.4</w:t>
      </w:r>
      <w:r>
        <w:rPr>
          <w:rFonts w:ascii="Times New Roman" w:hAnsi="Times New Roman" w:cs="Times New Roman"/>
          <w:color w:val="000000"/>
          <w:sz w:val="27"/>
          <w:szCs w:val="27"/>
        </w:rPr>
        <w:t>圈</w:t>
      </w:r>
      <w:r>
        <w:rPr>
          <w:rFonts w:ascii="Times New Roman" w:hAnsi="Times New Roman" w:cs="Times New Roman"/>
          <w:color w:val="000000"/>
          <w:sz w:val="27"/>
          <w:szCs w:val="27"/>
        </w:rPr>
        <w:t xml:space="preserve"> D.5</w:t>
      </w:r>
      <w:r>
        <w:rPr>
          <w:rFonts w:ascii="Times New Roman" w:hAnsi="Times New Roman" w:cs="Times New Roman"/>
          <w:color w:val="000000"/>
          <w:sz w:val="27"/>
          <w:szCs w:val="27"/>
        </w:rPr>
        <w:t>圈</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一般临时设施区域，每</w:t>
      </w:r>
      <w:r>
        <w:rPr>
          <w:rFonts w:ascii="Times New Roman" w:hAnsi="Times New Roman" w:cs="Times New Roman"/>
          <w:color w:val="000000"/>
          <w:sz w:val="27"/>
          <w:szCs w:val="27"/>
        </w:rPr>
        <w:t>100m2</w:t>
      </w:r>
      <w:r>
        <w:rPr>
          <w:rFonts w:ascii="Times New Roman" w:hAnsi="Times New Roman" w:cs="Times New Roman"/>
          <w:color w:val="000000"/>
          <w:sz w:val="27"/>
          <w:szCs w:val="27"/>
        </w:rPr>
        <w:t>配备（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）个</w:t>
      </w:r>
      <w:r>
        <w:rPr>
          <w:rFonts w:ascii="Times New Roman" w:hAnsi="Times New Roman" w:cs="Times New Roman"/>
          <w:color w:val="000000"/>
          <w:sz w:val="27"/>
          <w:szCs w:val="27"/>
        </w:rPr>
        <w:t>10L</w:t>
      </w:r>
      <w:r>
        <w:rPr>
          <w:rFonts w:ascii="Times New Roman" w:hAnsi="Times New Roman" w:cs="Times New Roman"/>
          <w:color w:val="000000"/>
          <w:sz w:val="27"/>
          <w:szCs w:val="27"/>
        </w:rPr>
        <w:t>灭火器。</w:t>
      </w:r>
      <w:r>
        <w:rPr>
          <w:rFonts w:ascii="Times New Roman" w:hAnsi="Times New Roman" w:cs="Times New Roman"/>
          <w:color w:val="000000"/>
          <w:sz w:val="27"/>
          <w:szCs w:val="27"/>
        </w:rPr>
        <w:br/>
        <w:t>A.2 B.3 C.4 D.5</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《施工企业安全生产评价标准》规定，下列哪一项不属于施工企业生产安全事故报告处理制度的考核评价内容。（</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建立制度并及时、如实的上报施工生产中发生伤亡事故</w:t>
      </w:r>
      <w:r>
        <w:rPr>
          <w:rFonts w:ascii="Times New Roman" w:hAnsi="Times New Roman" w:cs="Times New Roman"/>
          <w:color w:val="000000"/>
          <w:sz w:val="27"/>
          <w:szCs w:val="27"/>
        </w:rPr>
        <w:br/>
        <w:t>B.</w:t>
      </w:r>
      <w:r>
        <w:rPr>
          <w:rFonts w:ascii="Times New Roman" w:hAnsi="Times New Roman" w:cs="Times New Roman"/>
          <w:color w:val="000000"/>
          <w:sz w:val="27"/>
          <w:szCs w:val="27"/>
        </w:rPr>
        <w:t>对已发生的和未遂事故，按照</w:t>
      </w:r>
      <w:r>
        <w:rPr>
          <w:rFonts w:ascii="Times New Roman" w:hAnsi="Times New Roman" w:cs="Times New Roman"/>
          <w:color w:val="000000"/>
          <w:sz w:val="27"/>
          <w:szCs w:val="27"/>
        </w:rPr>
        <w:t>“</w:t>
      </w:r>
      <w:r>
        <w:rPr>
          <w:rFonts w:ascii="Times New Roman" w:hAnsi="Times New Roman" w:cs="Times New Roman"/>
          <w:color w:val="000000"/>
          <w:sz w:val="27"/>
          <w:szCs w:val="27"/>
        </w:rPr>
        <w:t>四不放过</w:t>
      </w:r>
      <w:r>
        <w:rPr>
          <w:rFonts w:ascii="Times New Roman" w:hAnsi="Times New Roman" w:cs="Times New Roman"/>
          <w:color w:val="000000"/>
          <w:sz w:val="27"/>
          <w:szCs w:val="27"/>
        </w:rPr>
        <w:t>”</w:t>
      </w:r>
      <w:r>
        <w:rPr>
          <w:rFonts w:ascii="Times New Roman" w:hAnsi="Times New Roman" w:cs="Times New Roman"/>
          <w:color w:val="000000"/>
          <w:sz w:val="27"/>
          <w:szCs w:val="27"/>
        </w:rPr>
        <w:t>的原则进行处理</w:t>
      </w:r>
      <w:r>
        <w:rPr>
          <w:rFonts w:ascii="Times New Roman" w:hAnsi="Times New Roman" w:cs="Times New Roman"/>
          <w:color w:val="000000"/>
          <w:sz w:val="27"/>
          <w:szCs w:val="27"/>
        </w:rPr>
        <w:br/>
        <w:t>C.</w:t>
      </w:r>
      <w:r>
        <w:rPr>
          <w:rFonts w:ascii="Times New Roman" w:hAnsi="Times New Roman" w:cs="Times New Roman"/>
          <w:color w:val="000000"/>
          <w:sz w:val="27"/>
          <w:szCs w:val="27"/>
        </w:rPr>
        <w:t>建立生产安全事故发生及处理情况事故的档案</w:t>
      </w:r>
      <w:r>
        <w:rPr>
          <w:rFonts w:ascii="Times New Roman" w:hAnsi="Times New Roman" w:cs="Times New Roman"/>
          <w:color w:val="000000"/>
          <w:sz w:val="27"/>
          <w:szCs w:val="27"/>
        </w:rPr>
        <w:br/>
        <w:t>D.</w:t>
      </w:r>
      <w:r>
        <w:rPr>
          <w:rFonts w:ascii="Times New Roman" w:hAnsi="Times New Roman" w:cs="Times New Roman"/>
          <w:color w:val="000000"/>
          <w:sz w:val="27"/>
          <w:szCs w:val="27"/>
        </w:rPr>
        <w:t>对已发生和未遂事故，对相关责任人进行继续教育</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）是建筑施工企业所有安全规章制度的核心。</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安全检查制度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安全技术交底制度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安全教育制度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安全生产责任制度</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https://d.book118.com/948026120073006043</w:t>
        </w:r>
      </w:hyperlink>
    </w:p>
    <w:p w:rsidR="00623014" w:rsidP="00623014">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25828"/>
    <w:rsid w:val="00623014"/>
    <w:rsid w:val="00925828"/>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301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8026120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5533</Words>
  <Characters>31544</Characters>
  <Application>Microsoft Office Word</Application>
  <DocSecurity>0</DocSecurity>
  <Lines>262</Lines>
  <Paragraphs>74</Paragraphs>
  <ScaleCrop>false</ScaleCrop>
  <Company/>
  <LinksUpToDate>false</LinksUpToDate>
  <CharactersWithSpaces>37003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2024-03-07T16:17:00Z</dcterms:created>
  <dcterms:modified xsi:type="dcterms:W3CDTF">2024-03-07T16:17:00Z</dcterms:modified>
</cp:coreProperties>
</file>