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widowControl w:val="0"/>
        <w:pBdr>
          <w:top w:val="none" w:sz="0" w:space="0" w:color="auto"/>
          <w:left w:val="none" w:sz="0" w:space="0" w:color="auto"/>
          <w:bottom w:val="none" w:sz="0" w:space="0" w:color="auto"/>
          <w:right w:val="none" w:sz="0" w:space="0" w:color="auto"/>
          <w:between w:val="none" w:sz="0" w:space="0" w:color="auto"/>
        </w:pBdr>
        <w:tabs>
          <w:tab w:val="right" w:pos="8312"/>
        </w:tabs>
        <w:spacing w:line="360" w:lineRule="auto"/>
        <w:jc w:val="center"/>
        <w:rPr>
          <w:rFonts w:eastAsia="宋体" w:hAnsi="宋体" w:cs="黑体"/>
          <w:b/>
          <w:color w:val="auto"/>
          <w:sz w:val="44"/>
          <w:szCs w:val="44"/>
        </w:rPr>
      </w:pPr>
      <w:r>
        <w:rPr>
          <w:rFonts w:ascii="Times" w:hAnsi="Times"/>
          <w:sz w:val="48"/>
          <w:szCs w:val="48"/>
        </w:rPr>
        <w:t xml:space="preserve">              </w:t>
      </w:r>
      <w:r>
        <w:rPr>
          <w:rFonts w:eastAsia="宋体" w:hAnsi="宋体" w:cs="黑体"/>
          <w:b/>
          <w:color w:val="auto"/>
          <w:sz w:val="44"/>
          <w:szCs w:val="44"/>
        </w:rPr>
        <w:t xml:space="preserve">         </w:t>
      </w:r>
    </w:p>
    <w:p>
      <w:pPr>
        <w:widowControl w:val="0"/>
        <w:pBdr>
          <w:top w:val="none" w:sz="0" w:space="0" w:color="auto"/>
          <w:left w:val="none" w:sz="0" w:space="0" w:color="auto"/>
          <w:bottom w:val="none" w:sz="0" w:space="0" w:color="auto"/>
          <w:right w:val="none" w:sz="0" w:space="0" w:color="auto"/>
          <w:between w:val="none" w:sz="0" w:space="0" w:color="auto"/>
        </w:pBdr>
        <w:tabs>
          <w:tab w:val="right" w:pos="8312"/>
        </w:tabs>
        <w:spacing w:line="360" w:lineRule="auto"/>
        <w:jc w:val="center"/>
        <w:rPr>
          <w:rFonts w:eastAsia="宋体" w:hAnsi="宋体" w:cs="黑体"/>
          <w:b/>
          <w:color w:val="auto"/>
          <w:sz w:val="44"/>
          <w:szCs w:val="44"/>
        </w:rPr>
      </w:pPr>
      <w:r>
        <w:rPr>
          <w:bCs/>
          <w:szCs w:val="28"/>
        </w:rPr>
        <w:drawing>
          <wp:anchor distT="0" distB="0" distL="114300" distR="114300" simplePos="0" relativeHeight="251658240" behindDoc="0" locked="0" layoutInCell="1" allowOverlap="1">
            <wp:simplePos x="0" y="0"/>
            <wp:positionH relativeFrom="column">
              <wp:posOffset>1178560</wp:posOffset>
            </wp:positionH>
            <wp:positionV relativeFrom="paragraph">
              <wp:posOffset>270510</wp:posOffset>
            </wp:positionV>
            <wp:extent cx="2939415" cy="2466975"/>
            <wp:effectExtent l="19050" t="0" r="0" b="0"/>
            <wp:wrapNone/>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xmlns:r="http://schemas.openxmlformats.org/officeDocument/2006/relationships" r:embed="rId5" cstate="print"/>
                    <a:stretch>
                      <a:fillRect/>
                    </a:stretch>
                  </pic:blipFill>
                  <pic:spPr>
                    <a:xfrm>
                      <a:off x="0" y="0"/>
                      <a:ext cx="2939415" cy="2466975"/>
                    </a:xfrm>
                    <a:prstGeom prst="rect">
                      <a:avLst/>
                    </a:prstGeom>
                    <a:noFill/>
                    <a:ln w="9525">
                      <a:noFill/>
                      <a:miter lim="800000"/>
                      <a:headEnd/>
                      <a:tailEnd/>
                    </a:ln>
                  </pic:spPr>
                </pic:pic>
              </a:graphicData>
            </a:graphic>
          </wp:anchor>
        </w:drawing>
      </w:r>
    </w:p>
    <w:p>
      <w:pPr>
        <w:widowControl w:val="0"/>
        <w:pBdr>
          <w:top w:val="none" w:sz="0" w:space="0" w:color="auto"/>
          <w:left w:val="none" w:sz="0" w:space="0" w:color="auto"/>
          <w:bottom w:val="none" w:sz="0" w:space="0" w:color="auto"/>
          <w:right w:val="none" w:sz="0" w:space="0" w:color="auto"/>
          <w:between w:val="none" w:sz="0" w:space="0" w:color="auto"/>
        </w:pBdr>
        <w:tabs>
          <w:tab w:val="right" w:pos="8312"/>
        </w:tabs>
        <w:spacing w:line="360" w:lineRule="auto"/>
        <w:jc w:val="center"/>
        <w:rPr>
          <w:rFonts w:eastAsia="宋体" w:hAnsi="宋体" w:cs="黑体"/>
          <w:b/>
          <w:color w:val="auto"/>
          <w:sz w:val="44"/>
          <w:szCs w:val="44"/>
        </w:rPr>
      </w:pPr>
    </w:p>
    <w:p>
      <w:pPr>
        <w:widowControl w:val="0"/>
        <w:pBdr>
          <w:top w:val="none" w:sz="0" w:space="0" w:color="auto"/>
          <w:left w:val="none" w:sz="0" w:space="0" w:color="auto"/>
          <w:bottom w:val="none" w:sz="0" w:space="0" w:color="auto"/>
          <w:right w:val="none" w:sz="0" w:space="0" w:color="auto"/>
          <w:between w:val="none" w:sz="0" w:space="0" w:color="auto"/>
        </w:pBdr>
        <w:tabs>
          <w:tab w:val="right" w:pos="8312"/>
        </w:tabs>
        <w:spacing w:line="360" w:lineRule="auto"/>
        <w:jc w:val="center"/>
        <w:rPr>
          <w:rFonts w:eastAsia="宋体" w:hAnsi="宋体" w:cs="黑体"/>
          <w:b/>
          <w:color w:val="auto"/>
          <w:sz w:val="44"/>
          <w:szCs w:val="44"/>
        </w:rPr>
      </w:pPr>
    </w:p>
    <w:p>
      <w:pPr>
        <w:widowControl w:val="0"/>
        <w:pBdr>
          <w:top w:val="none" w:sz="0" w:space="0" w:color="auto"/>
          <w:left w:val="none" w:sz="0" w:space="0" w:color="auto"/>
          <w:bottom w:val="none" w:sz="0" w:space="0" w:color="auto"/>
          <w:right w:val="none" w:sz="0" w:space="0" w:color="auto"/>
          <w:between w:val="none" w:sz="0" w:space="0" w:color="auto"/>
        </w:pBdr>
        <w:tabs>
          <w:tab w:val="right" w:pos="8312"/>
        </w:tabs>
        <w:spacing w:line="360" w:lineRule="auto"/>
        <w:jc w:val="center"/>
        <w:rPr>
          <w:rFonts w:eastAsia="宋体" w:hAnsi="宋体" w:cs="黑体"/>
          <w:b/>
          <w:color w:val="auto"/>
          <w:sz w:val="44"/>
          <w:szCs w:val="44"/>
        </w:rPr>
      </w:pPr>
    </w:p>
    <w:p>
      <w:pPr>
        <w:widowControl w:val="0"/>
        <w:pBdr>
          <w:top w:val="none" w:sz="0" w:space="0" w:color="auto"/>
          <w:left w:val="none" w:sz="0" w:space="0" w:color="auto"/>
          <w:bottom w:val="none" w:sz="0" w:space="0" w:color="auto"/>
          <w:right w:val="none" w:sz="0" w:space="0" w:color="auto"/>
          <w:between w:val="none" w:sz="0" w:space="0" w:color="auto"/>
        </w:pBdr>
        <w:tabs>
          <w:tab w:val="right" w:pos="8312"/>
        </w:tabs>
        <w:spacing w:line="360" w:lineRule="auto"/>
        <w:jc w:val="center"/>
        <w:rPr>
          <w:rFonts w:eastAsia="宋体" w:hAnsi="宋体" w:cs="黑体"/>
          <w:b/>
          <w:color w:val="auto"/>
          <w:sz w:val="44"/>
          <w:szCs w:val="44"/>
        </w:rPr>
      </w:pPr>
    </w:p>
    <w:p>
      <w:pPr>
        <w:widowControl w:val="0"/>
        <w:pBdr>
          <w:top w:val="none" w:sz="0" w:space="0" w:color="auto"/>
          <w:left w:val="none" w:sz="0" w:space="0" w:color="auto"/>
          <w:bottom w:val="none" w:sz="0" w:space="0" w:color="auto"/>
          <w:right w:val="none" w:sz="0" w:space="0" w:color="auto"/>
          <w:between w:val="none" w:sz="0" w:space="0" w:color="auto"/>
        </w:pBdr>
        <w:tabs>
          <w:tab w:val="right" w:pos="8312"/>
        </w:tabs>
        <w:spacing w:line="360" w:lineRule="auto"/>
        <w:jc w:val="center"/>
        <w:rPr>
          <w:rFonts w:eastAsia="宋体" w:hAnsi="宋体" w:cs="黑体"/>
          <w:b/>
          <w:color w:val="auto"/>
          <w:sz w:val="44"/>
          <w:szCs w:val="44"/>
        </w:rPr>
      </w:pPr>
    </w:p>
    <w:p>
      <w:pPr>
        <w:widowControl w:val="0"/>
        <w:pBdr>
          <w:top w:val="none" w:sz="0" w:space="0" w:color="auto"/>
          <w:left w:val="none" w:sz="0" w:space="0" w:color="auto"/>
          <w:bottom w:val="none" w:sz="0" w:space="0" w:color="auto"/>
          <w:right w:val="none" w:sz="0" w:space="0" w:color="auto"/>
          <w:between w:val="none" w:sz="0" w:space="0" w:color="auto"/>
        </w:pBdr>
        <w:tabs>
          <w:tab w:val="right" w:pos="8312"/>
        </w:tabs>
        <w:spacing w:line="360" w:lineRule="auto"/>
        <w:jc w:val="center"/>
        <w:rPr>
          <w:rFonts w:eastAsia="宋体" w:hAnsi="宋体" w:cs="黑体"/>
          <w:b/>
          <w:color w:val="auto"/>
          <w:sz w:val="44"/>
          <w:szCs w:val="44"/>
        </w:rPr>
      </w:pPr>
      <w:r>
        <w:rPr>
          <w:rFonts w:eastAsia="宋体" w:hAnsi="宋体" w:cs="黑体"/>
          <w:b/>
          <w:color w:val="auto"/>
          <w:sz w:val="44"/>
          <w:szCs w:val="44"/>
        </w:rPr>
        <w:t>CNAS-GL***</w:t>
      </w:r>
    </w:p>
    <w:p>
      <w:pPr>
        <w:widowControl w:val="0"/>
        <w:pBdr>
          <w:top w:val="none" w:sz="0" w:space="0" w:color="auto"/>
          <w:left w:val="none" w:sz="0" w:space="0" w:color="auto"/>
          <w:bottom w:val="none" w:sz="0" w:space="0" w:color="auto"/>
          <w:right w:val="none" w:sz="0" w:space="0" w:color="auto"/>
          <w:between w:val="none" w:sz="0" w:space="0" w:color="auto"/>
        </w:pBdr>
        <w:tabs>
          <w:tab w:val="right" w:pos="8312"/>
        </w:tabs>
        <w:spacing w:line="360" w:lineRule="auto"/>
        <w:jc w:val="center"/>
        <w:rPr>
          <w:rFonts w:eastAsia="宋体" w:hAnsi="宋体" w:cs="黑体"/>
          <w:b/>
          <w:color w:val="auto"/>
          <w:sz w:val="44"/>
          <w:szCs w:val="44"/>
        </w:rPr>
      </w:pPr>
      <w:r>
        <w:rPr>
          <w:rFonts w:eastAsia="宋体" w:hAnsi="宋体" w:cs="黑体"/>
          <w:b/>
          <w:color w:val="auto"/>
          <w:sz w:val="44"/>
          <w:szCs w:val="44"/>
        </w:rPr>
        <w:t xml:space="preserve">      </w:t>
      </w:r>
    </w:p>
    <w:p>
      <w:pPr>
        <w:widowControl w:val="0"/>
        <w:pBdr>
          <w:top w:val="none" w:sz="0" w:space="0" w:color="auto"/>
          <w:left w:val="none" w:sz="0" w:space="0" w:color="auto"/>
          <w:bottom w:val="none" w:sz="0" w:space="0" w:color="auto"/>
          <w:right w:val="none" w:sz="0" w:space="0" w:color="auto"/>
          <w:between w:val="none" w:sz="0" w:space="0" w:color="auto"/>
        </w:pBdr>
        <w:tabs>
          <w:tab w:val="right" w:pos="8312"/>
        </w:tabs>
        <w:spacing w:line="360" w:lineRule="auto"/>
        <w:jc w:val="center"/>
        <w:rPr>
          <w:rFonts w:eastAsia="宋体" w:hAnsi="宋体" w:cs="黑体"/>
          <w:b/>
          <w:color w:val="auto"/>
          <w:sz w:val="44"/>
          <w:szCs w:val="44"/>
        </w:rPr>
      </w:pPr>
      <w:r>
        <w:rPr>
          <w:rFonts w:eastAsia="宋体" w:hAnsi="宋体" w:cs="黑体" w:hint="eastAsia"/>
          <w:b/>
          <w:color w:val="auto"/>
          <w:sz w:val="44"/>
          <w:szCs w:val="44"/>
        </w:rPr>
        <w:t>化工产品</w:t>
      </w:r>
      <w:r>
        <w:rPr>
          <w:rFonts w:eastAsia="宋体" w:hAnsi="宋体" w:cs="黑体"/>
          <w:b/>
          <w:color w:val="auto"/>
          <w:sz w:val="44"/>
          <w:szCs w:val="44"/>
        </w:rPr>
        <w:t>热安全</w:t>
      </w:r>
      <w:r>
        <w:rPr>
          <w:rFonts w:eastAsia="宋体" w:hAnsi="宋体" w:cs="黑体" w:hint="eastAsia"/>
          <w:b/>
          <w:color w:val="auto"/>
          <w:sz w:val="44"/>
          <w:szCs w:val="44"/>
        </w:rPr>
        <w:t>检测领域实验室</w:t>
      </w:r>
    </w:p>
    <w:p>
      <w:pPr>
        <w:widowControl w:val="0"/>
        <w:pBdr>
          <w:top w:val="none" w:sz="0" w:space="0" w:color="auto"/>
          <w:left w:val="none" w:sz="0" w:space="0" w:color="auto"/>
          <w:bottom w:val="none" w:sz="0" w:space="0" w:color="auto"/>
          <w:right w:val="none" w:sz="0" w:space="0" w:color="auto"/>
          <w:between w:val="none" w:sz="0" w:space="0" w:color="auto"/>
        </w:pBdr>
        <w:tabs>
          <w:tab w:val="right" w:pos="8312"/>
        </w:tabs>
        <w:spacing w:line="360" w:lineRule="auto"/>
        <w:jc w:val="center"/>
        <w:rPr>
          <w:rFonts w:eastAsia="宋体" w:hAnsi="宋体" w:cs="黑体"/>
          <w:b/>
          <w:color w:val="auto"/>
          <w:sz w:val="44"/>
          <w:szCs w:val="44"/>
        </w:rPr>
      </w:pPr>
      <w:r>
        <w:rPr>
          <w:rFonts w:eastAsia="宋体" w:hAnsi="宋体" w:cs="黑体" w:hint="eastAsia"/>
          <w:b/>
          <w:color w:val="auto"/>
          <w:sz w:val="44"/>
          <w:szCs w:val="44"/>
        </w:rPr>
        <w:t>认可技术指南</w:t>
      </w:r>
    </w:p>
    <w:p>
      <w:pPr>
        <w:widowControl w:val="0"/>
        <w:pBdr>
          <w:top w:val="none" w:sz="0" w:space="0" w:color="auto"/>
          <w:left w:val="none" w:sz="0" w:space="0" w:color="auto"/>
          <w:bottom w:val="none" w:sz="0" w:space="0" w:color="auto"/>
          <w:right w:val="none" w:sz="0" w:space="0" w:color="auto"/>
          <w:between w:val="none" w:sz="0" w:space="0" w:color="auto"/>
        </w:pBdr>
        <w:tabs>
          <w:tab w:val="right" w:pos="8312"/>
        </w:tabs>
        <w:spacing w:line="360" w:lineRule="auto"/>
        <w:jc w:val="center"/>
        <w:rPr>
          <w:rFonts w:eastAsia="宋体" w:hAnsi="宋体" w:cs="黑体"/>
          <w:b/>
          <w:color w:val="auto"/>
          <w:sz w:val="32"/>
          <w:szCs w:val="44"/>
        </w:rPr>
      </w:pPr>
      <w:r>
        <w:rPr>
          <w:rFonts w:eastAsia="宋体" w:hAnsi="宋体" w:cs="黑体" w:hint="eastAsia"/>
          <w:b/>
          <w:color w:val="auto"/>
          <w:sz w:val="32"/>
          <w:szCs w:val="44"/>
        </w:rPr>
        <w:t>（征求意见稿）</w:t>
      </w:r>
    </w:p>
    <w:p>
      <w:pPr>
        <w:pStyle w:val="a0"/>
        <w:spacing w:after="240"/>
        <w:ind w:firstLine="0"/>
        <w:rPr>
          <w:rFonts w:ascii="华文仿宋" w:eastAsia="华文仿宋" w:hAnsi="华文仿宋" w:cs="华文仿宋"/>
          <w:sz w:val="28"/>
          <w:szCs w:val="28"/>
          <w:lang w:val="zh-TW" w:eastAsia="zh-TW"/>
        </w:rPr>
      </w:pPr>
      <w:r>
        <w:rPr>
          <w:rFonts w:ascii="华文仿宋" w:hAnsi="华文仿宋"/>
          <w:sz w:val="28"/>
          <w:szCs w:val="28"/>
          <w:lang w:val="zh-TW" w:eastAsia="zh-TW"/>
        </w:rPr>
        <w:t xml:space="preserve">     </w:t>
      </w:r>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line="360" w:lineRule="auto"/>
        <w:jc w:val="center"/>
        <w:rPr>
          <w:rFonts w:eastAsia="宋体" w:cs="Arial"/>
          <w:b/>
          <w:color w:val="auto"/>
          <w:kern w:val="2"/>
          <w:sz w:val="36"/>
          <w:szCs w:val="36"/>
        </w:rPr>
      </w:pPr>
      <w:r>
        <w:rPr>
          <w:rFonts w:eastAsia="宋体" w:cs="Arial"/>
          <w:b/>
          <w:color w:val="auto"/>
          <w:kern w:val="2"/>
          <w:sz w:val="36"/>
          <w:szCs w:val="36"/>
        </w:rPr>
        <w:t>Technical Guidance for Laboratory Accreditation in The Field of Thermal Safety Testing of Chemical Products</w:t>
      </w:r>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line="360" w:lineRule="auto"/>
        <w:jc w:val="center"/>
        <w:rPr>
          <w:rFonts w:eastAsia="宋体" w:cs="Arial"/>
          <w:b/>
          <w:color w:val="auto"/>
          <w:kern w:val="2"/>
          <w:sz w:val="36"/>
          <w:szCs w:val="36"/>
        </w:rPr>
      </w:pPr>
    </w:p>
    <w:p>
      <w:pPr>
        <w:pStyle w:val="a0"/>
        <w:ind w:firstLine="0"/>
        <w:rPr>
          <w:rFonts w:ascii="Courier" w:eastAsia="Courier" w:hAnsi="Courier" w:cs="Courier"/>
          <w:sz w:val="44"/>
          <w:szCs w:val="44"/>
        </w:rPr>
      </w:pPr>
      <w:r>
        <w:rPr>
          <w:rFonts w:ascii="Arial" w:hAnsi="Arial"/>
          <w:sz w:val="28"/>
          <w:szCs w:val="28"/>
        </w:rPr>
        <w:t xml:space="preserve">                     </w:t>
      </w:r>
      <w:r>
        <w:rPr>
          <w:rFonts w:asciiTheme="minorEastAsia" w:eastAsiaTheme="minorEastAsia" w:hAnsiTheme="minorEastAsia" w:hint="eastAsia"/>
          <w:sz w:val="32"/>
          <w:szCs w:val="32"/>
          <w:lang w:val="zh-TW" w:eastAsia="zh-TW"/>
        </w:rPr>
        <w:t>中国合格评定国家认可委员会</w:t>
      </w:r>
    </w:p>
    <w:p>
      <w:pPr>
        <w:pStyle w:val="a0"/>
        <w:ind w:firstLine="0"/>
        <w:rPr>
          <w:rFonts w:ascii="Courier" w:eastAsia="Courier" w:hAnsi="Courier" w:cs="Courier"/>
          <w:sz w:val="44"/>
          <w:szCs w:val="44"/>
        </w:rPr>
        <w:sectPr>
          <w:footerReference w:type="default" r:id="rId6"/>
          <w:pgSz w:w="11900" w:h="16840"/>
          <w:pgMar w:top="1440" w:right="1800" w:bottom="1440" w:left="1800" w:header="851" w:footer="992" w:gutter="0"/>
          <w:cols w:num="1" w:space="720"/>
          <w:docGrid w:linePitch="286" w:charSpace="0"/>
        </w:sectPr>
      </w:pPr>
    </w:p>
    <w:p>
      <w:pPr>
        <w:spacing w:line="360" w:lineRule="auto"/>
        <w:jc w:val="center"/>
        <w:rPr>
          <w:rFonts w:ascii="Times" w:hAnsi="Times"/>
          <w:sz w:val="32"/>
          <w:szCs w:val="32"/>
          <w:lang w:val="zh-TW" w:eastAsia="zh-TW"/>
        </w:rPr>
      </w:pPr>
      <w:bookmarkStart w:id="0" w:name="_GoBack"/>
      <w:bookmarkEnd w:id="0"/>
    </w:p>
    <w:p>
      <w:pPr>
        <w:spacing w:line="360" w:lineRule="auto"/>
        <w:jc w:val="center"/>
        <w:rPr>
          <w:rFonts w:eastAsia="宋体" w:cs="Times New Roman"/>
          <w:b/>
          <w:color w:val="auto"/>
          <w:kern w:val="2"/>
          <w:sz w:val="36"/>
          <w:szCs w:val="36"/>
        </w:rPr>
      </w:pPr>
      <w:r>
        <w:rPr>
          <w:rFonts w:eastAsia="宋体" w:cs="Times New Roman" w:hint="eastAsia"/>
          <w:b/>
          <w:color w:val="auto"/>
          <w:kern w:val="2"/>
          <w:sz w:val="36"/>
          <w:szCs w:val="36"/>
        </w:rPr>
        <w:t>化工产品</w:t>
      </w:r>
      <w:r>
        <w:rPr>
          <w:rFonts w:eastAsia="宋体" w:cs="Times New Roman"/>
          <w:b/>
          <w:color w:val="auto"/>
          <w:kern w:val="2"/>
          <w:sz w:val="36"/>
          <w:szCs w:val="36"/>
        </w:rPr>
        <w:t>热安全</w:t>
      </w:r>
      <w:r>
        <w:rPr>
          <w:rFonts w:eastAsia="宋体" w:cs="Times New Roman" w:hint="eastAsia"/>
          <w:b/>
          <w:color w:val="auto"/>
          <w:kern w:val="2"/>
          <w:sz w:val="36"/>
          <w:szCs w:val="36"/>
        </w:rPr>
        <w:t>检测领域</w:t>
      </w:r>
      <w:r>
        <w:rPr>
          <w:rFonts w:eastAsia="宋体" w:cs="Times New Roman"/>
          <w:b/>
          <w:color w:val="auto"/>
          <w:kern w:val="2"/>
          <w:sz w:val="36"/>
          <w:szCs w:val="36"/>
        </w:rPr>
        <w:t>实验室认可技术指南</w:t>
      </w:r>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outlineLvl w:val="0"/>
        <w:rPr>
          <w:rFonts w:ascii="黑体" w:eastAsia="黑体" w:cs="Times New Roman"/>
          <w:color w:val="auto"/>
          <w:kern w:val="2"/>
        </w:rPr>
      </w:pPr>
      <w:bookmarkStart w:id="1" w:name="_Toc89875028"/>
      <w:bookmarkStart w:id="2" w:name="_Toc96699191"/>
      <w:r>
        <w:rPr>
          <w:rFonts w:ascii="黑体" w:eastAsia="黑体" w:cs="Times New Roman"/>
          <w:color w:val="auto"/>
          <w:kern w:val="2"/>
        </w:rPr>
        <w:t xml:space="preserve">1 </w:t>
      </w:r>
      <w:r>
        <w:rPr>
          <w:rFonts w:ascii="黑体" w:eastAsia="黑体" w:cs="Times New Roman" w:hint="eastAsia"/>
          <w:color w:val="auto"/>
          <w:kern w:val="2"/>
        </w:rPr>
        <w:t>范围</w:t>
      </w:r>
      <w:bookmarkEnd w:id="1"/>
      <w:bookmarkEnd w:id="2"/>
      <w:r>
        <w:rPr>
          <w:rFonts w:ascii="黑体" w:eastAsia="黑体" w:cs="Times New Roman"/>
          <w:color w:val="auto"/>
          <w:kern w:val="2"/>
        </w:rPr>
        <w:t xml:space="preserve"> </w:t>
      </w:r>
    </w:p>
    <w:p>
      <w:pPr>
        <w:pStyle w:val="a0"/>
        <w:ind w:firstLine="480" w:firstLineChars="200"/>
        <w:jc w:val="both"/>
        <w:rPr>
          <w:rFonts w:eastAsia="宋体" w:cs="Times New Roman"/>
          <w:color w:val="auto"/>
          <w:kern w:val="2"/>
        </w:rPr>
      </w:pPr>
      <w:r>
        <w:rPr>
          <w:rFonts w:eastAsia="宋体" w:cs="Times New Roman" w:hint="eastAsia"/>
          <w:color w:val="auto"/>
          <w:kern w:val="2"/>
        </w:rPr>
        <w:t>本</w:t>
      </w:r>
      <w:r>
        <w:rPr>
          <w:rFonts w:eastAsia="宋体" w:cs="Times New Roman"/>
          <w:color w:val="auto"/>
          <w:kern w:val="2"/>
        </w:rPr>
        <w:t>指南适用于</w:t>
      </w:r>
      <w:r>
        <w:rPr>
          <w:rFonts w:eastAsia="宋体" w:cs="Times New Roman" w:hint="eastAsia"/>
          <w:color w:val="auto"/>
          <w:kern w:val="2"/>
        </w:rPr>
        <w:t>指导化工产品</w:t>
      </w:r>
      <w:r>
        <w:rPr>
          <w:rFonts w:eastAsia="宋体" w:cs="Times New Roman"/>
          <w:color w:val="auto"/>
          <w:kern w:val="2"/>
        </w:rPr>
        <w:t>热安全检测</w:t>
      </w:r>
      <w:r>
        <w:rPr>
          <w:rFonts w:eastAsia="宋体" w:cs="Times New Roman" w:hint="eastAsia"/>
          <w:color w:val="auto"/>
          <w:kern w:val="2"/>
        </w:rPr>
        <w:t>的</w:t>
      </w:r>
      <w:r>
        <w:rPr>
          <w:rFonts w:eastAsia="宋体" w:cs="Times New Roman"/>
          <w:color w:val="auto"/>
          <w:kern w:val="2"/>
        </w:rPr>
        <w:t>实验室</w:t>
      </w:r>
      <w:r>
        <w:rPr>
          <w:rFonts w:eastAsia="宋体" w:cs="Times New Roman" w:hint="eastAsia"/>
          <w:color w:val="auto"/>
          <w:kern w:val="2"/>
        </w:rPr>
        <w:t>（以下</w:t>
      </w:r>
      <w:r>
        <w:rPr>
          <w:rFonts w:eastAsia="宋体" w:cs="Times New Roman"/>
          <w:color w:val="auto"/>
          <w:kern w:val="2"/>
        </w:rPr>
        <w:t>简称实验室</w:t>
      </w:r>
      <w:r>
        <w:rPr>
          <w:rFonts w:eastAsia="宋体" w:cs="Times New Roman" w:hint="eastAsia"/>
          <w:color w:val="auto"/>
          <w:kern w:val="2"/>
        </w:rPr>
        <w:t>）</w:t>
      </w:r>
      <w:r>
        <w:rPr>
          <w:rFonts w:eastAsia="宋体" w:cs="Times New Roman"/>
          <w:color w:val="auto"/>
          <w:kern w:val="2"/>
        </w:rPr>
        <w:t>建立管理体系，</w:t>
      </w:r>
      <w:r>
        <w:rPr>
          <w:rFonts w:eastAsia="宋体" w:cs="Times New Roman" w:hint="eastAsia"/>
          <w:color w:val="auto"/>
          <w:kern w:val="2"/>
        </w:rPr>
        <w:t>供</w:t>
      </w:r>
      <w:r>
        <w:rPr>
          <w:rFonts w:eastAsia="宋体" w:cs="Times New Roman"/>
          <w:color w:val="auto"/>
          <w:kern w:val="2"/>
        </w:rPr>
        <w:t>拟申请认可及已获认可的实验室规范其</w:t>
      </w:r>
      <w:r>
        <w:rPr>
          <w:rFonts w:eastAsia="宋体" w:cs="Times New Roman" w:hint="eastAsia"/>
          <w:color w:val="auto"/>
          <w:kern w:val="2"/>
        </w:rPr>
        <w:t>质量</w:t>
      </w:r>
      <w:r>
        <w:rPr>
          <w:rFonts w:eastAsia="宋体" w:cs="Times New Roman"/>
          <w:color w:val="auto"/>
          <w:kern w:val="2"/>
        </w:rPr>
        <w:t>和技术</w:t>
      </w:r>
      <w:r>
        <w:rPr>
          <w:rFonts w:eastAsia="宋体" w:cs="Times New Roman" w:hint="eastAsia"/>
          <w:color w:val="auto"/>
          <w:kern w:val="2"/>
        </w:rPr>
        <w:t>活动</w:t>
      </w:r>
      <w:r>
        <w:rPr>
          <w:rFonts w:eastAsia="宋体" w:cs="Times New Roman"/>
          <w:color w:val="auto"/>
          <w:kern w:val="2"/>
        </w:rPr>
        <w:t>，也可供评审员在评审过程中</w:t>
      </w:r>
      <w:r>
        <w:rPr>
          <w:rFonts w:eastAsia="宋体" w:cs="Times New Roman" w:hint="eastAsia"/>
          <w:color w:val="auto"/>
          <w:kern w:val="2"/>
        </w:rPr>
        <w:t>参考</w:t>
      </w:r>
      <w:r>
        <w:rPr>
          <w:rFonts w:eastAsia="宋体" w:cs="Times New Roman"/>
          <w:color w:val="auto"/>
          <w:kern w:val="2"/>
        </w:rPr>
        <w:t>使用</w:t>
      </w:r>
      <w:r>
        <w:rPr>
          <w:rFonts w:eastAsia="宋体" w:cs="Times New Roman" w:hint="eastAsia"/>
          <w:color w:val="auto"/>
          <w:kern w:val="2"/>
        </w:rPr>
        <w:t>。</w:t>
      </w:r>
    </w:p>
    <w:p>
      <w:pPr>
        <w:spacing w:before="120" w:beforeLines="50" w:after="120" w:afterLines="50" w:line="360" w:lineRule="auto"/>
        <w:ind w:firstLine="6"/>
        <w:outlineLvl w:val="0"/>
        <w:rPr>
          <w:rFonts w:ascii="黑体" w:eastAsia="黑体"/>
        </w:rPr>
      </w:pPr>
      <w:bookmarkStart w:id="3" w:name="_Toc96699192"/>
      <w:bookmarkStart w:id="4" w:name="_Toc89875029"/>
      <w:r>
        <w:rPr>
          <w:rFonts w:ascii="黑体" w:eastAsia="黑体" w:hint="eastAsia"/>
        </w:rPr>
        <w:t>2 规范性引用文件</w:t>
      </w:r>
      <w:bookmarkEnd w:id="3"/>
      <w:bookmarkEnd w:id="4"/>
    </w:p>
    <w:p>
      <w:pPr>
        <w:adjustRightInd w:val="0"/>
        <w:snapToGrid w:val="0"/>
        <w:spacing w:line="360" w:lineRule="auto"/>
        <w:ind w:firstLine="480" w:firstLineChars="200"/>
        <w:jc w:val="both"/>
        <w:rPr>
          <w:rFonts w:eastAsia="宋体" w:cs="Times New Roman"/>
        </w:rPr>
      </w:pPr>
      <w:r>
        <w:rPr>
          <w:rFonts w:eastAsia="宋体" w:cs="Times New Roman" w:hint="eastAsia"/>
        </w:rPr>
        <w:t>下列文件对于本文件的应用是必不可少的。凡是注日期的引用文件，仅所注日期的版本适用于本文件。凡是不注日期的引用文件，其最新版本（包括所有的修改单）适用于本文件。</w:t>
      </w:r>
    </w:p>
    <w:p>
      <w:pPr>
        <w:spacing w:line="360" w:lineRule="auto"/>
        <w:jc w:val="both"/>
        <w:rPr>
          <w:rFonts w:eastAsia="宋体" w:cs="Times New Roman"/>
        </w:rPr>
      </w:pPr>
      <w:r>
        <w:rPr>
          <w:rFonts w:eastAsia="宋体" w:cs="Times New Roman"/>
        </w:rPr>
        <w:t>CNAS-CL01:2018《检测和校准实验室能力认可准则》</w:t>
      </w:r>
    </w:p>
    <w:p>
      <w:pPr>
        <w:spacing w:line="360" w:lineRule="auto"/>
        <w:jc w:val="both"/>
        <w:rPr>
          <w:rFonts w:eastAsia="宋体" w:cs="Times New Roman"/>
        </w:rPr>
      </w:pPr>
      <w:r>
        <w:rPr>
          <w:rFonts w:eastAsia="宋体" w:cs="Times New Roman"/>
        </w:rPr>
        <w:t>CNAS-CL01-A002:20</w:t>
      </w:r>
      <w:r>
        <w:rPr>
          <w:rFonts w:eastAsia="宋体" w:cs="Times New Roman" w:hint="eastAsia"/>
        </w:rPr>
        <w:t>20</w:t>
      </w:r>
      <w:r>
        <w:rPr>
          <w:rFonts w:eastAsia="宋体" w:cs="Times New Roman"/>
        </w:rPr>
        <w:t>《检测和校准实验室能力认可准则在化学检测领域的应用说明》</w:t>
      </w:r>
    </w:p>
    <w:p>
      <w:pPr>
        <w:spacing w:line="360" w:lineRule="auto"/>
        <w:rPr>
          <w:rFonts w:eastAsia="宋体" w:cs="Times New Roman"/>
        </w:rPr>
      </w:pPr>
      <w:r>
        <w:rPr>
          <w:rFonts w:eastAsia="宋体" w:cs="Times New Roman" w:hint="eastAsia"/>
        </w:rPr>
        <w:t>CNAS-RL01《实验室</w:t>
      </w:r>
      <w:r>
        <w:rPr>
          <w:rFonts w:eastAsia="宋体" w:cs="Times New Roman"/>
        </w:rPr>
        <w:t>认可规则</w:t>
      </w:r>
      <w:r>
        <w:rPr>
          <w:rFonts w:eastAsia="宋体" w:cs="Times New Roman" w:hint="eastAsia"/>
        </w:rPr>
        <w:t>》</w:t>
      </w:r>
    </w:p>
    <w:p>
      <w:pPr>
        <w:spacing w:line="360" w:lineRule="auto"/>
        <w:rPr>
          <w:rFonts w:eastAsia="宋体" w:cs="Times New Roman"/>
        </w:rPr>
      </w:pPr>
      <w:r>
        <w:rPr>
          <w:rFonts w:eastAsia="宋体" w:cs="Times New Roman" w:hint="eastAsia"/>
        </w:rPr>
        <w:t>GB  51283《精细化工企业工程设计防火标准》</w:t>
      </w:r>
    </w:p>
    <w:p>
      <w:pPr>
        <w:spacing w:line="360" w:lineRule="auto"/>
        <w:rPr>
          <w:rFonts w:eastAsia="宋体" w:cs="Times New Roman"/>
        </w:rPr>
      </w:pPr>
      <w:r>
        <w:rPr>
          <w:rFonts w:eastAsia="宋体" w:cs="Times New Roman" w:hint="eastAsia"/>
        </w:rPr>
        <w:t>GB/T  22232《化学物质的热稳定性测定 差示扫描量热法》</w:t>
      </w:r>
    </w:p>
    <w:p>
      <w:pPr>
        <w:spacing w:line="360" w:lineRule="auto"/>
        <w:rPr>
          <w:rFonts w:eastAsia="宋体" w:cs="Times New Roman"/>
        </w:rPr>
      </w:pPr>
      <w:r>
        <w:rPr>
          <w:rFonts w:eastAsia="宋体" w:cs="Times New Roman" w:hint="eastAsia"/>
        </w:rPr>
        <w:t>GB</w:t>
      </w:r>
      <w:r>
        <w:rPr>
          <w:rFonts w:eastAsia="宋体" w:cs="Times New Roman"/>
        </w:rPr>
        <w:t>/</w:t>
      </w:r>
      <w:r>
        <w:rPr>
          <w:rFonts w:eastAsia="宋体" w:cs="Times New Roman" w:hint="eastAsia"/>
        </w:rPr>
        <w:t>T  27476.5《检测实验室安全 第5部分化学因素》</w:t>
      </w:r>
    </w:p>
    <w:p>
      <w:pPr>
        <w:spacing w:line="360" w:lineRule="auto"/>
        <w:rPr>
          <w:rFonts w:eastAsia="宋体" w:cs="Times New Roman"/>
        </w:rPr>
      </w:pPr>
      <w:r>
        <w:rPr>
          <w:rFonts w:eastAsia="宋体" w:cs="Times New Roman" w:hint="eastAsia"/>
        </w:rPr>
        <w:t>SN</w:t>
      </w:r>
      <w:r>
        <w:rPr>
          <w:rFonts w:eastAsia="宋体" w:cs="Times New Roman"/>
        </w:rPr>
        <w:t>/</w:t>
      </w:r>
      <w:r>
        <w:rPr>
          <w:rFonts w:eastAsia="宋体" w:cs="Times New Roman" w:hint="eastAsia"/>
        </w:rPr>
        <w:t>T  3078.1《化学品热稳定性的评价指南 第1部分加速量热仪法》</w:t>
      </w:r>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outlineLvl w:val="0"/>
        <w:rPr>
          <w:rFonts w:ascii="黑体" w:eastAsia="黑体" w:cs="Times New Roman"/>
          <w:color w:val="auto"/>
          <w:kern w:val="2"/>
        </w:rPr>
      </w:pPr>
      <w:bookmarkStart w:id="5" w:name="_Toc96699193"/>
      <w:bookmarkStart w:id="6" w:name="_Toc89875030"/>
      <w:r>
        <w:rPr>
          <w:rFonts w:ascii="黑体" w:eastAsia="黑体" w:cs="Times New Roman"/>
          <w:color w:val="auto"/>
          <w:kern w:val="2"/>
        </w:rPr>
        <w:t xml:space="preserve">3 </w:t>
      </w:r>
      <w:r>
        <w:rPr>
          <w:rFonts w:ascii="黑体" w:eastAsia="黑体" w:cs="Times New Roman" w:hint="eastAsia"/>
          <w:color w:val="auto"/>
          <w:kern w:val="2"/>
        </w:rPr>
        <w:t>术语和定义</w:t>
      </w:r>
      <w:bookmarkEnd w:id="5"/>
      <w:bookmarkEnd w:id="6"/>
    </w:p>
    <w:p>
      <w:pPr>
        <w:spacing w:line="360" w:lineRule="auto"/>
        <w:rPr>
          <w:rFonts w:eastAsia="黑体" w:cs="Times New Roman"/>
          <w:color w:val="auto"/>
          <w:kern w:val="2"/>
        </w:rPr>
      </w:pPr>
      <w:r>
        <w:rPr>
          <w:rFonts w:ascii="黑体" w:eastAsia="黑体" w:cs="Times New Roman" w:hint="eastAsia"/>
          <w:color w:val="auto"/>
          <w:kern w:val="2"/>
        </w:rPr>
        <w:t>3.1</w:t>
      </w:r>
      <w:r>
        <w:rPr>
          <w:rFonts w:ascii="黑体" w:eastAsia="黑体" w:cs="Times New Roman"/>
          <w:color w:val="auto"/>
          <w:kern w:val="2"/>
        </w:rPr>
        <w:t xml:space="preserve"> 热安全检测</w:t>
      </w:r>
      <w:r>
        <w:rPr>
          <w:rFonts w:ascii="黑体" w:eastAsia="黑体" w:cs="Times New Roman" w:hint="eastAsia"/>
          <w:color w:val="auto"/>
          <w:kern w:val="2"/>
        </w:rPr>
        <w:t xml:space="preserve"> </w:t>
      </w:r>
      <w:r>
        <w:rPr>
          <w:rFonts w:eastAsia="黑体" w:cs="Times New Roman" w:hint="eastAsia"/>
          <w:color w:val="auto"/>
          <w:kern w:val="2"/>
        </w:rPr>
        <w:t>T</w:t>
      </w:r>
      <w:r>
        <w:rPr>
          <w:rFonts w:eastAsia="黑体" w:cs="Times New Roman"/>
          <w:color w:val="auto"/>
          <w:kern w:val="2"/>
        </w:rPr>
        <w:t>hermal safety test</w:t>
      </w:r>
    </w:p>
    <w:p>
      <w:pPr>
        <w:spacing w:line="360" w:lineRule="auto"/>
        <w:ind w:firstLine="480" w:firstLineChars="200"/>
        <w:jc w:val="both"/>
        <w:rPr>
          <w:rFonts w:eastAsia="宋体" w:cs="Times New Roman"/>
        </w:rPr>
      </w:pPr>
      <w:r>
        <w:rPr>
          <w:rFonts w:eastAsia="宋体" w:cs="Times New Roman" w:hint="eastAsia"/>
        </w:rPr>
        <w:t>按照程序</w:t>
      </w:r>
      <w:r>
        <w:rPr>
          <w:rFonts w:eastAsia="宋体" w:cs="Times New Roman"/>
        </w:rPr>
        <w:t>确定</w:t>
      </w:r>
      <w:r>
        <w:rPr>
          <w:rFonts w:eastAsia="宋体" w:cs="Times New Roman" w:hint="eastAsia"/>
        </w:rPr>
        <w:t>各类</w:t>
      </w:r>
      <w:r>
        <w:rPr>
          <w:rFonts w:eastAsia="宋体" w:cs="Times New Roman"/>
        </w:rPr>
        <w:t>化工产品的</w:t>
      </w:r>
      <w:r>
        <w:rPr>
          <w:rFonts w:eastAsia="宋体" w:cs="Times New Roman" w:hint="eastAsia"/>
        </w:rPr>
        <w:t>一个</w:t>
      </w:r>
      <w:r>
        <w:rPr>
          <w:rFonts w:eastAsia="宋体" w:cs="Times New Roman"/>
        </w:rPr>
        <w:t>或多个</w:t>
      </w:r>
      <w:r>
        <w:rPr>
          <w:rFonts w:eastAsia="宋体" w:cs="Times New Roman" w:hint="eastAsia"/>
        </w:rPr>
        <w:t>热安全特性的活动，一般</w:t>
      </w:r>
      <w:r>
        <w:rPr>
          <w:rFonts w:eastAsia="宋体" w:cs="Times New Roman"/>
        </w:rPr>
        <w:t>包括合成原料、中间</w:t>
      </w:r>
      <w:r>
        <w:rPr>
          <w:rFonts w:eastAsia="宋体" w:cs="Times New Roman" w:hint="eastAsia"/>
        </w:rPr>
        <w:t>产品</w:t>
      </w:r>
      <w:r>
        <w:rPr>
          <w:rFonts w:eastAsia="宋体" w:cs="Times New Roman"/>
        </w:rPr>
        <w:t>、</w:t>
      </w:r>
      <w:r>
        <w:rPr>
          <w:rFonts w:eastAsia="宋体" w:cs="Times New Roman" w:hint="eastAsia"/>
        </w:rPr>
        <w:t>产品</w:t>
      </w:r>
      <w:r>
        <w:rPr>
          <w:rFonts w:eastAsia="宋体" w:cs="Times New Roman"/>
        </w:rPr>
        <w:t>、副产物和</w:t>
      </w:r>
      <w:r>
        <w:rPr>
          <w:rFonts w:eastAsia="宋体" w:cs="Times New Roman" w:hint="eastAsia"/>
        </w:rPr>
        <w:t>废弃物</w:t>
      </w:r>
      <w:r>
        <w:rPr>
          <w:rFonts w:eastAsia="宋体" w:cs="Times New Roman"/>
        </w:rPr>
        <w:t>的热稳定性</w:t>
      </w:r>
      <w:r>
        <w:rPr>
          <w:rFonts w:eastAsia="宋体" w:cs="Times New Roman" w:hint="eastAsia"/>
        </w:rPr>
        <w:t>检测</w:t>
      </w:r>
      <w:r>
        <w:rPr>
          <w:rFonts w:eastAsia="宋体" w:cs="Times New Roman"/>
        </w:rPr>
        <w:t>，以及化学反应的热</w:t>
      </w:r>
      <w:r>
        <w:rPr>
          <w:rFonts w:eastAsia="宋体" w:cs="Times New Roman" w:hint="eastAsia"/>
        </w:rPr>
        <w:t>安全性</w:t>
      </w:r>
      <w:r>
        <w:rPr>
          <w:rFonts w:eastAsia="宋体" w:cs="Times New Roman"/>
        </w:rPr>
        <w:t>检测。</w:t>
      </w:r>
    </w:p>
    <w:p>
      <w:pPr>
        <w:spacing w:line="360" w:lineRule="auto"/>
        <w:rPr>
          <w:rFonts w:eastAsia="黑体" w:cs="Times New Roman"/>
          <w:color w:val="auto"/>
          <w:kern w:val="2"/>
        </w:rPr>
      </w:pPr>
      <w:r>
        <w:rPr>
          <w:rFonts w:ascii="黑体" w:eastAsia="黑体" w:cs="Times New Roman" w:hint="eastAsia"/>
          <w:color w:val="auto"/>
          <w:kern w:val="2"/>
        </w:rPr>
        <w:t>3.2化学</w:t>
      </w:r>
      <w:r>
        <w:rPr>
          <w:rFonts w:ascii="黑体" w:eastAsia="黑体" w:cs="Times New Roman"/>
          <w:color w:val="auto"/>
          <w:kern w:val="2"/>
        </w:rPr>
        <w:t>物质热</w:t>
      </w:r>
      <w:r>
        <w:rPr>
          <w:rFonts w:ascii="黑体" w:eastAsia="黑体" w:cs="Times New Roman" w:hint="eastAsia"/>
          <w:color w:val="auto"/>
          <w:kern w:val="2"/>
        </w:rPr>
        <w:t xml:space="preserve">稳定性 </w:t>
      </w:r>
      <w:r>
        <w:rPr>
          <w:rFonts w:eastAsia="黑体" w:cs="Times New Roman" w:hint="eastAsia"/>
          <w:color w:val="auto"/>
          <w:kern w:val="2"/>
        </w:rPr>
        <w:t>T</w:t>
      </w:r>
      <w:r>
        <w:rPr>
          <w:rFonts w:eastAsia="黑体" w:cs="Times New Roman"/>
          <w:color w:val="auto"/>
          <w:kern w:val="2"/>
        </w:rPr>
        <w:t>hermal stability of chemical material</w:t>
      </w:r>
    </w:p>
    <w:p>
      <w:pPr>
        <w:spacing w:line="360" w:lineRule="auto"/>
        <w:ind w:firstLine="480" w:firstLineChars="200"/>
        <w:jc w:val="both"/>
        <w:rPr>
          <w:rFonts w:eastAsia="宋体" w:cs="Times New Roman"/>
        </w:rPr>
      </w:pPr>
      <w:r>
        <w:rPr>
          <w:rFonts w:eastAsia="宋体" w:cs="Times New Roman" w:hint="eastAsia"/>
        </w:rPr>
        <w:t>在一定</w:t>
      </w:r>
      <w:r>
        <w:rPr>
          <w:rFonts w:eastAsia="宋体" w:cs="Times New Roman"/>
        </w:rPr>
        <w:t>条件下，</w:t>
      </w:r>
      <w:r>
        <w:rPr>
          <w:rFonts w:eastAsia="宋体" w:cs="Times New Roman" w:hint="eastAsia"/>
        </w:rPr>
        <w:t>确定</w:t>
      </w:r>
      <w:r>
        <w:rPr>
          <w:rFonts w:eastAsia="宋体" w:cs="Times New Roman"/>
        </w:rPr>
        <w:t>化工产品的原料、中间</w:t>
      </w:r>
      <w:r>
        <w:rPr>
          <w:rFonts w:eastAsia="宋体" w:cs="Times New Roman" w:hint="eastAsia"/>
        </w:rPr>
        <w:t>产品</w:t>
      </w:r>
      <w:r>
        <w:rPr>
          <w:rFonts w:eastAsia="宋体" w:cs="Times New Roman"/>
        </w:rPr>
        <w:t>、</w:t>
      </w:r>
      <w:r>
        <w:rPr>
          <w:rFonts w:eastAsia="宋体" w:cs="Times New Roman" w:hint="eastAsia"/>
        </w:rPr>
        <w:t>产品</w:t>
      </w:r>
      <w:r>
        <w:rPr>
          <w:rFonts w:eastAsia="宋体" w:cs="Times New Roman"/>
        </w:rPr>
        <w:t>、副产物和</w:t>
      </w:r>
      <w:r>
        <w:rPr>
          <w:rFonts w:eastAsia="宋体" w:cs="Times New Roman" w:hint="eastAsia"/>
        </w:rPr>
        <w:t>废弃物等化学</w:t>
      </w:r>
      <w:r>
        <w:rPr>
          <w:rFonts w:eastAsia="宋体" w:cs="Times New Roman"/>
        </w:rPr>
        <w:t>物质</w:t>
      </w:r>
      <w:r>
        <w:rPr>
          <w:rFonts w:eastAsia="宋体" w:cs="Times New Roman" w:hint="eastAsia"/>
        </w:rPr>
        <w:t>是否</w:t>
      </w:r>
      <w:r>
        <w:rPr>
          <w:rFonts w:eastAsia="宋体" w:cs="Times New Roman"/>
        </w:rPr>
        <w:t>发生吸热或放热的任何变化。</w:t>
      </w:r>
      <w:r>
        <w:rPr>
          <w:rFonts w:eastAsia="宋体" w:cs="Times New Roman" w:hint="eastAsia"/>
        </w:rPr>
        <w:t>一般</w:t>
      </w:r>
      <w:r>
        <w:rPr>
          <w:rFonts w:eastAsia="宋体" w:cs="Times New Roman"/>
        </w:rPr>
        <w:t>包括</w:t>
      </w:r>
      <w:r>
        <w:rPr>
          <w:rFonts w:eastAsia="宋体" w:cs="Times New Roman" w:hint="eastAsia"/>
        </w:rPr>
        <w:t>起始放热温度、反应热、</w:t>
      </w:r>
      <w:r>
        <w:rPr>
          <w:rFonts w:eastAsia="宋体" w:cs="Times New Roman"/>
        </w:rPr>
        <w:t>绝热温升、</w:t>
      </w:r>
      <w:r>
        <w:rPr>
          <w:rFonts w:eastAsia="宋体" w:cs="Times New Roman" w:hint="eastAsia"/>
        </w:rPr>
        <w:t>绝热</w:t>
      </w:r>
      <w:r>
        <w:rPr>
          <w:rFonts w:eastAsia="宋体" w:cs="Times New Roman"/>
        </w:rPr>
        <w:t>条件</w:t>
      </w:r>
      <w:r>
        <w:rPr>
          <w:rFonts w:eastAsia="宋体" w:cs="Times New Roman" w:hint="eastAsia"/>
        </w:rPr>
        <w:t>下</w:t>
      </w:r>
      <w:r>
        <w:rPr>
          <w:rFonts w:eastAsia="宋体" w:cs="Times New Roman"/>
        </w:rPr>
        <w:t>的最大反应速率达到时间</w:t>
      </w:r>
      <w:r>
        <w:rPr>
          <w:rFonts w:eastAsia="宋体" w:cs="Times New Roman" w:hint="eastAsia"/>
        </w:rPr>
        <w:t>等热稳定性</w:t>
      </w:r>
      <w:r>
        <w:rPr>
          <w:rFonts w:eastAsia="宋体" w:cs="Times New Roman"/>
        </w:rPr>
        <w:t>参数</w:t>
      </w:r>
      <w:r>
        <w:rPr>
          <w:rFonts w:eastAsia="宋体" w:cs="Times New Roman" w:hint="eastAsia"/>
        </w:rPr>
        <w:t>检测</w:t>
      </w:r>
      <w:r>
        <w:rPr>
          <w:rFonts w:eastAsia="宋体" w:cs="Times New Roman"/>
        </w:rPr>
        <w:t>。</w:t>
      </w:r>
    </w:p>
    <w:p>
      <w:pPr>
        <w:spacing w:line="360" w:lineRule="auto"/>
        <w:rPr>
          <w:rFonts w:eastAsia="黑体" w:cs="Times New Roman"/>
          <w:color w:val="auto"/>
          <w:kern w:val="2"/>
        </w:rPr>
        <w:sectPr>
          <w:footerReference w:type="default" r:id="rId7"/>
          <w:type w:val="nextPage"/>
          <w:pgSz w:w="11900" w:h="16840"/>
          <w:pgMar w:top="1440" w:right="1800" w:bottom="1440" w:left="1800" w:header="851" w:footer="992" w:gutter="0"/>
          <w:pgNumType w:start="2"/>
          <w:cols w:num="1" w:space="720"/>
          <w:titlePg w:val="0"/>
          <w:docGrid w:linePitch="286" w:charSpace="0"/>
        </w:sectPr>
      </w:pPr>
      <w:r>
        <w:rPr>
          <w:rFonts w:ascii="黑体" w:eastAsia="黑体" w:cs="Times New Roman"/>
          <w:color w:val="auto"/>
          <w:kern w:val="2"/>
        </w:rPr>
        <w:t>3.</w:t>
      </w:r>
      <w:r>
        <w:rPr>
          <w:rFonts w:ascii="黑体" w:eastAsia="黑体" w:cs="Times New Roman" w:hint="eastAsia"/>
          <w:color w:val="auto"/>
          <w:kern w:val="2"/>
        </w:rPr>
        <w:t>3</w:t>
      </w:r>
      <w:r>
        <w:rPr>
          <w:rFonts w:ascii="黑体" w:eastAsia="黑体" w:cs="Times New Roman"/>
          <w:color w:val="auto"/>
          <w:kern w:val="2"/>
        </w:rPr>
        <w:t xml:space="preserve"> </w:t>
      </w:r>
      <w:r>
        <w:rPr>
          <w:rFonts w:ascii="黑体" w:eastAsia="黑体" w:cs="Times New Roman" w:hint="eastAsia"/>
          <w:color w:val="auto"/>
          <w:kern w:val="2"/>
        </w:rPr>
        <w:t>化学</w:t>
      </w:r>
      <w:r>
        <w:rPr>
          <w:rFonts w:ascii="黑体" w:eastAsia="黑体" w:cs="Times New Roman"/>
          <w:color w:val="auto"/>
          <w:kern w:val="2"/>
        </w:rPr>
        <w:t>反应热安全</w:t>
      </w:r>
      <w:r>
        <w:rPr>
          <w:rFonts w:ascii="黑体" w:eastAsia="黑体" w:cs="Times New Roman" w:hint="eastAsia"/>
          <w:color w:val="auto"/>
          <w:kern w:val="2"/>
        </w:rPr>
        <w:t>性</w:t>
      </w:r>
      <w:r>
        <w:rPr>
          <w:rFonts w:ascii="黑体" w:eastAsia="黑体" w:cs="Times New Roman"/>
          <w:color w:val="auto"/>
          <w:kern w:val="2"/>
        </w:rPr>
        <w:t xml:space="preserve"> </w:t>
      </w:r>
      <w:r>
        <w:rPr>
          <w:rFonts w:eastAsia="黑体" w:cs="Times New Roman" w:hint="eastAsia"/>
          <w:color w:val="auto"/>
          <w:kern w:val="2"/>
        </w:rPr>
        <w:t>T</w:t>
      </w:r>
      <w:r>
        <w:rPr>
          <w:rFonts w:eastAsia="黑体" w:cs="Times New Roman"/>
          <w:color w:val="auto"/>
          <w:kern w:val="2"/>
        </w:rPr>
        <w:t>hermal safety of chemical reaction</w:t>
      </w:r>
    </w:p>
    <w:p>
      <w:pPr>
        <w:spacing w:line="360" w:lineRule="auto"/>
        <w:ind w:firstLine="480" w:firstLineChars="200"/>
        <w:jc w:val="both"/>
        <w:rPr>
          <w:rFonts w:eastAsia="宋体" w:cs="Times New Roman"/>
        </w:rPr>
      </w:pPr>
      <w:r>
        <w:rPr>
          <w:rFonts w:eastAsia="宋体" w:cs="Times New Roman" w:hint="eastAsia"/>
        </w:rPr>
        <w:t>在一定</w:t>
      </w:r>
      <w:r>
        <w:rPr>
          <w:rFonts w:eastAsia="宋体" w:cs="Times New Roman"/>
        </w:rPr>
        <w:t>条件下，</w:t>
      </w:r>
      <w:r>
        <w:rPr>
          <w:rFonts w:eastAsia="宋体" w:cs="Times New Roman" w:hint="eastAsia"/>
        </w:rPr>
        <w:t>确定</w:t>
      </w:r>
      <w:r>
        <w:rPr>
          <w:rFonts w:eastAsia="宋体" w:cs="Times New Roman"/>
        </w:rPr>
        <w:t>合成化工产品的化学反应是否因</w:t>
      </w:r>
      <w:r>
        <w:rPr>
          <w:rFonts w:eastAsia="宋体" w:cs="Times New Roman" w:hint="eastAsia"/>
        </w:rPr>
        <w:t>反应体系的</w:t>
      </w:r>
      <w:r>
        <w:rPr>
          <w:rFonts w:eastAsia="宋体" w:cs="Times New Roman"/>
        </w:rPr>
        <w:t>热平衡被打破而使</w:t>
      </w:r>
      <w:r>
        <w:rPr>
          <w:rFonts w:eastAsia="宋体" w:cs="Times New Roman" w:hint="eastAsia"/>
        </w:rPr>
        <w:t>温度</w:t>
      </w:r>
      <w:r>
        <w:rPr>
          <w:rFonts w:eastAsia="宋体" w:cs="Times New Roman"/>
        </w:rPr>
        <w:t>升高。一般</w:t>
      </w:r>
      <w:r>
        <w:rPr>
          <w:rFonts w:eastAsia="宋体" w:cs="Times New Roman" w:hint="eastAsia"/>
        </w:rPr>
        <w:t>包括反应</w:t>
      </w:r>
      <w:r>
        <w:rPr>
          <w:rFonts w:eastAsia="宋体" w:cs="Times New Roman"/>
        </w:rPr>
        <w:t>热、反应体系比热容</w:t>
      </w:r>
      <w:r>
        <w:rPr>
          <w:rFonts w:eastAsia="宋体" w:cs="Times New Roman" w:hint="eastAsia"/>
        </w:rPr>
        <w:t>和</w:t>
      </w:r>
      <w:r>
        <w:rPr>
          <w:rFonts w:eastAsia="宋体" w:cs="Times New Roman"/>
        </w:rPr>
        <w:t>最大热累积度等</w:t>
      </w:r>
      <w:r>
        <w:rPr>
          <w:rFonts w:eastAsia="宋体" w:cs="Times New Roman" w:hint="eastAsia"/>
        </w:rPr>
        <w:t>热安全性参数检测</w:t>
      </w:r>
      <w:r>
        <w:rPr>
          <w:rFonts w:eastAsia="宋体" w:cs="Times New Roman"/>
        </w:rPr>
        <w:t>。</w:t>
      </w:r>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rPr>
          <w:rFonts w:ascii="黑体" w:eastAsia="黑体" w:cs="Times New Roman"/>
          <w:color w:val="auto"/>
          <w:kern w:val="2"/>
        </w:rPr>
      </w:pPr>
      <w:bookmarkStart w:id="7" w:name="_Toc89875032"/>
      <w:r>
        <w:rPr>
          <w:rFonts w:ascii="黑体" w:eastAsia="黑体" w:cs="Times New Roman"/>
          <w:color w:val="auto"/>
          <w:kern w:val="2"/>
        </w:rPr>
        <w:t xml:space="preserve">4 </w:t>
      </w:r>
      <w:r>
        <w:rPr>
          <w:rFonts w:ascii="黑体" w:eastAsia="黑体" w:cs="Times New Roman" w:hint="eastAsia"/>
          <w:color w:val="auto"/>
          <w:kern w:val="2"/>
        </w:rPr>
        <w:t>通用要求</w:t>
      </w:r>
      <w:bookmarkEnd w:id="7"/>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rPr>
          <w:rFonts w:ascii="黑体" w:eastAsia="黑体" w:cs="Times New Roman"/>
          <w:color w:val="auto"/>
          <w:kern w:val="2"/>
        </w:rPr>
      </w:pPr>
      <w:bookmarkStart w:id="8" w:name="_Toc89875033"/>
      <w:r>
        <w:rPr>
          <w:rFonts w:ascii="黑体" w:eastAsia="黑体" w:cs="Times New Roman"/>
          <w:color w:val="auto"/>
          <w:kern w:val="2"/>
        </w:rPr>
        <w:t xml:space="preserve">5 </w:t>
      </w:r>
      <w:r>
        <w:rPr>
          <w:rFonts w:ascii="黑体" w:eastAsia="黑体" w:cs="Times New Roman" w:hint="eastAsia"/>
          <w:color w:val="auto"/>
          <w:kern w:val="2"/>
        </w:rPr>
        <w:t>结构要求</w:t>
      </w:r>
      <w:bookmarkEnd w:id="8"/>
      <w:r>
        <w:rPr>
          <w:rFonts w:ascii="黑体" w:eastAsia="黑体" w:cs="Times New Roman"/>
          <w:color w:val="auto"/>
          <w:kern w:val="2"/>
        </w:rPr>
        <w:t xml:space="preserve"> </w:t>
      </w:r>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rPr>
          <w:rFonts w:ascii="黑体" w:eastAsia="黑体" w:cs="Times New Roman"/>
          <w:color w:val="auto"/>
          <w:kern w:val="2"/>
        </w:rPr>
      </w:pPr>
      <w:r>
        <w:rPr>
          <w:rFonts w:ascii="黑体" w:eastAsia="黑体" w:cs="Times New Roman" w:hint="eastAsia"/>
          <w:color w:val="auto"/>
          <w:kern w:val="2"/>
        </w:rPr>
        <w:t>5.2</w:t>
      </w:r>
      <w:r>
        <w:rPr>
          <w:rFonts w:eastAsia="宋体" w:cs="Times New Roman"/>
        </w:rPr>
        <w:t>化工产品热安全检测实验室负责技术的管理层人员需要具有此领域足够的知识和经验，该人员应具有化学专业或与所从事检测范围密切相关专业（以下简称化学或相关专业）的本科及以上学历和五年以上精细化工产品热安全检测的工作经历</w:t>
      </w:r>
      <w:r>
        <w:rPr>
          <w:rFonts w:ascii="宋体" w:hAnsi="宋体" w:hint="eastAsia"/>
          <w:szCs w:val="28"/>
        </w:rPr>
        <w:t>。</w:t>
      </w:r>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outlineLvl w:val="0"/>
        <w:rPr>
          <w:rFonts w:ascii="黑体" w:eastAsia="黑体" w:cs="Times New Roman"/>
          <w:color w:val="auto"/>
          <w:kern w:val="2"/>
        </w:rPr>
      </w:pPr>
      <w:bookmarkStart w:id="9" w:name="_Toc96699194"/>
      <w:bookmarkStart w:id="10" w:name="_Toc89875034"/>
      <w:r>
        <w:rPr>
          <w:rFonts w:ascii="黑体" w:eastAsia="黑体" w:cs="Times New Roman"/>
          <w:color w:val="auto"/>
          <w:kern w:val="2"/>
        </w:rPr>
        <w:t xml:space="preserve">6 </w:t>
      </w:r>
      <w:r>
        <w:rPr>
          <w:rFonts w:ascii="黑体" w:eastAsia="黑体" w:cs="Times New Roman" w:hint="eastAsia"/>
          <w:color w:val="auto"/>
          <w:kern w:val="2"/>
        </w:rPr>
        <w:t>资源要求</w:t>
      </w:r>
      <w:bookmarkEnd w:id="9"/>
      <w:bookmarkEnd w:id="10"/>
      <w:r>
        <w:rPr>
          <w:rFonts w:ascii="黑体" w:eastAsia="黑体" w:cs="Times New Roman"/>
          <w:color w:val="auto"/>
          <w:kern w:val="2"/>
        </w:rPr>
        <w:t xml:space="preserve"> </w:t>
      </w:r>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outlineLvl w:val="0"/>
        <w:rPr>
          <w:rFonts w:ascii="Times" w:eastAsia="Times" w:hAnsi="Times" w:cs="Times"/>
          <w:sz w:val="28"/>
          <w:szCs w:val="28"/>
        </w:rPr>
      </w:pPr>
      <w:bookmarkStart w:id="11" w:name="_Toc96699195"/>
      <w:bookmarkStart w:id="12" w:name="_Toc89875036"/>
      <w:r>
        <w:rPr>
          <w:rFonts w:ascii="黑体" w:eastAsia="黑体" w:cs="Times New Roman"/>
          <w:color w:val="auto"/>
          <w:kern w:val="2"/>
        </w:rPr>
        <w:t xml:space="preserve">6.2 </w:t>
      </w:r>
      <w:r>
        <w:rPr>
          <w:rFonts w:ascii="黑体" w:eastAsia="黑体" w:cs="Times New Roman" w:hint="eastAsia"/>
          <w:color w:val="auto"/>
          <w:kern w:val="2"/>
        </w:rPr>
        <w:t>人员</w:t>
      </w:r>
      <w:bookmarkEnd w:id="11"/>
      <w:bookmarkEnd w:id="12"/>
      <w:r>
        <w:rPr>
          <w:rFonts w:ascii="Times" w:hAnsi="Times"/>
          <w:sz w:val="28"/>
          <w:szCs w:val="28"/>
        </w:rPr>
        <w:t xml:space="preserve"> </w:t>
      </w:r>
    </w:p>
    <w:p>
      <w:pPr>
        <w:spacing w:line="360" w:lineRule="auto"/>
        <w:jc w:val="both"/>
        <w:rPr>
          <w:rFonts w:eastAsia="宋体" w:cs="Times New Roman"/>
          <w:color w:val="auto"/>
          <w:kern w:val="2"/>
        </w:rPr>
      </w:pPr>
      <w:r>
        <w:rPr>
          <w:rFonts w:eastAsia="宋体" w:cs="Times New Roman"/>
          <w:color w:val="auto"/>
          <w:kern w:val="2"/>
        </w:rPr>
        <w:t>6.2.2</w:t>
      </w:r>
      <w:r>
        <w:rPr>
          <w:rFonts w:eastAsia="宋体" w:cs="Times New Roman" w:hint="eastAsia"/>
          <w:color w:val="auto"/>
          <w:kern w:val="2"/>
        </w:rPr>
        <w:t>从事化工</w:t>
      </w:r>
      <w:r>
        <w:rPr>
          <w:rFonts w:eastAsia="宋体" w:cs="Times New Roman"/>
          <w:color w:val="auto"/>
          <w:kern w:val="2"/>
        </w:rPr>
        <w:t>产品热安全</w:t>
      </w:r>
      <w:r>
        <w:rPr>
          <w:rFonts w:eastAsia="宋体" w:cs="Times New Roman" w:hint="eastAsia"/>
          <w:color w:val="auto"/>
          <w:kern w:val="2"/>
        </w:rPr>
        <w:t>检测合同评审、检测、数据审核、报告签发、报告的意见与解释人员，需要至少具有化学、化学工程或化工安全及相关专业本科学历，以及在申请认可或已获认可的精细化工</w:t>
      </w:r>
      <w:r>
        <w:rPr>
          <w:rFonts w:eastAsia="宋体" w:cs="Times New Roman"/>
          <w:color w:val="auto"/>
          <w:kern w:val="2"/>
        </w:rPr>
        <w:t>产品热安全</w:t>
      </w:r>
      <w:r>
        <w:rPr>
          <w:rFonts w:eastAsia="宋体" w:cs="Times New Roman" w:hint="eastAsia"/>
          <w:color w:val="auto"/>
          <w:kern w:val="2"/>
        </w:rPr>
        <w:t>检测领域，如化学物质热稳定性、化学反应量热等的检测工作经历。从事方法开发的人员，要具有足够化学物质热稳定性和化学反应热安全性知识、经验和相应检测能力。在实验室形成文件的能力要求中要包括以上内容。</w:t>
      </w:r>
    </w:p>
    <w:p>
      <w:pPr>
        <w:spacing w:line="360" w:lineRule="auto"/>
        <w:jc w:val="both"/>
        <w:rPr>
          <w:rFonts w:eastAsia="宋体" w:cs="Times New Roman"/>
          <w:color w:val="auto"/>
          <w:kern w:val="2"/>
        </w:rPr>
      </w:pPr>
      <w:bookmarkStart w:id="13" w:name="_Toc89875044"/>
      <w:r>
        <w:rPr>
          <w:rFonts w:eastAsia="宋体" w:cs="Times New Roman" w:hint="eastAsia"/>
          <w:color w:val="auto"/>
          <w:kern w:val="2"/>
        </w:rPr>
        <w:t>6.2.5c) 从事化工产品热安全检测的人员，要经过相应的培训，并保留培训记录。</w:t>
      </w:r>
    </w:p>
    <w:p>
      <w:pPr>
        <w:spacing w:line="360" w:lineRule="auto"/>
        <w:jc w:val="both"/>
        <w:rPr>
          <w:rFonts w:cs="Times New Roman"/>
          <w:spacing w:val="8"/>
        </w:rPr>
      </w:pPr>
      <w:r>
        <w:rPr>
          <w:rFonts w:eastAsia="宋体" w:cs="Times New Roman" w:hint="eastAsia"/>
          <w:color w:val="auto"/>
          <w:kern w:val="2"/>
        </w:rPr>
        <w:t>——</w:t>
      </w:r>
      <w:r>
        <w:rPr>
          <w:rFonts w:eastAsia="宋体" w:cs="Times New Roman"/>
          <w:color w:val="auto"/>
          <w:kern w:val="2"/>
        </w:rPr>
        <w:t>从事化学</w:t>
      </w:r>
      <w:r>
        <w:rPr>
          <w:rFonts w:eastAsia="宋体" w:cs="Times New Roman" w:hint="eastAsia"/>
          <w:color w:val="auto"/>
          <w:kern w:val="2"/>
        </w:rPr>
        <w:t>物质热</w:t>
      </w:r>
      <w:r>
        <w:rPr>
          <w:rFonts w:eastAsia="宋体" w:cs="Times New Roman"/>
          <w:color w:val="auto"/>
          <w:kern w:val="2"/>
        </w:rPr>
        <w:t>稳定性</w:t>
      </w:r>
      <w:r>
        <w:rPr>
          <w:rFonts w:eastAsia="宋体" w:cs="Times New Roman" w:hint="eastAsia"/>
          <w:color w:val="auto"/>
          <w:kern w:val="2"/>
        </w:rPr>
        <w:t>检测的</w:t>
      </w:r>
      <w:r>
        <w:rPr>
          <w:rFonts w:eastAsia="宋体" w:cs="Times New Roman"/>
          <w:color w:val="auto"/>
          <w:kern w:val="2"/>
        </w:rPr>
        <w:t>人员</w:t>
      </w:r>
      <w:r>
        <w:rPr>
          <w:rFonts w:eastAsia="宋体" w:cs="Times New Roman" w:hint="eastAsia"/>
          <w:color w:val="auto"/>
          <w:kern w:val="2"/>
        </w:rPr>
        <w:t>需要</w:t>
      </w:r>
      <w:r>
        <w:rPr>
          <w:rFonts w:eastAsia="宋体" w:cs="Times New Roman"/>
          <w:color w:val="auto"/>
          <w:kern w:val="2"/>
        </w:rPr>
        <w:t>接受过包括</w:t>
      </w:r>
      <w:r>
        <w:rPr>
          <w:rFonts w:eastAsia="宋体" w:cs="Times New Roman" w:hint="eastAsia"/>
          <w:color w:val="auto"/>
          <w:kern w:val="2"/>
        </w:rPr>
        <w:t>化学物质的热</w:t>
      </w:r>
      <w:r>
        <w:rPr>
          <w:rFonts w:eastAsia="宋体" w:cs="Times New Roman"/>
          <w:color w:val="auto"/>
          <w:kern w:val="2"/>
        </w:rPr>
        <w:t>稳定性识别方法、检测方法、</w:t>
      </w:r>
      <w:r>
        <w:rPr>
          <w:rFonts w:eastAsia="宋体" w:cs="Times New Roman" w:hint="eastAsia"/>
          <w:color w:val="auto"/>
          <w:kern w:val="2"/>
        </w:rPr>
        <w:t>质量</w:t>
      </w:r>
      <w:r>
        <w:rPr>
          <w:rFonts w:eastAsia="宋体" w:cs="Times New Roman"/>
          <w:color w:val="auto"/>
          <w:kern w:val="2"/>
        </w:rPr>
        <w:t>控制方法以及有关</w:t>
      </w:r>
      <w:r>
        <w:rPr>
          <w:rFonts w:eastAsia="宋体" w:cs="Times New Roman" w:hint="eastAsia"/>
          <w:color w:val="auto"/>
          <w:kern w:val="2"/>
        </w:rPr>
        <w:t>危险</w:t>
      </w:r>
      <w:r>
        <w:rPr>
          <w:rFonts w:eastAsia="宋体" w:cs="Times New Roman"/>
          <w:color w:val="auto"/>
          <w:kern w:val="2"/>
        </w:rPr>
        <w:t>化学品主要理化参数、燃爆</w:t>
      </w:r>
      <w:r>
        <w:rPr>
          <w:rFonts w:eastAsia="宋体" w:cs="Times New Roman" w:hint="eastAsia"/>
          <w:color w:val="auto"/>
          <w:kern w:val="2"/>
        </w:rPr>
        <w:t>/毒性</w:t>
      </w:r>
      <w:r>
        <w:rPr>
          <w:rFonts w:eastAsia="宋体" w:cs="Times New Roman"/>
          <w:color w:val="auto"/>
          <w:kern w:val="2"/>
        </w:rPr>
        <w:t>等危险特性、安全使用注意事项、泄露应急</w:t>
      </w:r>
      <w:r>
        <w:rPr>
          <w:rFonts w:eastAsia="宋体" w:cs="Times New Roman" w:hint="eastAsia"/>
          <w:color w:val="auto"/>
          <w:kern w:val="2"/>
        </w:rPr>
        <w:t>处置</w:t>
      </w:r>
      <w:r>
        <w:rPr>
          <w:rFonts w:eastAsia="宋体" w:cs="Times New Roman"/>
          <w:color w:val="auto"/>
          <w:kern w:val="2"/>
        </w:rPr>
        <w:t>措施及法律法规等方面知识的培训</w:t>
      </w:r>
      <w:r>
        <w:rPr>
          <w:rFonts w:eastAsia="宋体" w:cs="Times New Roman" w:hint="eastAsia"/>
          <w:color w:val="auto"/>
          <w:kern w:val="2"/>
        </w:rPr>
        <w:t>并</w:t>
      </w:r>
      <w:r>
        <w:rPr>
          <w:rFonts w:eastAsia="宋体" w:cs="Times New Roman"/>
          <w:color w:val="auto"/>
          <w:kern w:val="2"/>
        </w:rPr>
        <w:t>保留相关记录。操作</w:t>
      </w:r>
      <w:r>
        <w:rPr>
          <w:rFonts w:eastAsia="宋体" w:cs="Times New Roman" w:hint="eastAsia"/>
          <w:color w:val="auto"/>
          <w:kern w:val="2"/>
        </w:rPr>
        <w:t>差示</w:t>
      </w:r>
      <w:r>
        <w:rPr>
          <w:rFonts w:eastAsia="宋体" w:cs="Times New Roman"/>
          <w:color w:val="auto"/>
          <w:kern w:val="2"/>
        </w:rPr>
        <w:t>扫描量热仪、绝热</w:t>
      </w:r>
      <w:r>
        <w:rPr>
          <w:rFonts w:eastAsia="宋体" w:cs="Times New Roman" w:hint="eastAsia"/>
          <w:color w:val="auto"/>
          <w:kern w:val="2"/>
        </w:rPr>
        <w:t>量热仪等</w:t>
      </w:r>
      <w:r>
        <w:rPr>
          <w:rFonts w:eastAsia="宋体" w:cs="Times New Roman"/>
          <w:color w:val="auto"/>
          <w:kern w:val="2"/>
        </w:rPr>
        <w:t>仪器</w:t>
      </w:r>
      <w:r>
        <w:rPr>
          <w:rFonts w:eastAsia="宋体" w:cs="Times New Roman" w:hint="eastAsia"/>
          <w:color w:val="auto"/>
          <w:kern w:val="2"/>
        </w:rPr>
        <w:t>或</w:t>
      </w:r>
      <w:r>
        <w:rPr>
          <w:rFonts w:eastAsia="宋体" w:cs="Times New Roman"/>
          <w:color w:val="auto"/>
          <w:kern w:val="2"/>
        </w:rPr>
        <w:t>相关设备的人员还</w:t>
      </w:r>
      <w:r>
        <w:rPr>
          <w:rFonts w:eastAsia="宋体" w:cs="Times New Roman" w:hint="eastAsia"/>
          <w:color w:val="auto"/>
          <w:kern w:val="2"/>
        </w:rPr>
        <w:t>要</w:t>
      </w:r>
      <w:r>
        <w:rPr>
          <w:rFonts w:eastAsia="宋体" w:cs="Times New Roman"/>
          <w:color w:val="auto"/>
          <w:kern w:val="2"/>
        </w:rPr>
        <w:t>接受过</w:t>
      </w:r>
      <w:r>
        <w:rPr>
          <w:rFonts w:eastAsia="宋体" w:cs="Times New Roman" w:hint="eastAsia"/>
          <w:color w:val="auto"/>
          <w:kern w:val="2"/>
        </w:rPr>
        <w:t>涉及</w:t>
      </w:r>
      <w:r>
        <w:rPr>
          <w:rFonts w:eastAsia="宋体" w:cs="Times New Roman"/>
          <w:color w:val="auto"/>
          <w:kern w:val="2"/>
        </w:rPr>
        <w:t>仪器</w:t>
      </w:r>
      <w:r>
        <w:rPr>
          <w:rFonts w:eastAsia="宋体" w:cs="Times New Roman" w:hint="eastAsia"/>
          <w:color w:val="auto"/>
          <w:kern w:val="2"/>
        </w:rPr>
        <w:t>原理</w:t>
      </w:r>
      <w:r>
        <w:rPr>
          <w:rFonts w:eastAsia="宋体" w:cs="Times New Roman"/>
          <w:color w:val="auto"/>
          <w:kern w:val="2"/>
        </w:rPr>
        <w:t>、操作和维护等方面知识的专门培训，掌握相关的</w:t>
      </w:r>
      <w:r>
        <w:rPr>
          <w:rFonts w:eastAsia="宋体" w:cs="Times New Roman" w:hint="eastAsia"/>
          <w:color w:val="auto"/>
          <w:kern w:val="2"/>
        </w:rPr>
        <w:t>知识</w:t>
      </w:r>
      <w:r>
        <w:rPr>
          <w:rFonts w:eastAsia="宋体" w:cs="Times New Roman"/>
          <w:color w:val="auto"/>
          <w:kern w:val="2"/>
        </w:rPr>
        <w:t>和专业技能。</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sectPr>
          <w:footerReference w:type="default" r:id="rId8"/>
          <w:type w:val="nextPage"/>
          <w:pgSz w:w="11900" w:h="16840"/>
          <w:pgMar w:top="1440" w:right="1800" w:bottom="1440" w:left="1800" w:header="851" w:footer="992" w:gutter="0"/>
          <w:pgNumType w:start="3"/>
          <w:cols w:num="1" w:space="720"/>
          <w:titlePg w:val="0"/>
          <w:docGrid w:linePitch="286" w:charSpace="0"/>
        </w:sectPr>
      </w:pPr>
      <w:r>
        <w:rPr>
          <w:rFonts w:eastAsia="宋体" w:cs="Times New Roman" w:hint="eastAsia"/>
          <w:color w:val="auto"/>
          <w:kern w:val="2"/>
        </w:rPr>
        <w:t>——实验室</w:t>
      </w:r>
      <w:r>
        <w:rPr>
          <w:rFonts w:eastAsia="宋体" w:cs="Times New Roman"/>
          <w:color w:val="auto"/>
          <w:kern w:val="2"/>
        </w:rPr>
        <w:t>从事化学反应热安全</w:t>
      </w:r>
      <w:r>
        <w:rPr>
          <w:rFonts w:eastAsia="宋体" w:cs="Times New Roman" w:hint="eastAsia"/>
          <w:color w:val="auto"/>
          <w:kern w:val="2"/>
        </w:rPr>
        <w:t>性</w:t>
      </w:r>
      <w:r>
        <w:rPr>
          <w:rFonts w:eastAsia="宋体" w:cs="Times New Roman"/>
          <w:color w:val="auto"/>
          <w:kern w:val="2"/>
        </w:rPr>
        <w:t>检测的</w:t>
      </w:r>
      <w:r>
        <w:rPr>
          <w:rFonts w:eastAsia="宋体" w:cs="Times New Roman" w:hint="eastAsia"/>
          <w:color w:val="auto"/>
          <w:kern w:val="2"/>
        </w:rPr>
        <w:t>人员需要</w:t>
      </w:r>
      <w:r>
        <w:rPr>
          <w:rFonts w:eastAsia="宋体" w:cs="Times New Roman"/>
          <w:color w:val="auto"/>
          <w:kern w:val="2"/>
        </w:rPr>
        <w:t>接受过包括化学反应热</w:t>
      </w:r>
      <w:r>
        <w:rPr>
          <w:rFonts w:eastAsia="宋体" w:cs="Times New Roman" w:hint="eastAsia"/>
          <w:color w:val="auto"/>
          <w:kern w:val="2"/>
        </w:rPr>
        <w:t>安全性</w:t>
      </w:r>
      <w:r>
        <w:rPr>
          <w:rFonts w:eastAsia="宋体" w:cs="Times New Roman"/>
          <w:color w:val="auto"/>
          <w:kern w:val="2"/>
        </w:rPr>
        <w:t>风险识别、检测方法、质量控制方法以及</w:t>
      </w:r>
      <w:r>
        <w:rPr>
          <w:rFonts w:eastAsia="宋体" w:cs="Times New Roman" w:hint="eastAsia"/>
          <w:color w:val="auto"/>
          <w:kern w:val="2"/>
        </w:rPr>
        <w:t>国家</w:t>
      </w:r>
      <w:r>
        <w:rPr>
          <w:rFonts w:eastAsia="宋体" w:cs="Times New Roman"/>
          <w:color w:val="auto"/>
          <w:kern w:val="2"/>
        </w:rPr>
        <w:t>重点监管的危险化工工艺</w:t>
      </w:r>
      <w:r>
        <w:rPr>
          <w:rFonts w:eastAsia="宋体" w:cs="Times New Roman" w:hint="eastAsia"/>
          <w:color w:val="auto"/>
          <w:kern w:val="2"/>
        </w:rPr>
        <w:t>的工艺危害</w:t>
      </w:r>
      <w:r>
        <w:rPr>
          <w:rFonts w:eastAsia="宋体" w:cs="Times New Roman"/>
          <w:color w:val="auto"/>
          <w:kern w:val="2"/>
        </w:rPr>
        <w:t>特点、</w:t>
      </w:r>
      <w:r>
        <w:rPr>
          <w:rFonts w:eastAsia="宋体" w:cs="Times New Roman" w:hint="eastAsia"/>
          <w:color w:val="auto"/>
          <w:kern w:val="2"/>
        </w:rPr>
        <w:t>典型</w:t>
      </w:r>
      <w:r>
        <w:rPr>
          <w:rFonts w:eastAsia="宋体" w:cs="Times New Roman"/>
          <w:color w:val="auto"/>
          <w:kern w:val="2"/>
        </w:rPr>
        <w:t>工艺、重点监控工艺参数、安全</w:t>
      </w:r>
      <w:r>
        <w:rPr>
          <w:rFonts w:eastAsia="宋体" w:cs="Times New Roman" w:hint="eastAsia"/>
          <w:color w:val="auto"/>
          <w:kern w:val="2"/>
        </w:rPr>
        <w:t>控制</w:t>
      </w:r>
      <w:r>
        <w:rPr>
          <w:rFonts w:eastAsia="宋体" w:cs="Times New Roman"/>
          <w:color w:val="auto"/>
          <w:kern w:val="2"/>
        </w:rPr>
        <w:t>的基本要求</w:t>
      </w:r>
      <w:r>
        <w:rPr>
          <w:rFonts w:eastAsia="宋体" w:cs="Times New Roman" w:hint="eastAsia"/>
          <w:color w:val="auto"/>
          <w:kern w:val="2"/>
        </w:rPr>
        <w:t>及</w:t>
      </w:r>
      <w:r>
        <w:rPr>
          <w:rFonts w:eastAsia="宋体" w:cs="Times New Roman"/>
          <w:color w:val="auto"/>
          <w:kern w:val="2"/>
        </w:rPr>
        <w:t>法律法规等方面</w:t>
      </w:r>
      <w:r>
        <w:rPr>
          <w:rFonts w:eastAsia="宋体" w:cs="Times New Roman" w:hint="eastAsia"/>
          <w:color w:val="auto"/>
          <w:kern w:val="2"/>
        </w:rPr>
        <w:t>知识</w:t>
      </w:r>
      <w:r>
        <w:rPr>
          <w:rFonts w:eastAsia="宋体" w:cs="Times New Roman"/>
          <w:color w:val="auto"/>
          <w:kern w:val="2"/>
        </w:rPr>
        <w:t>的培训并保留相关记录。操作</w:t>
      </w:r>
      <w:r>
        <w:rPr>
          <w:rFonts w:eastAsia="宋体" w:cs="Times New Roman" w:hint="eastAsia"/>
          <w:color w:val="auto"/>
          <w:kern w:val="2"/>
        </w:rPr>
        <w:t>反应</w:t>
      </w:r>
      <w:r>
        <w:rPr>
          <w:rFonts w:eastAsia="宋体" w:cs="Times New Roman"/>
          <w:color w:val="auto"/>
          <w:kern w:val="2"/>
        </w:rPr>
        <w:t>量热仪的人员还</w:t>
      </w:r>
      <w:r>
        <w:rPr>
          <w:rFonts w:eastAsia="宋体" w:cs="Times New Roman" w:hint="eastAsia"/>
          <w:color w:val="auto"/>
          <w:kern w:val="2"/>
        </w:rPr>
        <w:t>要</w:t>
      </w:r>
      <w:r>
        <w:rPr>
          <w:rFonts w:eastAsia="宋体" w:cs="Times New Roman"/>
          <w:color w:val="auto"/>
          <w:kern w:val="2"/>
        </w:rPr>
        <w:t>接受涉及仪器</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r>
        <w:rPr>
          <w:rFonts w:eastAsia="宋体" w:cs="Times New Roman" w:hint="eastAsia"/>
          <w:color w:val="auto"/>
          <w:kern w:val="2"/>
        </w:rPr>
        <w:t>原理</w:t>
      </w:r>
      <w:r>
        <w:rPr>
          <w:rFonts w:eastAsia="宋体" w:cs="Times New Roman"/>
          <w:color w:val="auto"/>
          <w:kern w:val="2"/>
        </w:rPr>
        <w:t>、操作和维护等</w:t>
      </w:r>
      <w:r>
        <w:rPr>
          <w:rFonts w:eastAsia="宋体" w:cs="Times New Roman" w:hint="eastAsia"/>
          <w:color w:val="auto"/>
          <w:kern w:val="2"/>
        </w:rPr>
        <w:t>方面</w:t>
      </w:r>
      <w:r>
        <w:rPr>
          <w:rFonts w:eastAsia="宋体" w:cs="Times New Roman"/>
          <w:color w:val="auto"/>
          <w:kern w:val="2"/>
        </w:rPr>
        <w:t>知识的</w:t>
      </w:r>
      <w:r>
        <w:rPr>
          <w:rFonts w:eastAsia="宋体" w:cs="Times New Roman" w:hint="eastAsia"/>
          <w:color w:val="auto"/>
          <w:kern w:val="2"/>
        </w:rPr>
        <w:t>专门培训</w:t>
      </w:r>
      <w:r>
        <w:rPr>
          <w:rFonts w:eastAsia="宋体" w:cs="Times New Roman"/>
          <w:color w:val="auto"/>
          <w:kern w:val="2"/>
        </w:rPr>
        <w:t>，掌握相关的知识和专业技能。</w:t>
      </w:r>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outlineLvl w:val="0"/>
        <w:rPr>
          <w:rFonts w:ascii="黑体" w:eastAsia="黑体" w:cs="Times New Roman"/>
          <w:color w:val="auto"/>
          <w:kern w:val="2"/>
        </w:rPr>
      </w:pPr>
      <w:bookmarkStart w:id="14" w:name="_Toc96699196"/>
      <w:r>
        <w:rPr>
          <w:rFonts w:ascii="黑体" w:eastAsia="黑体" w:cs="Times New Roman"/>
          <w:color w:val="auto"/>
          <w:kern w:val="2"/>
        </w:rPr>
        <w:t xml:space="preserve">6.3 </w:t>
      </w:r>
      <w:r>
        <w:rPr>
          <w:rFonts w:ascii="黑体" w:eastAsia="黑体" w:cs="Times New Roman" w:hint="eastAsia"/>
          <w:color w:val="auto"/>
          <w:kern w:val="2"/>
        </w:rPr>
        <w:t>设施和环境条件</w:t>
      </w:r>
      <w:bookmarkEnd w:id="13"/>
      <w:bookmarkEnd w:id="14"/>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bookmarkStart w:id="15" w:name="_Toc89875047"/>
      <w:r>
        <w:rPr>
          <w:rFonts w:eastAsia="宋体" w:cs="Times New Roman" w:hint="eastAsia"/>
          <w:color w:val="auto"/>
          <w:kern w:val="2"/>
        </w:rPr>
        <w:t>6.3.1 当环境</w:t>
      </w:r>
      <w:r>
        <w:rPr>
          <w:rFonts w:eastAsia="宋体" w:cs="Times New Roman"/>
          <w:color w:val="auto"/>
          <w:kern w:val="2"/>
        </w:rPr>
        <w:t>条件对检测结果</w:t>
      </w:r>
      <w:r>
        <w:rPr>
          <w:rFonts w:eastAsia="宋体" w:cs="Times New Roman" w:hint="eastAsia"/>
          <w:color w:val="auto"/>
          <w:kern w:val="2"/>
        </w:rPr>
        <w:t>的有效</w:t>
      </w:r>
      <w:r>
        <w:rPr>
          <w:rFonts w:eastAsia="宋体" w:cs="Times New Roman"/>
          <w:color w:val="auto"/>
          <w:kern w:val="2"/>
        </w:rPr>
        <w:t>性有影响，或者存在交叉污染</w:t>
      </w:r>
      <w:r>
        <w:rPr>
          <w:rFonts w:eastAsia="宋体" w:cs="Times New Roman" w:hint="eastAsia"/>
          <w:color w:val="auto"/>
          <w:kern w:val="2"/>
        </w:rPr>
        <w:t>可能</w:t>
      </w:r>
      <w:r>
        <w:rPr>
          <w:rFonts w:eastAsia="宋体" w:cs="Times New Roman"/>
          <w:color w:val="auto"/>
          <w:kern w:val="2"/>
        </w:rPr>
        <w:t>时，实验室可根据其特定情况确定</w:t>
      </w:r>
      <w:r>
        <w:rPr>
          <w:rFonts w:eastAsia="宋体" w:cs="Times New Roman" w:hint="eastAsia"/>
          <w:color w:val="auto"/>
          <w:kern w:val="2"/>
        </w:rPr>
        <w:t>是否</w:t>
      </w:r>
      <w:r>
        <w:rPr>
          <w:rFonts w:eastAsia="宋体" w:cs="Times New Roman"/>
          <w:color w:val="auto"/>
          <w:kern w:val="2"/>
        </w:rPr>
        <w:t>需要</w:t>
      </w:r>
      <w:r>
        <w:rPr>
          <w:rFonts w:eastAsia="宋体" w:cs="Times New Roman" w:hint="eastAsia"/>
          <w:color w:val="auto"/>
          <w:kern w:val="2"/>
        </w:rPr>
        <w:t>配置</w:t>
      </w:r>
      <w:r>
        <w:rPr>
          <w:rFonts w:eastAsia="宋体" w:cs="Times New Roman"/>
          <w:color w:val="auto"/>
          <w:kern w:val="2"/>
        </w:rPr>
        <w:t>必要的设施</w:t>
      </w:r>
      <w:r>
        <w:rPr>
          <w:rFonts w:eastAsia="宋体" w:cs="Times New Roman" w:hint="eastAsia"/>
          <w:color w:val="auto"/>
          <w:kern w:val="2"/>
        </w:rPr>
        <w:t>和</w:t>
      </w:r>
      <w:r>
        <w:rPr>
          <w:rFonts w:eastAsia="宋体" w:cs="Times New Roman"/>
          <w:color w:val="auto"/>
          <w:kern w:val="2"/>
        </w:rPr>
        <w:t>需要控制的区域，并采取有效措施</w:t>
      </w:r>
      <w:r>
        <w:rPr>
          <w:rFonts w:eastAsia="宋体" w:cs="Times New Roman" w:hint="eastAsia"/>
          <w:color w:val="auto"/>
          <w:kern w:val="2"/>
        </w:rPr>
        <w:t>。</w:t>
      </w:r>
      <w:r>
        <w:rPr>
          <w:rFonts w:eastAsia="宋体" w:cs="Times New Roman"/>
          <w:color w:val="auto"/>
          <w:kern w:val="2"/>
        </w:rPr>
        <w:t>对</w:t>
      </w:r>
      <w:r>
        <w:rPr>
          <w:rFonts w:eastAsia="宋体" w:cs="Times New Roman" w:hint="eastAsia"/>
          <w:color w:val="auto"/>
          <w:kern w:val="2"/>
        </w:rPr>
        <w:t>检测</w:t>
      </w:r>
      <w:r>
        <w:rPr>
          <w:rFonts w:eastAsia="宋体" w:cs="Times New Roman"/>
          <w:color w:val="auto"/>
          <w:kern w:val="2"/>
        </w:rPr>
        <w:t>结果</w:t>
      </w:r>
      <w:r>
        <w:rPr>
          <w:rFonts w:eastAsia="宋体" w:cs="Times New Roman" w:hint="eastAsia"/>
          <w:color w:val="auto"/>
          <w:kern w:val="2"/>
        </w:rPr>
        <w:t>有效性</w:t>
      </w:r>
      <w:r>
        <w:rPr>
          <w:rFonts w:eastAsia="宋体" w:cs="Times New Roman"/>
          <w:color w:val="auto"/>
          <w:kern w:val="2"/>
        </w:rPr>
        <w:t>的影响</w:t>
      </w:r>
      <w:r>
        <w:rPr>
          <w:rFonts w:eastAsia="宋体" w:cs="Times New Roman" w:hint="eastAsia"/>
          <w:color w:val="auto"/>
          <w:kern w:val="2"/>
        </w:rPr>
        <w:t>包括</w:t>
      </w:r>
      <w:r>
        <w:rPr>
          <w:rFonts w:eastAsia="宋体" w:cs="Times New Roman"/>
          <w:color w:val="auto"/>
          <w:kern w:val="2"/>
        </w:rPr>
        <w:t>但不限于：环境</w:t>
      </w:r>
      <w:r>
        <w:rPr>
          <w:rFonts w:eastAsia="宋体" w:cs="Times New Roman" w:hint="eastAsia"/>
          <w:color w:val="auto"/>
          <w:kern w:val="2"/>
        </w:rPr>
        <w:t>温湿度超过仪器</w:t>
      </w:r>
      <w:r>
        <w:rPr>
          <w:rFonts w:eastAsia="宋体" w:cs="Times New Roman"/>
          <w:color w:val="auto"/>
          <w:kern w:val="2"/>
        </w:rPr>
        <w:t>正常使用范围</w:t>
      </w:r>
      <w:r>
        <w:rPr>
          <w:rFonts w:eastAsia="宋体" w:cs="Times New Roman" w:hint="eastAsia"/>
          <w:color w:val="auto"/>
          <w:kern w:val="2"/>
        </w:rPr>
        <w:t>；电源</w:t>
      </w:r>
      <w:r>
        <w:rPr>
          <w:rFonts w:eastAsia="宋体" w:cs="Times New Roman"/>
          <w:color w:val="auto"/>
          <w:kern w:val="2"/>
        </w:rPr>
        <w:t>不稳定</w:t>
      </w:r>
      <w:r>
        <w:rPr>
          <w:rFonts w:eastAsia="宋体" w:cs="Times New Roman" w:hint="eastAsia"/>
          <w:color w:val="auto"/>
          <w:kern w:val="2"/>
        </w:rPr>
        <w:t>、</w:t>
      </w:r>
      <w:r>
        <w:rPr>
          <w:rFonts w:eastAsia="宋体" w:cs="Times New Roman"/>
          <w:color w:val="auto"/>
          <w:kern w:val="2"/>
        </w:rPr>
        <w:t>振动源</w:t>
      </w:r>
      <w:r>
        <w:rPr>
          <w:rFonts w:eastAsia="宋体" w:cs="Times New Roman" w:hint="eastAsia"/>
          <w:color w:val="auto"/>
          <w:kern w:val="2"/>
        </w:rPr>
        <w:t>和与</w:t>
      </w:r>
      <w:r>
        <w:rPr>
          <w:rFonts w:eastAsia="宋体" w:cs="Times New Roman"/>
          <w:color w:val="auto"/>
          <w:kern w:val="2"/>
        </w:rPr>
        <w:t>大功率用电设备</w:t>
      </w:r>
      <w:r>
        <w:rPr>
          <w:rFonts w:eastAsia="宋体" w:cs="Times New Roman" w:hint="eastAsia"/>
          <w:color w:val="auto"/>
          <w:kern w:val="2"/>
        </w:rPr>
        <w:t>交叉等</w:t>
      </w:r>
      <w:r>
        <w:rPr>
          <w:rFonts w:eastAsia="宋体" w:cs="Times New Roman"/>
          <w:color w:val="auto"/>
          <w:kern w:val="2"/>
        </w:rPr>
        <w:t>因素导致的差式扫描量热仪</w:t>
      </w:r>
      <w:r>
        <w:rPr>
          <w:rFonts w:eastAsia="宋体" w:cs="Times New Roman" w:hint="eastAsia"/>
          <w:color w:val="auto"/>
          <w:kern w:val="2"/>
        </w:rPr>
        <w:t>、</w:t>
      </w:r>
      <w:r>
        <w:rPr>
          <w:rFonts w:eastAsia="宋体" w:cs="Times New Roman"/>
          <w:color w:val="auto"/>
          <w:kern w:val="2"/>
        </w:rPr>
        <w:t>绝热量热仪</w:t>
      </w:r>
      <w:r>
        <w:rPr>
          <w:rFonts w:eastAsia="宋体" w:cs="Times New Roman" w:hint="eastAsia"/>
          <w:color w:val="auto"/>
          <w:kern w:val="2"/>
        </w:rPr>
        <w:t>和</w:t>
      </w:r>
      <w:r>
        <w:rPr>
          <w:rFonts w:eastAsia="宋体" w:cs="Times New Roman"/>
          <w:color w:val="auto"/>
          <w:kern w:val="2"/>
        </w:rPr>
        <w:t>反应量热仪等</w:t>
      </w:r>
      <w:r>
        <w:rPr>
          <w:rFonts w:eastAsia="宋体" w:cs="Times New Roman" w:hint="eastAsia"/>
          <w:color w:val="auto"/>
          <w:kern w:val="2"/>
        </w:rPr>
        <w:t>仪器</w:t>
      </w:r>
      <w:r>
        <w:rPr>
          <w:rFonts w:eastAsia="宋体" w:cs="Times New Roman"/>
          <w:color w:val="auto"/>
          <w:kern w:val="2"/>
        </w:rPr>
        <w:t>的测量曲线</w:t>
      </w:r>
      <w:r>
        <w:rPr>
          <w:rFonts w:eastAsia="宋体" w:cs="Times New Roman" w:hint="eastAsia"/>
          <w:color w:val="auto"/>
          <w:kern w:val="2"/>
        </w:rPr>
        <w:t>发生明显</w:t>
      </w:r>
      <w:r>
        <w:rPr>
          <w:rFonts w:eastAsia="宋体" w:cs="Times New Roman"/>
          <w:color w:val="auto"/>
          <w:kern w:val="2"/>
        </w:rPr>
        <w:t>漂移等。</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r>
        <w:rPr>
          <w:rFonts w:eastAsia="宋体" w:cs="Times New Roman" w:hint="eastAsia"/>
          <w:color w:val="auto"/>
          <w:kern w:val="2"/>
        </w:rPr>
        <w:t>6.3.4 当</w:t>
      </w:r>
      <w:r>
        <w:rPr>
          <w:rFonts w:eastAsia="宋体" w:cs="Times New Roman"/>
          <w:color w:val="auto"/>
          <w:kern w:val="2"/>
        </w:rPr>
        <w:t>实验室</w:t>
      </w:r>
      <w:r>
        <w:rPr>
          <w:rFonts w:eastAsia="宋体" w:cs="Times New Roman" w:hint="eastAsia"/>
          <w:color w:val="auto"/>
          <w:kern w:val="2"/>
        </w:rPr>
        <w:t>的</w:t>
      </w:r>
      <w:r>
        <w:rPr>
          <w:rFonts w:eastAsia="宋体" w:cs="Times New Roman"/>
          <w:color w:val="auto"/>
          <w:kern w:val="2"/>
        </w:rPr>
        <w:t>检测</w:t>
      </w:r>
      <w:r>
        <w:rPr>
          <w:rFonts w:eastAsia="宋体" w:cs="Times New Roman" w:hint="eastAsia"/>
          <w:color w:val="auto"/>
          <w:kern w:val="2"/>
        </w:rPr>
        <w:t>活动涉及使用</w:t>
      </w:r>
      <w:r>
        <w:rPr>
          <w:rFonts w:eastAsia="宋体" w:cs="Times New Roman"/>
          <w:color w:val="auto"/>
          <w:kern w:val="2"/>
        </w:rPr>
        <w:t>易燃易爆、</w:t>
      </w:r>
      <w:r>
        <w:rPr>
          <w:rFonts w:eastAsia="宋体" w:cs="Times New Roman" w:hint="eastAsia"/>
          <w:color w:val="auto"/>
          <w:kern w:val="2"/>
        </w:rPr>
        <w:t>有毒</w:t>
      </w:r>
      <w:r>
        <w:rPr>
          <w:rFonts w:eastAsia="宋体" w:cs="Times New Roman"/>
          <w:color w:val="auto"/>
          <w:kern w:val="2"/>
        </w:rPr>
        <w:t>等</w:t>
      </w:r>
      <w:r>
        <w:rPr>
          <w:rFonts w:eastAsia="宋体" w:cs="Times New Roman" w:hint="eastAsia"/>
          <w:color w:val="auto"/>
          <w:kern w:val="2"/>
        </w:rPr>
        <w:t>危险</w:t>
      </w:r>
      <w:r>
        <w:rPr>
          <w:rFonts w:eastAsia="宋体" w:cs="Times New Roman"/>
          <w:color w:val="auto"/>
          <w:kern w:val="2"/>
        </w:rPr>
        <w:t>化学品时</w:t>
      </w:r>
      <w:r>
        <w:rPr>
          <w:rFonts w:eastAsia="宋体" w:cs="Times New Roman" w:hint="eastAsia"/>
          <w:color w:val="auto"/>
          <w:kern w:val="2"/>
        </w:rPr>
        <w:t>，可根据</w:t>
      </w:r>
      <w:r>
        <w:rPr>
          <w:rFonts w:eastAsia="宋体" w:cs="Times New Roman"/>
          <w:color w:val="auto"/>
          <w:kern w:val="2"/>
        </w:rPr>
        <w:t>需要配置具有</w:t>
      </w:r>
      <w:r>
        <w:rPr>
          <w:rFonts w:eastAsia="宋体" w:cs="Times New Roman" w:hint="eastAsia"/>
          <w:color w:val="auto"/>
          <w:kern w:val="2"/>
        </w:rPr>
        <w:t>防火</w:t>
      </w:r>
      <w:r>
        <w:rPr>
          <w:rFonts w:eastAsia="宋体" w:cs="Times New Roman"/>
          <w:color w:val="auto"/>
          <w:kern w:val="2"/>
        </w:rPr>
        <w:t>防爆功能、</w:t>
      </w:r>
      <w:r>
        <w:rPr>
          <w:rFonts w:eastAsia="宋体" w:cs="Times New Roman" w:hint="eastAsia"/>
          <w:color w:val="auto"/>
          <w:kern w:val="2"/>
        </w:rPr>
        <w:t>监测</w:t>
      </w:r>
      <w:r>
        <w:rPr>
          <w:rFonts w:eastAsia="宋体" w:cs="Times New Roman"/>
          <w:color w:val="auto"/>
          <w:kern w:val="2"/>
        </w:rPr>
        <w:t>易燃易爆和有毒气体</w:t>
      </w:r>
      <w:r>
        <w:rPr>
          <w:rFonts w:eastAsia="宋体" w:cs="Times New Roman" w:hint="eastAsia"/>
          <w:color w:val="auto"/>
          <w:kern w:val="2"/>
        </w:rPr>
        <w:t>的安全</w:t>
      </w:r>
      <w:r>
        <w:rPr>
          <w:rFonts w:eastAsia="宋体" w:cs="Times New Roman"/>
          <w:color w:val="auto"/>
          <w:kern w:val="2"/>
        </w:rPr>
        <w:t>防护</w:t>
      </w:r>
      <w:r>
        <w:rPr>
          <w:rFonts w:eastAsia="宋体" w:cs="Times New Roman" w:hint="eastAsia"/>
          <w:color w:val="auto"/>
          <w:kern w:val="2"/>
        </w:rPr>
        <w:t>设施</w:t>
      </w:r>
      <w:r>
        <w:rPr>
          <w:rFonts w:eastAsia="宋体" w:cs="Times New Roman"/>
          <w:color w:val="auto"/>
          <w:kern w:val="2"/>
        </w:rPr>
        <w:t>，</w:t>
      </w:r>
      <w:r>
        <w:rPr>
          <w:rFonts w:eastAsia="宋体" w:cs="Times New Roman" w:hint="eastAsia"/>
          <w:color w:val="auto"/>
          <w:kern w:val="2"/>
        </w:rPr>
        <w:t>并</w:t>
      </w:r>
      <w:r>
        <w:rPr>
          <w:rFonts w:eastAsia="宋体" w:cs="Times New Roman"/>
          <w:color w:val="auto"/>
          <w:kern w:val="2"/>
        </w:rPr>
        <w:t>定期监控和评审</w:t>
      </w:r>
      <w:r>
        <w:rPr>
          <w:rFonts w:eastAsia="宋体" w:cs="Times New Roman" w:hint="eastAsia"/>
          <w:color w:val="auto"/>
          <w:kern w:val="2"/>
        </w:rPr>
        <w:t>设施</w:t>
      </w:r>
      <w:r>
        <w:rPr>
          <w:rFonts w:eastAsia="宋体" w:cs="Times New Roman"/>
          <w:color w:val="auto"/>
          <w:kern w:val="2"/>
        </w:rPr>
        <w:t>的有效性。</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r>
        <w:rPr>
          <w:rFonts w:eastAsia="宋体" w:cs="Times New Roman" w:hint="eastAsia"/>
          <w:color w:val="auto"/>
          <w:kern w:val="2"/>
        </w:rPr>
        <w:t>6.3.5 当进行现场</w:t>
      </w:r>
      <w:r>
        <w:rPr>
          <w:rFonts w:eastAsia="宋体" w:cs="Times New Roman"/>
          <w:color w:val="auto"/>
          <w:kern w:val="2"/>
        </w:rPr>
        <w:t>抽样</w:t>
      </w:r>
      <w:r>
        <w:rPr>
          <w:rFonts w:eastAsia="宋体" w:cs="Times New Roman" w:hint="eastAsia"/>
          <w:color w:val="auto"/>
          <w:kern w:val="2"/>
        </w:rPr>
        <w:t>时</w:t>
      </w:r>
      <w:r>
        <w:rPr>
          <w:rFonts w:eastAsia="宋体" w:cs="Times New Roman"/>
          <w:color w:val="auto"/>
          <w:kern w:val="2"/>
        </w:rPr>
        <w:t>，</w:t>
      </w:r>
      <w:r>
        <w:rPr>
          <w:rFonts w:eastAsia="宋体" w:cs="Times New Roman" w:hint="eastAsia"/>
          <w:color w:val="auto"/>
          <w:kern w:val="2"/>
        </w:rPr>
        <w:t>实验室要</w:t>
      </w:r>
      <w:r>
        <w:rPr>
          <w:rFonts w:eastAsia="宋体" w:cs="Times New Roman"/>
          <w:color w:val="auto"/>
          <w:kern w:val="2"/>
        </w:rPr>
        <w:t>提前与委托方或受检方沟通并确认现场</w:t>
      </w:r>
      <w:r>
        <w:rPr>
          <w:rFonts w:eastAsia="宋体" w:cs="Times New Roman" w:hint="eastAsia"/>
          <w:color w:val="auto"/>
          <w:kern w:val="2"/>
        </w:rPr>
        <w:t>装置</w:t>
      </w:r>
      <w:r>
        <w:rPr>
          <w:rFonts w:eastAsia="宋体" w:cs="Times New Roman"/>
          <w:color w:val="auto"/>
          <w:kern w:val="2"/>
        </w:rPr>
        <w:t>、设施及环境</w:t>
      </w:r>
      <w:r>
        <w:rPr>
          <w:rFonts w:eastAsia="宋体" w:cs="Times New Roman" w:hint="eastAsia"/>
          <w:color w:val="auto"/>
          <w:kern w:val="2"/>
        </w:rPr>
        <w:t>条件</w:t>
      </w:r>
      <w:r>
        <w:rPr>
          <w:rFonts w:eastAsia="宋体" w:cs="Times New Roman"/>
          <w:color w:val="auto"/>
          <w:kern w:val="2"/>
        </w:rPr>
        <w:t>（</w:t>
      </w:r>
      <w:r>
        <w:rPr>
          <w:rFonts w:eastAsia="宋体" w:cs="Times New Roman" w:hint="eastAsia"/>
          <w:color w:val="auto"/>
          <w:kern w:val="2"/>
        </w:rPr>
        <w:t>如</w:t>
      </w:r>
      <w:r>
        <w:rPr>
          <w:rFonts w:eastAsia="宋体" w:cs="Times New Roman"/>
          <w:color w:val="auto"/>
          <w:kern w:val="2"/>
        </w:rPr>
        <w:t>：现场生产</w:t>
      </w:r>
      <w:r>
        <w:rPr>
          <w:rFonts w:eastAsia="宋体" w:cs="Times New Roman" w:hint="eastAsia"/>
          <w:color w:val="auto"/>
          <w:kern w:val="2"/>
        </w:rPr>
        <w:t>装置</w:t>
      </w:r>
      <w:r>
        <w:rPr>
          <w:rFonts w:eastAsia="宋体" w:cs="Times New Roman"/>
          <w:color w:val="auto"/>
          <w:kern w:val="2"/>
        </w:rPr>
        <w:t>的工艺参数条件、环境</w:t>
      </w:r>
      <w:r>
        <w:rPr>
          <w:rFonts w:eastAsia="宋体" w:cs="Times New Roman" w:hint="eastAsia"/>
          <w:color w:val="auto"/>
          <w:kern w:val="2"/>
        </w:rPr>
        <w:t>条件</w:t>
      </w:r>
      <w:r>
        <w:rPr>
          <w:rFonts w:eastAsia="宋体" w:cs="Times New Roman"/>
          <w:color w:val="auto"/>
          <w:kern w:val="2"/>
        </w:rPr>
        <w:t>的技术指标或生产工况现状等）</w:t>
      </w:r>
      <w:r>
        <w:rPr>
          <w:rFonts w:eastAsia="宋体" w:cs="Times New Roman" w:hint="eastAsia"/>
          <w:color w:val="auto"/>
          <w:kern w:val="2"/>
        </w:rPr>
        <w:t>，并保留</w:t>
      </w:r>
      <w:r>
        <w:rPr>
          <w:rFonts w:eastAsia="宋体" w:cs="Times New Roman"/>
          <w:color w:val="auto"/>
          <w:kern w:val="2"/>
        </w:rPr>
        <w:t>沟通</w:t>
      </w:r>
      <w:r>
        <w:rPr>
          <w:rFonts w:eastAsia="宋体" w:cs="Times New Roman" w:hint="eastAsia"/>
          <w:color w:val="auto"/>
          <w:kern w:val="2"/>
        </w:rPr>
        <w:t>记录</w:t>
      </w:r>
      <w:r>
        <w:rPr>
          <w:rFonts w:eastAsia="宋体" w:cs="Times New Roman"/>
          <w:color w:val="auto"/>
          <w:kern w:val="2"/>
        </w:rPr>
        <w:t>及工艺参数</w:t>
      </w:r>
      <w:r>
        <w:rPr>
          <w:rFonts w:eastAsia="宋体" w:cs="Times New Roman" w:hint="eastAsia"/>
          <w:color w:val="auto"/>
          <w:kern w:val="2"/>
        </w:rPr>
        <w:t>条件</w:t>
      </w:r>
      <w:r>
        <w:rPr>
          <w:rFonts w:eastAsia="宋体" w:cs="Times New Roman"/>
          <w:color w:val="auto"/>
          <w:kern w:val="2"/>
        </w:rPr>
        <w:t>、环境条件确认记录。</w:t>
      </w:r>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outlineLvl w:val="0"/>
        <w:rPr>
          <w:rFonts w:ascii="黑体" w:eastAsia="黑体" w:cs="Times New Roman"/>
          <w:color w:val="auto"/>
          <w:kern w:val="2"/>
        </w:rPr>
      </w:pPr>
      <w:bookmarkStart w:id="16" w:name="_Toc96699197"/>
      <w:r>
        <w:rPr>
          <w:rFonts w:ascii="黑体" w:eastAsia="黑体" w:cs="Times New Roman"/>
          <w:color w:val="auto"/>
          <w:kern w:val="2"/>
        </w:rPr>
        <w:t xml:space="preserve">6.4 </w:t>
      </w:r>
      <w:r>
        <w:rPr>
          <w:rFonts w:ascii="黑体" w:eastAsia="黑体" w:cs="Times New Roman" w:hint="eastAsia"/>
          <w:color w:val="auto"/>
          <w:kern w:val="2"/>
        </w:rPr>
        <w:t>设备</w:t>
      </w:r>
      <w:bookmarkEnd w:id="15"/>
      <w:bookmarkEnd w:id="16"/>
      <w:r>
        <w:rPr>
          <w:rFonts w:ascii="黑体" w:eastAsia="黑体" w:cs="Times New Roman"/>
          <w:color w:val="auto"/>
          <w:kern w:val="2"/>
        </w:rPr>
        <w:t xml:space="preserve"> </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bookmarkStart w:id="17" w:name="_Toc89875048"/>
      <w:bookmarkStart w:id="18" w:name="_Toc89875049"/>
      <w:r>
        <w:rPr>
          <w:rFonts w:eastAsia="宋体" w:cs="Times New Roman"/>
          <w:color w:val="auto"/>
          <w:kern w:val="2"/>
        </w:rPr>
        <w:t xml:space="preserve">6.4.1 </w:t>
      </w:r>
      <w:r>
        <w:rPr>
          <w:rFonts w:eastAsia="宋体" w:cs="Times New Roman" w:hint="eastAsia"/>
          <w:color w:val="auto"/>
          <w:kern w:val="2"/>
        </w:rPr>
        <w:t>实验室配备的化学物质</w:t>
      </w:r>
      <w:r>
        <w:rPr>
          <w:rFonts w:eastAsia="宋体" w:cs="Times New Roman"/>
          <w:color w:val="auto"/>
          <w:kern w:val="2"/>
        </w:rPr>
        <w:t>热稳定性测试仪、绝热量热测试仪</w:t>
      </w:r>
      <w:r>
        <w:rPr>
          <w:rFonts w:eastAsia="宋体" w:cs="Times New Roman" w:hint="eastAsia"/>
          <w:color w:val="auto"/>
          <w:kern w:val="2"/>
        </w:rPr>
        <w:t>和化学反应量热仪等关键检测设备需要是</w:t>
      </w:r>
      <w:bookmarkEnd w:id="17"/>
      <w:r>
        <w:rPr>
          <w:rFonts w:eastAsia="宋体" w:cs="Times New Roman" w:hint="eastAsia"/>
          <w:color w:val="auto"/>
          <w:kern w:val="2"/>
        </w:rPr>
        <w:t>实验室购买或长期租赁（租赁期限至少覆盖一个认可周期）的设备。</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r>
        <w:rPr>
          <w:rFonts w:eastAsia="宋体" w:cs="Times New Roman" w:hint="eastAsia"/>
          <w:color w:val="auto"/>
          <w:kern w:val="2"/>
        </w:rPr>
        <w:t>6.4.2</w:t>
      </w:r>
      <w:r>
        <w:rPr>
          <w:rFonts w:eastAsia="宋体" w:cs="Times New Roman"/>
          <w:color w:val="auto"/>
          <w:kern w:val="2"/>
        </w:rPr>
        <w:t>实验室在使用永久控制之外的设备前，需要核查其是否符合要求，并保存核查和使用记录。如：现场抽样，使用生产现场的外部仪器仪表。</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r>
        <w:rPr>
          <w:rFonts w:eastAsia="宋体" w:cs="Times New Roman" w:hint="eastAsia"/>
          <w:color w:val="auto"/>
          <w:kern w:val="2"/>
        </w:rPr>
        <w:t>6.4.3 实验室</w:t>
      </w:r>
      <w:r>
        <w:rPr>
          <w:rFonts w:eastAsia="宋体" w:cs="Times New Roman"/>
          <w:color w:val="auto"/>
          <w:kern w:val="2"/>
        </w:rPr>
        <w:t>可根据标准物质的特性对其分类并妥善存放</w:t>
      </w:r>
      <w:r>
        <w:rPr>
          <w:rFonts w:eastAsia="宋体" w:cs="Times New Roman" w:hint="eastAsia"/>
          <w:color w:val="auto"/>
          <w:kern w:val="2"/>
        </w:rPr>
        <w:t>，</w:t>
      </w:r>
      <w:r>
        <w:rPr>
          <w:rFonts w:eastAsia="宋体" w:cs="Times New Roman"/>
          <w:color w:val="auto"/>
          <w:kern w:val="2"/>
        </w:rPr>
        <w:t>例如</w:t>
      </w:r>
      <w:r>
        <w:rPr>
          <w:rFonts w:eastAsia="宋体" w:cs="Times New Roman" w:hint="eastAsia"/>
          <w:color w:val="auto"/>
          <w:kern w:val="2"/>
        </w:rPr>
        <w:t>用作</w:t>
      </w:r>
      <w:r>
        <w:rPr>
          <w:rFonts w:eastAsia="宋体" w:cs="Times New Roman"/>
          <w:color w:val="auto"/>
          <w:kern w:val="2"/>
        </w:rPr>
        <w:t>绝热</w:t>
      </w:r>
      <w:r>
        <w:rPr>
          <w:rFonts w:eastAsia="宋体" w:cs="Times New Roman" w:hint="eastAsia"/>
          <w:color w:val="auto"/>
          <w:kern w:val="2"/>
        </w:rPr>
        <w:t>量热</w:t>
      </w:r>
      <w:r>
        <w:rPr>
          <w:rFonts w:eastAsia="宋体" w:cs="Times New Roman"/>
          <w:color w:val="auto"/>
          <w:kern w:val="2"/>
        </w:rPr>
        <w:t>仪系统</w:t>
      </w:r>
      <w:r>
        <w:rPr>
          <w:rFonts w:eastAsia="宋体" w:cs="Times New Roman" w:hint="eastAsia"/>
          <w:color w:val="auto"/>
          <w:kern w:val="2"/>
        </w:rPr>
        <w:t>性能</w:t>
      </w:r>
      <w:r>
        <w:rPr>
          <w:rFonts w:eastAsia="宋体" w:cs="Times New Roman"/>
          <w:color w:val="auto"/>
          <w:kern w:val="2"/>
        </w:rPr>
        <w:t>验证的标准物质</w:t>
      </w:r>
      <w:r>
        <w:rPr>
          <w:rFonts w:eastAsia="宋体" w:cs="Times New Roman" w:hint="eastAsia"/>
          <w:color w:val="auto"/>
          <w:kern w:val="2"/>
        </w:rPr>
        <w:t>过氧化二叔丁基</w:t>
      </w:r>
      <w:r>
        <w:rPr>
          <w:rFonts w:eastAsia="宋体" w:cs="Times New Roman"/>
          <w:color w:val="auto"/>
          <w:kern w:val="2"/>
        </w:rPr>
        <w:t>（</w:t>
      </w:r>
      <w:r>
        <w:rPr>
          <w:rFonts w:eastAsia="宋体" w:cs="Times New Roman" w:hint="eastAsia"/>
          <w:color w:val="auto"/>
          <w:kern w:val="2"/>
        </w:rPr>
        <w:t>DTBP</w:t>
      </w:r>
      <w:r>
        <w:rPr>
          <w:rFonts w:eastAsia="宋体" w:cs="Times New Roman"/>
          <w:color w:val="auto"/>
          <w:kern w:val="2"/>
        </w:rPr>
        <w:t>）</w:t>
      </w:r>
      <w:r>
        <w:rPr>
          <w:rFonts w:eastAsia="宋体" w:cs="Times New Roman" w:hint="eastAsia"/>
          <w:color w:val="auto"/>
          <w:kern w:val="2"/>
        </w:rPr>
        <w:t>和偶氮二异丁腈</w:t>
      </w:r>
      <w:r>
        <w:rPr>
          <w:rFonts w:eastAsia="宋体" w:cs="Times New Roman"/>
          <w:color w:val="auto"/>
          <w:kern w:val="2"/>
        </w:rPr>
        <w:t>（</w:t>
      </w:r>
      <w:r>
        <w:rPr>
          <w:rFonts w:eastAsia="宋体" w:cs="Times New Roman" w:hint="eastAsia"/>
          <w:color w:val="auto"/>
          <w:kern w:val="2"/>
        </w:rPr>
        <w:t>AIBN</w:t>
      </w:r>
      <w:r>
        <w:rPr>
          <w:rFonts w:eastAsia="宋体" w:cs="Times New Roman"/>
          <w:color w:val="auto"/>
          <w:kern w:val="2"/>
        </w:rPr>
        <w:t>）</w:t>
      </w:r>
      <w:r>
        <w:rPr>
          <w:rFonts w:eastAsia="宋体" w:cs="Times New Roman" w:hint="eastAsia"/>
          <w:color w:val="auto"/>
          <w:kern w:val="2"/>
        </w:rPr>
        <w:t>要</w:t>
      </w:r>
      <w:r>
        <w:rPr>
          <w:rFonts w:eastAsia="宋体" w:cs="Times New Roman"/>
          <w:color w:val="auto"/>
          <w:kern w:val="2"/>
        </w:rPr>
        <w:t>低温</w:t>
      </w:r>
      <w:r>
        <w:rPr>
          <w:rFonts w:eastAsia="宋体" w:cs="Times New Roman" w:hint="eastAsia"/>
          <w:color w:val="auto"/>
          <w:kern w:val="2"/>
        </w:rPr>
        <w:t>避光保存</w:t>
      </w:r>
      <w:r>
        <w:rPr>
          <w:rFonts w:eastAsia="宋体" w:cs="Times New Roman"/>
          <w:color w:val="auto"/>
          <w:kern w:val="2"/>
        </w:rPr>
        <w:t>。</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r>
        <w:rPr>
          <w:rFonts w:eastAsia="宋体" w:cs="Times New Roman"/>
          <w:color w:val="auto"/>
          <w:kern w:val="2"/>
        </w:rPr>
        <w:t xml:space="preserve">6.4.4 </w:t>
      </w:r>
      <w:r>
        <w:rPr>
          <w:rFonts w:eastAsia="宋体" w:cs="Times New Roman" w:hint="eastAsia"/>
          <w:color w:val="auto"/>
          <w:kern w:val="2"/>
        </w:rPr>
        <w:t>对于只需对某些关键部件或参量进行校准的设备，当</w:t>
      </w:r>
      <w:r>
        <w:rPr>
          <w:rFonts w:eastAsia="宋体" w:cs="Times New Roman"/>
          <w:color w:val="auto"/>
          <w:kern w:val="2"/>
        </w:rPr>
        <w:t>设备</w:t>
      </w:r>
      <w:r>
        <w:rPr>
          <w:rFonts w:eastAsia="宋体" w:cs="Times New Roman" w:hint="eastAsia"/>
          <w:color w:val="auto"/>
          <w:kern w:val="2"/>
        </w:rPr>
        <w:t>投入</w:t>
      </w:r>
      <w:r>
        <w:rPr>
          <w:rFonts w:eastAsia="宋体" w:cs="Times New Roman"/>
          <w:color w:val="auto"/>
          <w:kern w:val="2"/>
        </w:rPr>
        <w:t>使用</w:t>
      </w:r>
      <w:r>
        <w:rPr>
          <w:rFonts w:eastAsia="宋体" w:cs="Times New Roman" w:hint="eastAsia"/>
          <w:color w:val="auto"/>
          <w:kern w:val="2"/>
        </w:rPr>
        <w:t>或</w:t>
      </w:r>
      <w:r>
        <w:rPr>
          <w:rFonts w:eastAsia="宋体" w:cs="Times New Roman"/>
          <w:color w:val="auto"/>
          <w:kern w:val="2"/>
        </w:rPr>
        <w:t>重新投入使用</w:t>
      </w:r>
      <w:r>
        <w:rPr>
          <w:rFonts w:eastAsia="宋体" w:cs="Times New Roman" w:hint="eastAsia"/>
          <w:color w:val="auto"/>
          <w:kern w:val="2"/>
        </w:rPr>
        <w:t>前</w:t>
      </w:r>
      <w:r>
        <w:rPr>
          <w:rFonts w:eastAsia="宋体" w:cs="Times New Roman"/>
          <w:color w:val="auto"/>
          <w:kern w:val="2"/>
        </w:rPr>
        <w:t>，</w:t>
      </w:r>
      <w:r>
        <w:rPr>
          <w:rFonts w:eastAsia="宋体" w:cs="Times New Roman" w:hint="eastAsia"/>
          <w:color w:val="auto"/>
          <w:kern w:val="2"/>
        </w:rPr>
        <w:t>还要</w:t>
      </w:r>
      <w:r>
        <w:rPr>
          <w:rFonts w:eastAsia="宋体" w:cs="Times New Roman"/>
          <w:color w:val="auto"/>
          <w:kern w:val="2"/>
        </w:rPr>
        <w:t>同时</w:t>
      </w:r>
      <w:r>
        <w:rPr>
          <w:rFonts w:eastAsia="宋体" w:cs="Times New Roman" w:hint="eastAsia"/>
          <w:color w:val="auto"/>
          <w:kern w:val="2"/>
        </w:rPr>
        <w:t>使用</w:t>
      </w:r>
      <w:r>
        <w:rPr>
          <w:rFonts w:eastAsia="宋体" w:cs="Times New Roman"/>
          <w:color w:val="auto"/>
          <w:kern w:val="2"/>
        </w:rPr>
        <w:t>标准物质</w:t>
      </w:r>
      <w:r>
        <w:rPr>
          <w:rFonts w:eastAsia="宋体" w:cs="Times New Roman" w:hint="eastAsia"/>
          <w:color w:val="auto"/>
          <w:kern w:val="2"/>
        </w:rPr>
        <w:t>（</w:t>
      </w:r>
      <w:r>
        <w:rPr>
          <w:rFonts w:eastAsia="宋体" w:cs="Times New Roman"/>
          <w:color w:val="auto"/>
          <w:kern w:val="2"/>
        </w:rPr>
        <w:t>可参考</w:t>
      </w:r>
      <w:r>
        <w:rPr>
          <w:rFonts w:eastAsia="宋体" w:cs="Times New Roman" w:hint="eastAsia"/>
          <w:color w:val="auto"/>
          <w:kern w:val="2"/>
        </w:rPr>
        <w:t>附录D《</w:t>
      </w:r>
      <w:r>
        <w:rPr>
          <w:rFonts w:eastAsia="宋体" w:cs="Times New Roman"/>
          <w:color w:val="auto"/>
          <w:kern w:val="2"/>
        </w:rPr>
        <w:t>反应量热仪</w:t>
      </w:r>
      <w:r>
        <w:rPr>
          <w:rFonts w:eastAsia="宋体" w:cs="Times New Roman" w:hint="eastAsia"/>
          <w:color w:val="auto"/>
          <w:kern w:val="2"/>
        </w:rPr>
        <w:t>性能验证范例》）</w:t>
      </w:r>
      <w:r>
        <w:rPr>
          <w:rFonts w:eastAsia="宋体" w:cs="Times New Roman"/>
          <w:color w:val="auto"/>
          <w:kern w:val="2"/>
        </w:rPr>
        <w:t>对整台</w:t>
      </w:r>
      <w:r>
        <w:rPr>
          <w:rFonts w:eastAsia="宋体" w:cs="Times New Roman" w:hint="eastAsia"/>
          <w:color w:val="auto"/>
          <w:kern w:val="2"/>
        </w:rPr>
        <w:t>/套</w:t>
      </w:r>
      <w:r>
        <w:rPr>
          <w:rFonts w:eastAsia="宋体" w:cs="Times New Roman"/>
          <w:color w:val="auto"/>
          <w:kern w:val="2"/>
        </w:rPr>
        <w:t>设备的性能</w:t>
      </w:r>
      <w:r>
        <w:rPr>
          <w:rFonts w:eastAsia="宋体" w:cs="Times New Roman" w:hint="eastAsia"/>
          <w:color w:val="auto"/>
          <w:kern w:val="2"/>
        </w:rPr>
        <w:t>进行验证。</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ind w:firstLine="480" w:firstLineChars="200"/>
        <w:jc w:val="both"/>
        <w:rPr>
          <w:rFonts w:eastAsia="宋体" w:cs="Times New Roman"/>
          <w:color w:val="auto"/>
          <w:kern w:val="2"/>
        </w:rPr>
      </w:pPr>
      <w:r>
        <w:rPr>
          <w:rFonts w:eastAsia="宋体" w:cs="Times New Roman" w:hint="eastAsia"/>
          <w:color w:val="auto"/>
          <w:kern w:val="2"/>
        </w:rPr>
        <w:t>示例：反应量热仪，需要校准温度传感器和压力传感器，设备投入使用或重新投入使用前要用标准物质（醋酸酐水解反应）对整机进行验证。</w:t>
      </w:r>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outlineLvl w:val="0"/>
        <w:rPr>
          <w:rFonts w:ascii="黑体" w:eastAsia="黑体" w:cs="Times New Roman"/>
          <w:color w:val="auto"/>
          <w:kern w:val="2"/>
        </w:rPr>
        <w:sectPr>
          <w:footerReference w:type="default" r:id="rId9"/>
          <w:type w:val="nextPage"/>
          <w:pgSz w:w="11900" w:h="16840"/>
          <w:pgMar w:top="1440" w:right="1800" w:bottom="1440" w:left="1800" w:header="851" w:footer="992" w:gutter="0"/>
          <w:pgNumType w:start="4"/>
          <w:cols w:num="1" w:space="720"/>
          <w:titlePg w:val="0"/>
          <w:docGrid w:linePitch="286" w:charSpace="0"/>
        </w:sectPr>
      </w:pPr>
      <w:bookmarkStart w:id="19" w:name="_Toc96699198"/>
      <w:r>
        <w:rPr>
          <w:rFonts w:ascii="黑体" w:eastAsia="黑体" w:cs="Times New Roman"/>
          <w:color w:val="auto"/>
          <w:kern w:val="2"/>
        </w:rPr>
        <w:t xml:space="preserve">6.5 </w:t>
      </w:r>
      <w:r>
        <w:rPr>
          <w:rFonts w:ascii="黑体" w:eastAsia="黑体" w:cs="Times New Roman" w:hint="eastAsia"/>
          <w:color w:val="auto"/>
          <w:kern w:val="2"/>
        </w:rPr>
        <w:t>计量溯源性</w:t>
      </w:r>
      <w:bookmarkEnd w:id="18"/>
      <w:bookmarkEnd w:id="19"/>
      <w:r>
        <w:rPr>
          <w:rFonts w:ascii="黑体" w:eastAsia="黑体" w:cs="Times New Roman"/>
          <w:color w:val="auto"/>
          <w:kern w:val="2"/>
        </w:rPr>
        <w:t xml:space="preserve"> </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r>
        <w:rPr>
          <w:rFonts w:eastAsia="宋体" w:cs="Times New Roman" w:hint="eastAsia"/>
          <w:color w:val="auto"/>
          <w:kern w:val="2"/>
        </w:rPr>
        <w:t>6.5.2 如果无法对</w:t>
      </w:r>
      <w:r>
        <w:rPr>
          <w:rFonts w:eastAsia="宋体" w:cs="Times New Roman"/>
          <w:color w:val="auto"/>
          <w:kern w:val="2"/>
        </w:rPr>
        <w:t>设备</w:t>
      </w:r>
      <w:r>
        <w:rPr>
          <w:rFonts w:eastAsia="宋体" w:cs="Times New Roman" w:hint="eastAsia"/>
          <w:color w:val="auto"/>
          <w:kern w:val="2"/>
        </w:rPr>
        <w:t>进行</w:t>
      </w:r>
      <w:r>
        <w:rPr>
          <w:rFonts w:eastAsia="宋体" w:cs="Times New Roman"/>
          <w:color w:val="auto"/>
          <w:kern w:val="2"/>
        </w:rPr>
        <w:t>整机校准，</w:t>
      </w:r>
      <w:r>
        <w:rPr>
          <w:rFonts w:eastAsia="宋体" w:cs="Times New Roman" w:hint="eastAsia"/>
          <w:color w:val="auto"/>
          <w:kern w:val="2"/>
        </w:rPr>
        <w:t>则需</w:t>
      </w:r>
      <w:r>
        <w:rPr>
          <w:rFonts w:eastAsia="宋体" w:cs="Times New Roman"/>
          <w:color w:val="auto"/>
          <w:kern w:val="2"/>
        </w:rPr>
        <w:t>考虑对其关键</w:t>
      </w:r>
      <w:r>
        <w:rPr>
          <w:rFonts w:eastAsia="宋体" w:cs="Times New Roman" w:hint="eastAsia"/>
          <w:color w:val="auto"/>
          <w:kern w:val="2"/>
        </w:rPr>
        <w:t>零/部件</w:t>
      </w:r>
      <w:r>
        <w:rPr>
          <w:rFonts w:eastAsia="宋体" w:cs="Times New Roman"/>
          <w:color w:val="auto"/>
          <w:kern w:val="2"/>
        </w:rPr>
        <w:t>（</w:t>
      </w:r>
      <w:r>
        <w:rPr>
          <w:rFonts w:eastAsia="宋体" w:cs="Times New Roman" w:hint="eastAsia"/>
          <w:color w:val="auto"/>
          <w:kern w:val="2"/>
        </w:rPr>
        <w:t>比如</w:t>
      </w:r>
      <w:r>
        <w:rPr>
          <w:rFonts w:eastAsia="宋体" w:cs="Times New Roman"/>
          <w:color w:val="auto"/>
          <w:kern w:val="2"/>
        </w:rPr>
        <w:t>温度传感器、压力传感器等）</w:t>
      </w:r>
      <w:r>
        <w:rPr>
          <w:rFonts w:eastAsia="宋体" w:cs="Times New Roman" w:hint="eastAsia"/>
          <w:color w:val="auto"/>
          <w:kern w:val="2"/>
        </w:rPr>
        <w:t>及</w:t>
      </w:r>
      <w:r>
        <w:rPr>
          <w:rFonts w:eastAsia="宋体" w:cs="Times New Roman"/>
          <w:color w:val="auto"/>
          <w:kern w:val="2"/>
        </w:rPr>
        <w:t>能够溯源到</w:t>
      </w:r>
      <w:r>
        <w:rPr>
          <w:rFonts w:eastAsia="宋体" w:cs="Times New Roman" w:hint="eastAsia"/>
          <w:color w:val="auto"/>
          <w:kern w:val="2"/>
        </w:rPr>
        <w:t>SI单位</w:t>
      </w:r>
      <w:r>
        <w:rPr>
          <w:rFonts w:eastAsia="宋体" w:cs="Times New Roman"/>
          <w:color w:val="auto"/>
          <w:kern w:val="2"/>
        </w:rPr>
        <w:t>的主要</w:t>
      </w:r>
      <w:r>
        <w:rPr>
          <w:rFonts w:eastAsia="宋体" w:cs="Times New Roman" w:hint="eastAsia"/>
          <w:color w:val="auto"/>
          <w:kern w:val="2"/>
        </w:rPr>
        <w:t>参量</w:t>
      </w:r>
      <w:r>
        <w:rPr>
          <w:rFonts w:eastAsia="宋体" w:cs="Times New Roman"/>
          <w:color w:val="auto"/>
          <w:kern w:val="2"/>
        </w:rPr>
        <w:t>等进行校准</w:t>
      </w:r>
      <w:r>
        <w:rPr>
          <w:rFonts w:eastAsia="宋体" w:cs="Times New Roman" w:hint="eastAsia"/>
          <w:color w:val="auto"/>
          <w:kern w:val="2"/>
        </w:rPr>
        <w:t>/检定。</w:t>
      </w:r>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outlineLvl w:val="0"/>
        <w:rPr>
          <w:sz w:val="28"/>
          <w:szCs w:val="28"/>
          <w:lang w:val="zh-TW"/>
        </w:rPr>
      </w:pPr>
      <w:bookmarkStart w:id="20" w:name="_Toc89875056"/>
      <w:bookmarkStart w:id="21" w:name="_Toc96699199"/>
      <w:r>
        <w:rPr>
          <w:rFonts w:ascii="黑体" w:eastAsia="黑体" w:cs="Times New Roman"/>
          <w:color w:val="auto"/>
          <w:kern w:val="2"/>
        </w:rPr>
        <w:t xml:space="preserve">6.6 </w:t>
      </w:r>
      <w:r>
        <w:rPr>
          <w:rFonts w:ascii="黑体" w:eastAsia="黑体" w:cs="Times New Roman" w:hint="eastAsia"/>
          <w:color w:val="auto"/>
          <w:kern w:val="2"/>
        </w:rPr>
        <w:t>外部提供的产品和服务</w:t>
      </w:r>
      <w:bookmarkEnd w:id="20"/>
      <w:bookmarkEnd w:id="21"/>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bookmarkStart w:id="22" w:name="_Toc89875057"/>
      <w:r>
        <w:rPr>
          <w:rFonts w:eastAsia="宋体" w:cs="Times New Roman"/>
          <w:color w:val="auto"/>
          <w:kern w:val="2"/>
        </w:rPr>
        <w:t>6.6.1当客户要求</w:t>
      </w:r>
      <w:r>
        <w:rPr>
          <w:rFonts w:eastAsia="宋体" w:cs="Times New Roman" w:hint="eastAsia"/>
          <w:color w:val="auto"/>
          <w:kern w:val="2"/>
        </w:rPr>
        <w:t>由</w:t>
      </w:r>
      <w:r>
        <w:rPr>
          <w:rFonts w:eastAsia="宋体" w:cs="Times New Roman"/>
          <w:color w:val="auto"/>
          <w:kern w:val="2"/>
        </w:rPr>
        <w:t>实验室提供</w:t>
      </w:r>
      <w:r>
        <w:rPr>
          <w:rFonts w:eastAsia="宋体" w:cs="Times New Roman" w:hint="eastAsia"/>
          <w:color w:val="auto"/>
          <w:kern w:val="2"/>
        </w:rPr>
        <w:t>和</w:t>
      </w:r>
      <w:r>
        <w:rPr>
          <w:rFonts w:eastAsia="宋体" w:cs="Times New Roman"/>
          <w:color w:val="auto"/>
          <w:kern w:val="2"/>
        </w:rPr>
        <w:t>制备</w:t>
      </w:r>
      <w:r>
        <w:rPr>
          <w:rFonts w:eastAsia="宋体" w:cs="Times New Roman" w:hint="eastAsia"/>
          <w:color w:val="auto"/>
          <w:kern w:val="2"/>
        </w:rPr>
        <w:t>合成化工产品</w:t>
      </w:r>
      <w:r>
        <w:rPr>
          <w:rFonts w:eastAsia="宋体" w:cs="Times New Roman"/>
          <w:color w:val="auto"/>
          <w:kern w:val="2"/>
        </w:rPr>
        <w:t>的</w:t>
      </w:r>
      <w:r>
        <w:rPr>
          <w:rFonts w:eastAsia="宋体" w:cs="Times New Roman"/>
        </w:rPr>
        <w:t>原料、中间</w:t>
      </w:r>
      <w:r>
        <w:rPr>
          <w:rFonts w:eastAsia="宋体" w:cs="Times New Roman" w:hint="eastAsia"/>
        </w:rPr>
        <w:t>产品</w:t>
      </w:r>
      <w:r>
        <w:rPr>
          <w:rFonts w:eastAsia="宋体" w:cs="Times New Roman"/>
        </w:rPr>
        <w:t>、</w:t>
      </w:r>
      <w:r>
        <w:rPr>
          <w:rFonts w:eastAsia="宋体" w:cs="Times New Roman" w:hint="eastAsia"/>
        </w:rPr>
        <w:t>产品</w:t>
      </w:r>
      <w:r>
        <w:rPr>
          <w:rFonts w:eastAsia="宋体" w:cs="Times New Roman"/>
        </w:rPr>
        <w:t>、副产物和</w:t>
      </w:r>
      <w:r>
        <w:rPr>
          <w:rFonts w:eastAsia="宋体" w:cs="Times New Roman" w:hint="eastAsia"/>
        </w:rPr>
        <w:t>废弃物</w:t>
      </w:r>
      <w:r>
        <w:rPr>
          <w:rFonts w:eastAsia="宋体" w:cs="Times New Roman"/>
          <w:color w:val="auto"/>
          <w:kern w:val="2"/>
        </w:rPr>
        <w:t>等相关物料</w:t>
      </w:r>
      <w:r>
        <w:rPr>
          <w:rFonts w:eastAsia="宋体" w:cs="Times New Roman" w:hint="eastAsia"/>
          <w:color w:val="auto"/>
          <w:kern w:val="2"/>
        </w:rPr>
        <w:t>时</w:t>
      </w:r>
      <w:r>
        <w:rPr>
          <w:rFonts w:eastAsia="宋体" w:cs="Times New Roman"/>
          <w:color w:val="auto"/>
          <w:kern w:val="2"/>
        </w:rPr>
        <w:t>，实验室</w:t>
      </w:r>
      <w:r>
        <w:rPr>
          <w:rFonts w:eastAsia="宋体" w:cs="Times New Roman" w:hint="eastAsia"/>
          <w:color w:val="auto"/>
          <w:kern w:val="2"/>
        </w:rPr>
        <w:t>需要</w:t>
      </w:r>
      <w:r>
        <w:rPr>
          <w:rFonts w:eastAsia="宋体" w:cs="Times New Roman"/>
          <w:color w:val="auto"/>
          <w:kern w:val="2"/>
        </w:rPr>
        <w:t>依据客户</w:t>
      </w:r>
      <w:r>
        <w:rPr>
          <w:rFonts w:eastAsia="宋体" w:cs="Times New Roman" w:hint="eastAsia"/>
          <w:color w:val="auto"/>
          <w:kern w:val="2"/>
        </w:rPr>
        <w:t>提供</w:t>
      </w:r>
      <w:r>
        <w:rPr>
          <w:rFonts w:eastAsia="宋体" w:cs="Times New Roman"/>
          <w:color w:val="auto"/>
          <w:kern w:val="2"/>
        </w:rPr>
        <w:t>的技术要求并征得客户同意后进行采购</w:t>
      </w:r>
      <w:r>
        <w:rPr>
          <w:rFonts w:eastAsia="宋体" w:cs="Times New Roman" w:hint="eastAsia"/>
          <w:color w:val="auto"/>
          <w:kern w:val="2"/>
        </w:rPr>
        <w:t>和</w:t>
      </w:r>
      <w:r>
        <w:rPr>
          <w:rFonts w:eastAsia="宋体" w:cs="Times New Roman"/>
          <w:color w:val="auto"/>
          <w:kern w:val="2"/>
        </w:rPr>
        <w:t>制备。</w:t>
      </w:r>
      <w:bookmarkEnd w:id="22"/>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outlineLvl w:val="0"/>
        <w:rPr>
          <w:rFonts w:ascii="黑体" w:eastAsia="黑体" w:cs="Times New Roman"/>
          <w:color w:val="auto"/>
          <w:kern w:val="2"/>
        </w:rPr>
      </w:pPr>
      <w:bookmarkStart w:id="23" w:name="_Toc96699200"/>
      <w:bookmarkStart w:id="24" w:name="_Toc89875058"/>
      <w:r>
        <w:rPr>
          <w:rFonts w:ascii="黑体" w:eastAsia="黑体" w:cs="Times New Roman"/>
          <w:color w:val="auto"/>
          <w:kern w:val="2"/>
        </w:rPr>
        <w:t xml:space="preserve">7 </w:t>
      </w:r>
      <w:r>
        <w:rPr>
          <w:rFonts w:ascii="黑体" w:eastAsia="黑体" w:cs="Times New Roman" w:hint="eastAsia"/>
          <w:color w:val="auto"/>
          <w:kern w:val="2"/>
        </w:rPr>
        <w:t>过程要求</w:t>
      </w:r>
      <w:bookmarkEnd w:id="23"/>
      <w:bookmarkEnd w:id="24"/>
      <w:r>
        <w:rPr>
          <w:rFonts w:ascii="黑体" w:eastAsia="黑体" w:cs="Times New Roman"/>
          <w:color w:val="auto"/>
          <w:kern w:val="2"/>
        </w:rPr>
        <w:t xml:space="preserve"> </w:t>
      </w:r>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outlineLvl w:val="0"/>
        <w:rPr>
          <w:rFonts w:ascii="黑体" w:eastAsia="黑体" w:cs="Times New Roman"/>
          <w:color w:val="auto"/>
          <w:kern w:val="2"/>
        </w:rPr>
      </w:pPr>
      <w:bookmarkStart w:id="25" w:name="_Toc89875059"/>
      <w:bookmarkStart w:id="26" w:name="_Toc96699201"/>
      <w:r>
        <w:rPr>
          <w:rFonts w:ascii="黑体" w:eastAsia="黑体" w:cs="Times New Roman"/>
          <w:color w:val="auto"/>
          <w:kern w:val="2"/>
        </w:rPr>
        <w:t xml:space="preserve">7.1 </w:t>
      </w:r>
      <w:r>
        <w:rPr>
          <w:rFonts w:ascii="黑体" w:eastAsia="黑体" w:cs="Times New Roman" w:hint="eastAsia"/>
          <w:color w:val="auto"/>
          <w:kern w:val="2"/>
        </w:rPr>
        <w:t>要求、标书和合同评审</w:t>
      </w:r>
      <w:bookmarkEnd w:id="25"/>
      <w:bookmarkEnd w:id="26"/>
      <w:r>
        <w:rPr>
          <w:rFonts w:ascii="黑体" w:eastAsia="黑体" w:cs="Times New Roman"/>
          <w:color w:val="auto"/>
          <w:kern w:val="2"/>
        </w:rPr>
        <w:t xml:space="preserve"> </w:t>
      </w:r>
    </w:p>
    <w:p>
      <w:pPr>
        <w:pStyle w:val="a0"/>
        <w:ind w:firstLine="0"/>
        <w:rPr>
          <w:rFonts w:eastAsia="宋体" w:cs="Times New Roman"/>
          <w:color w:val="auto"/>
          <w:kern w:val="2"/>
        </w:rPr>
      </w:pPr>
      <w:bookmarkStart w:id="27" w:name="_Toc89875063"/>
      <w:r>
        <w:rPr>
          <w:rFonts w:eastAsia="宋体" w:cs="Times New Roman"/>
          <w:color w:val="auto"/>
          <w:kern w:val="2"/>
        </w:rPr>
        <w:t xml:space="preserve">7.1.1 </w:t>
      </w:r>
      <w:r>
        <w:rPr>
          <w:rFonts w:eastAsia="宋体" w:cs="Times New Roman" w:hint="eastAsia"/>
          <w:color w:val="auto"/>
          <w:kern w:val="2"/>
        </w:rPr>
        <w:t>实验室制定的要求、标书和合同评审的文件需要包括但不限于：</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ind w:firstLine="485" w:firstLineChars="202"/>
        <w:jc w:val="both"/>
        <w:rPr>
          <w:rFonts w:eastAsia="宋体" w:cs="Times New Roman"/>
          <w:color w:val="auto"/>
          <w:kern w:val="2"/>
        </w:rPr>
      </w:pPr>
      <w:bookmarkStart w:id="28" w:name="_Toc89875060"/>
      <w:r>
        <w:rPr>
          <w:rFonts w:eastAsia="宋体" w:cs="Times New Roman"/>
          <w:color w:val="auto"/>
          <w:kern w:val="2"/>
        </w:rPr>
        <w:t>a</w:t>
      </w:r>
      <w:r>
        <w:rPr>
          <w:rFonts w:eastAsia="宋体" w:cs="Times New Roman" w:hint="eastAsia"/>
          <w:color w:val="auto"/>
          <w:kern w:val="2"/>
        </w:rPr>
        <w:t>）要求、标书或合同的内容要求，例如，对合成</w:t>
      </w:r>
      <w:r>
        <w:rPr>
          <w:rFonts w:eastAsia="宋体" w:cs="Times New Roman"/>
          <w:color w:val="auto"/>
          <w:kern w:val="2"/>
        </w:rPr>
        <w:t>化工产品的</w:t>
      </w:r>
      <w:r>
        <w:rPr>
          <w:rFonts w:eastAsia="宋体" w:cs="Times New Roman"/>
        </w:rPr>
        <w:t>原料、中间</w:t>
      </w:r>
      <w:r>
        <w:rPr>
          <w:rFonts w:eastAsia="宋体" w:cs="Times New Roman" w:hint="eastAsia"/>
        </w:rPr>
        <w:t>产品</w:t>
      </w:r>
      <w:r>
        <w:rPr>
          <w:rFonts w:eastAsia="宋体" w:cs="Times New Roman"/>
        </w:rPr>
        <w:t>、</w:t>
      </w:r>
      <w:r>
        <w:rPr>
          <w:rFonts w:eastAsia="宋体" w:cs="Times New Roman" w:hint="eastAsia"/>
        </w:rPr>
        <w:t>产品</w:t>
      </w:r>
      <w:r>
        <w:rPr>
          <w:rFonts w:eastAsia="宋体" w:cs="Times New Roman"/>
        </w:rPr>
        <w:t>、副产物和</w:t>
      </w:r>
      <w:r>
        <w:rPr>
          <w:rFonts w:eastAsia="宋体" w:cs="Times New Roman" w:hint="eastAsia"/>
        </w:rPr>
        <w:t>废弃物等</w:t>
      </w:r>
      <w:r>
        <w:rPr>
          <w:rFonts w:eastAsia="宋体" w:cs="Times New Roman" w:hint="eastAsia"/>
          <w:color w:val="auto"/>
          <w:kern w:val="2"/>
        </w:rPr>
        <w:t>相关物料的规格和</w:t>
      </w:r>
      <w:r>
        <w:rPr>
          <w:rFonts w:eastAsia="宋体" w:cs="Times New Roman"/>
          <w:color w:val="auto"/>
          <w:kern w:val="2"/>
        </w:rPr>
        <w:t>数量</w:t>
      </w:r>
      <w:r>
        <w:rPr>
          <w:rFonts w:eastAsia="宋体" w:cs="Times New Roman" w:hint="eastAsia"/>
          <w:color w:val="auto"/>
          <w:kern w:val="2"/>
        </w:rPr>
        <w:t>、合成</w:t>
      </w:r>
      <w:r>
        <w:rPr>
          <w:rFonts w:eastAsia="宋体" w:cs="Times New Roman"/>
          <w:color w:val="auto"/>
          <w:kern w:val="2"/>
        </w:rPr>
        <w:t>化工产品的化学</w:t>
      </w:r>
      <w:r>
        <w:rPr>
          <w:rFonts w:eastAsia="宋体" w:cs="Times New Roman" w:hint="eastAsia"/>
          <w:color w:val="auto"/>
          <w:kern w:val="2"/>
        </w:rPr>
        <w:t>反应的工艺</w:t>
      </w:r>
      <w:r>
        <w:rPr>
          <w:rFonts w:eastAsia="宋体" w:cs="Times New Roman"/>
          <w:color w:val="auto"/>
          <w:kern w:val="2"/>
        </w:rPr>
        <w:t>参数</w:t>
      </w:r>
      <w:r>
        <w:rPr>
          <w:rFonts w:eastAsia="宋体" w:cs="Times New Roman" w:hint="eastAsia"/>
          <w:color w:val="auto"/>
          <w:kern w:val="2"/>
        </w:rPr>
        <w:t>条件等予以充分规定；为确保实验室</w:t>
      </w:r>
      <w:r>
        <w:rPr>
          <w:rFonts w:eastAsia="宋体" w:cs="Times New Roman"/>
          <w:color w:val="auto"/>
          <w:kern w:val="2"/>
        </w:rPr>
        <w:t>全面</w:t>
      </w:r>
      <w:r>
        <w:rPr>
          <w:rFonts w:eastAsia="宋体" w:cs="Times New Roman" w:hint="eastAsia"/>
          <w:color w:val="auto"/>
          <w:kern w:val="2"/>
        </w:rPr>
        <w:t>掌握检测样品的相关危险性，以避免</w:t>
      </w:r>
      <w:r>
        <w:rPr>
          <w:rFonts w:eastAsia="宋体" w:cs="Times New Roman"/>
          <w:color w:val="auto"/>
          <w:kern w:val="2"/>
        </w:rPr>
        <w:t>检测过程中因</w:t>
      </w:r>
      <w:r>
        <w:rPr>
          <w:rFonts w:eastAsia="宋体" w:cs="Times New Roman" w:hint="eastAsia"/>
          <w:color w:val="auto"/>
          <w:kern w:val="2"/>
        </w:rPr>
        <w:t>未知</w:t>
      </w:r>
      <w:r>
        <w:rPr>
          <w:rFonts w:eastAsia="宋体" w:cs="Times New Roman"/>
          <w:color w:val="auto"/>
          <w:kern w:val="2"/>
        </w:rPr>
        <w:t>的危险性对</w:t>
      </w:r>
      <w:r>
        <w:rPr>
          <w:rFonts w:eastAsia="宋体" w:cs="Times New Roman" w:hint="eastAsia"/>
          <w:color w:val="auto"/>
          <w:kern w:val="2"/>
        </w:rPr>
        <w:t>检测人员</w:t>
      </w:r>
      <w:r>
        <w:rPr>
          <w:rFonts w:eastAsia="宋体" w:cs="Times New Roman"/>
          <w:color w:val="auto"/>
          <w:kern w:val="2"/>
        </w:rPr>
        <w:t>造成不必要的人身伤害，</w:t>
      </w:r>
      <w:r>
        <w:rPr>
          <w:rFonts w:eastAsia="宋体" w:cs="Times New Roman" w:hint="eastAsia"/>
          <w:color w:val="auto"/>
          <w:kern w:val="2"/>
        </w:rPr>
        <w:t>实验室要告知客户在委托检测时应尽可能提供所有未知危险性待检测样品的</w:t>
      </w:r>
      <w:r>
        <w:rPr>
          <w:rFonts w:eastAsia="宋体" w:cs="Times New Roman"/>
          <w:color w:val="auto"/>
          <w:kern w:val="2"/>
        </w:rPr>
        <w:t>“</w:t>
      </w:r>
      <w:r>
        <w:rPr>
          <w:rFonts w:eastAsia="宋体" w:cs="Times New Roman" w:hint="eastAsia"/>
          <w:color w:val="auto"/>
          <w:kern w:val="2"/>
        </w:rPr>
        <w:t>化学品安全技术说明书（</w:t>
      </w:r>
      <w:r>
        <w:rPr>
          <w:rFonts w:eastAsia="宋体" w:cs="Times New Roman"/>
          <w:color w:val="auto"/>
          <w:kern w:val="2"/>
        </w:rPr>
        <w:t>MSDS</w:t>
      </w:r>
      <w:r>
        <w:rPr>
          <w:rFonts w:eastAsia="宋体" w:cs="Times New Roman" w:hint="eastAsia"/>
          <w:color w:val="auto"/>
          <w:kern w:val="2"/>
        </w:rPr>
        <w:t>）</w:t>
      </w:r>
      <w:r>
        <w:rPr>
          <w:rFonts w:eastAsia="宋体" w:cs="Times New Roman"/>
          <w:color w:val="auto"/>
          <w:kern w:val="2"/>
        </w:rPr>
        <w:t>”</w:t>
      </w:r>
      <w:r>
        <w:rPr>
          <w:rFonts w:eastAsia="宋体" w:cs="Times New Roman" w:hint="eastAsia"/>
          <w:color w:val="auto"/>
          <w:kern w:val="2"/>
        </w:rPr>
        <w:t>。</w:t>
      </w:r>
      <w:bookmarkEnd w:id="28"/>
    </w:p>
    <w:p>
      <w:pPr>
        <w:widowControl w:val="0"/>
        <w:pBdr>
          <w:top w:val="none" w:sz="0" w:space="0" w:color="auto"/>
          <w:left w:val="none" w:sz="0" w:space="0" w:color="auto"/>
          <w:bottom w:val="none" w:sz="0" w:space="0" w:color="auto"/>
          <w:right w:val="none" w:sz="0" w:space="0" w:color="auto"/>
          <w:between w:val="none" w:sz="0" w:space="0" w:color="auto"/>
        </w:pBdr>
        <w:spacing w:line="360" w:lineRule="auto"/>
        <w:ind w:firstLine="485" w:firstLineChars="202"/>
        <w:jc w:val="both"/>
        <w:rPr>
          <w:rFonts w:eastAsia="宋体" w:cs="Times New Roman"/>
          <w:color w:val="auto"/>
          <w:kern w:val="2"/>
        </w:rPr>
      </w:pPr>
      <w:bookmarkStart w:id="29" w:name="_Toc89875061"/>
      <w:r>
        <w:rPr>
          <w:rFonts w:eastAsia="宋体" w:cs="Times New Roman"/>
          <w:color w:val="auto"/>
          <w:kern w:val="2"/>
        </w:rPr>
        <w:t>b）准确告知客户获得CNAS认可的检测能力，不</w:t>
      </w:r>
      <w:r>
        <w:rPr>
          <w:rFonts w:eastAsia="宋体" w:cs="Times New Roman" w:hint="eastAsia"/>
          <w:color w:val="auto"/>
          <w:kern w:val="2"/>
        </w:rPr>
        <w:t>能让客户产生误解。例如让客户误认为</w:t>
      </w:r>
      <w:r>
        <w:rPr>
          <w:rFonts w:eastAsia="宋体" w:cs="Times New Roman"/>
          <w:color w:val="auto"/>
          <w:kern w:val="2"/>
        </w:rPr>
        <w:t>“物质分解热评估”、“失控反应严重度评估”、“失控反应发生可能性评估”、“失控反应安全风险矩阵评估”和“反应工艺危险度等级评估”等评估</w:t>
      </w:r>
      <w:r>
        <w:rPr>
          <w:rFonts w:eastAsia="宋体" w:cs="Times New Roman" w:hint="eastAsia"/>
          <w:color w:val="auto"/>
          <w:kern w:val="2"/>
        </w:rPr>
        <w:t>过程也包含在获CNAS认可的检测能力内</w:t>
      </w:r>
      <w:r>
        <w:rPr>
          <w:rFonts w:eastAsia="宋体" w:cs="Times New Roman"/>
          <w:color w:val="auto"/>
          <w:kern w:val="2"/>
        </w:rPr>
        <w:t>。</w:t>
      </w:r>
      <w:bookmarkEnd w:id="29"/>
    </w:p>
    <w:bookmarkEnd w:id="27"/>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bookmarkStart w:id="30" w:name="_Toc89875066"/>
      <w:r>
        <w:rPr>
          <w:rFonts w:eastAsia="宋体" w:cs="Times New Roman"/>
          <w:color w:val="auto"/>
          <w:kern w:val="2"/>
        </w:rPr>
        <w:t>7.1.5 合同实施过程中</w:t>
      </w:r>
      <w:r>
        <w:rPr>
          <w:rFonts w:eastAsia="宋体" w:cs="Times New Roman" w:hint="eastAsia"/>
          <w:color w:val="auto"/>
          <w:kern w:val="2"/>
        </w:rPr>
        <w:t>与约定的检测条件/工艺参数的任何偏离都要通知客户。</w:t>
      </w:r>
      <w:r>
        <w:rPr>
          <w:rFonts w:eastAsia="宋体" w:cs="Times New Roman"/>
          <w:color w:val="auto"/>
          <w:kern w:val="2"/>
        </w:rPr>
        <w:t xml:space="preserve"> </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bookmarkStart w:id="31" w:name="_Toc89875064"/>
      <w:r>
        <w:rPr>
          <w:rFonts w:eastAsia="宋体" w:cs="Times New Roman"/>
          <w:color w:val="auto"/>
          <w:kern w:val="2"/>
        </w:rPr>
        <w:t>7.1.6涉及到化学反应</w:t>
      </w:r>
      <w:r>
        <w:rPr>
          <w:rFonts w:eastAsia="宋体" w:cs="Times New Roman" w:hint="eastAsia"/>
          <w:color w:val="auto"/>
          <w:kern w:val="2"/>
        </w:rPr>
        <w:t>工艺</w:t>
      </w:r>
      <w:r>
        <w:rPr>
          <w:rFonts w:eastAsia="宋体" w:cs="Times New Roman"/>
          <w:color w:val="auto"/>
          <w:kern w:val="2"/>
        </w:rPr>
        <w:t>参数条件的变更，</w:t>
      </w:r>
      <w:r>
        <w:rPr>
          <w:rFonts w:eastAsia="宋体" w:cs="Times New Roman" w:hint="eastAsia"/>
          <w:color w:val="auto"/>
          <w:kern w:val="2"/>
        </w:rPr>
        <w:t>需要</w:t>
      </w:r>
      <w:r>
        <w:rPr>
          <w:rFonts w:eastAsia="宋体" w:cs="Times New Roman"/>
          <w:color w:val="auto"/>
          <w:kern w:val="2"/>
        </w:rPr>
        <w:t>通知到相关检测人员。</w:t>
      </w:r>
      <w:bookmarkEnd w:id="31"/>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outlineLvl w:val="0"/>
        <w:rPr>
          <w:rFonts w:ascii="黑体" w:eastAsia="黑体" w:cs="Times New Roman"/>
          <w:color w:val="auto"/>
          <w:kern w:val="2"/>
        </w:rPr>
      </w:pPr>
      <w:bookmarkStart w:id="32" w:name="_Toc96699202"/>
      <w:r>
        <w:rPr>
          <w:rFonts w:ascii="黑体" w:eastAsia="黑体" w:cs="Times New Roman"/>
          <w:color w:val="auto"/>
          <w:kern w:val="2"/>
        </w:rPr>
        <w:t xml:space="preserve">7.2 </w:t>
      </w:r>
      <w:r>
        <w:rPr>
          <w:rFonts w:ascii="黑体" w:eastAsia="黑体" w:cs="Times New Roman" w:hint="eastAsia"/>
          <w:color w:val="auto"/>
          <w:kern w:val="2"/>
        </w:rPr>
        <w:t>方法的选择、验证和确认</w:t>
      </w:r>
      <w:bookmarkEnd w:id="30"/>
      <w:bookmarkEnd w:id="32"/>
      <w:r>
        <w:rPr>
          <w:rFonts w:ascii="黑体" w:eastAsia="黑体" w:cs="Times New Roman"/>
          <w:color w:val="auto"/>
          <w:kern w:val="2"/>
        </w:rPr>
        <w:t xml:space="preserve"> </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bookmarkStart w:id="33" w:name="_Toc89875067"/>
      <w:bookmarkStart w:id="34" w:name="_Toc89875496"/>
      <w:r>
        <w:rPr>
          <w:rFonts w:eastAsia="宋体" w:cs="Times New Roman"/>
          <w:color w:val="auto"/>
          <w:kern w:val="2"/>
        </w:rPr>
        <w:t xml:space="preserve">7.2.1 </w:t>
      </w:r>
      <w:r>
        <w:rPr>
          <w:rFonts w:eastAsia="宋体" w:cs="Times New Roman" w:hint="eastAsia"/>
          <w:color w:val="auto"/>
          <w:kern w:val="2"/>
        </w:rPr>
        <w:t>方法的选择和验证</w:t>
      </w:r>
      <w:bookmarkEnd w:id="33"/>
      <w:bookmarkEnd w:id="34"/>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r>
        <w:rPr>
          <w:rFonts w:eastAsia="宋体" w:cs="Times New Roman" w:hint="eastAsia"/>
          <w:color w:val="auto"/>
          <w:kern w:val="2"/>
        </w:rPr>
        <w:t>7.2.1.1 实验室要选用适当的方法和程序开展所有实验室活动。</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r>
        <w:rPr>
          <w:rFonts w:eastAsia="宋体" w:cs="Times New Roman" w:hint="eastAsia"/>
          <w:color w:val="auto"/>
          <w:kern w:val="2"/>
        </w:rPr>
        <w:t>示例：绝热量热测试尽可能不选择在测试过程中不能融化的固体样品进行检测，原因为此类样品加入量热罐中无法保证温度传感器在测试过程中能与被测样品接触，影响测试结果的准确性。</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rPr>
        <w:sectPr>
          <w:footerReference w:type="default" r:id="rId10"/>
          <w:type w:val="nextPage"/>
          <w:pgSz w:w="11900" w:h="16840"/>
          <w:pgMar w:top="1440" w:right="1800" w:bottom="1440" w:left="1800" w:header="851" w:footer="992" w:gutter="0"/>
          <w:pgNumType w:start="5"/>
          <w:cols w:num="1" w:space="720"/>
          <w:titlePg w:val="0"/>
          <w:docGrid w:linePitch="286" w:charSpace="0"/>
        </w:sectPr>
      </w:pPr>
      <w:r>
        <w:rPr>
          <w:rFonts w:eastAsia="宋体" w:cs="Times New Roman" w:hint="eastAsia"/>
        </w:rPr>
        <w:t>7.2.1.3 当</w:t>
      </w:r>
      <w:r>
        <w:rPr>
          <w:rFonts w:eastAsia="宋体" w:cs="Times New Roman"/>
        </w:rPr>
        <w:t>存在以下情况时，实验室</w:t>
      </w:r>
      <w:r>
        <w:rPr>
          <w:rFonts w:eastAsia="宋体" w:cs="Times New Roman" w:hint="eastAsia"/>
        </w:rPr>
        <w:t>要</w:t>
      </w:r>
      <w:r>
        <w:rPr>
          <w:rFonts w:eastAsia="宋体" w:cs="Times New Roman"/>
        </w:rPr>
        <w:t>制定</w:t>
      </w:r>
      <w:r>
        <w:rPr>
          <w:rFonts w:eastAsia="宋体" w:cs="Times New Roman" w:hint="eastAsia"/>
        </w:rPr>
        <w:t>包含</w:t>
      </w:r>
      <w:r>
        <w:rPr>
          <w:rFonts w:eastAsia="宋体" w:cs="Times New Roman"/>
        </w:rPr>
        <w:t>所有关键技术内容</w:t>
      </w:r>
      <w:r>
        <w:rPr>
          <w:rFonts w:eastAsia="宋体" w:cs="Times New Roman" w:hint="eastAsia"/>
        </w:rPr>
        <w:t>的</w:t>
      </w:r>
      <w:r>
        <w:rPr>
          <w:rFonts w:eastAsia="宋体" w:cs="Times New Roman"/>
        </w:rPr>
        <w:t>作业指导书</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rPr>
      </w:pPr>
      <w:r>
        <w:rPr>
          <w:rFonts w:eastAsia="宋体" w:cs="Times New Roman" w:hint="eastAsia"/>
        </w:rPr>
        <w:t>（可参考见附录A《 精细</w:t>
      </w:r>
      <w:r>
        <w:rPr>
          <w:rFonts w:eastAsia="宋体" w:cs="Times New Roman"/>
        </w:rPr>
        <w:t>化工产品</w:t>
      </w:r>
      <w:r>
        <w:rPr>
          <w:rFonts w:eastAsia="宋体" w:cs="Times New Roman" w:hint="eastAsia"/>
        </w:rPr>
        <w:t>热</w:t>
      </w:r>
      <w:r>
        <w:rPr>
          <w:rFonts w:eastAsia="宋体" w:cs="Times New Roman"/>
        </w:rPr>
        <w:t>安全检测</w:t>
      </w:r>
      <w:r>
        <w:rPr>
          <w:rFonts w:eastAsia="宋体" w:cs="Times New Roman" w:hint="eastAsia"/>
        </w:rPr>
        <w:t>领域实验室检测</w:t>
      </w:r>
      <w:r>
        <w:rPr>
          <w:rFonts w:eastAsia="宋体" w:cs="Times New Roman"/>
        </w:rPr>
        <w:t>关键技术</w:t>
      </w:r>
      <w:r>
        <w:rPr>
          <w:rFonts w:eastAsia="宋体" w:cs="Times New Roman" w:hint="eastAsia"/>
        </w:rPr>
        <w:t>点》</w:t>
      </w:r>
      <w:r>
        <w:rPr>
          <w:rFonts w:ascii="宋体" w:eastAsia="宋体" w:hAnsi="宋体" w:cs="Arial" w:hint="eastAsia"/>
        </w:rPr>
        <w:t>）</w:t>
      </w:r>
      <w:r>
        <w:rPr>
          <w:rFonts w:eastAsia="宋体" w:cs="Times New Roman"/>
        </w:rPr>
        <w:t>：</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ind w:firstLine="480" w:firstLineChars="200"/>
        <w:jc w:val="both"/>
        <w:rPr>
          <w:rFonts w:eastAsia="宋体" w:cs="Times New Roman"/>
        </w:rPr>
      </w:pPr>
      <w:r>
        <w:rPr>
          <w:rFonts w:eastAsia="宋体" w:cs="Times New Roman"/>
        </w:rPr>
        <w:t>a）</w:t>
      </w:r>
      <w:r>
        <w:rPr>
          <w:rFonts w:eastAsia="宋体" w:cs="Times New Roman" w:hint="eastAsia"/>
        </w:rPr>
        <w:t>当</w:t>
      </w:r>
      <w:r>
        <w:rPr>
          <w:rFonts w:eastAsia="宋体" w:cs="Times New Roman"/>
        </w:rPr>
        <w:t>检测方法</w:t>
      </w:r>
      <w:r>
        <w:rPr>
          <w:rFonts w:eastAsia="宋体" w:cs="Times New Roman" w:hint="eastAsia"/>
        </w:rPr>
        <w:t>对</w:t>
      </w:r>
      <w:r>
        <w:rPr>
          <w:rFonts w:eastAsia="宋体" w:cs="Times New Roman"/>
        </w:rPr>
        <w:t>制定作业指导书有要求时；</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ind w:firstLine="480" w:firstLineChars="200"/>
        <w:jc w:val="both"/>
        <w:rPr>
          <w:rFonts w:eastAsia="仿宋_GB2312" w:cs="Times New Roman"/>
        </w:rPr>
      </w:pPr>
      <w:r>
        <w:rPr>
          <w:rFonts w:eastAsia="宋体" w:cs="Times New Roman"/>
        </w:rPr>
        <w:t>b）</w:t>
      </w:r>
      <w:r>
        <w:rPr>
          <w:rFonts w:eastAsia="宋体" w:cs="Times New Roman" w:hint="eastAsia"/>
        </w:rPr>
        <w:t>方法</w:t>
      </w:r>
      <w:r>
        <w:rPr>
          <w:rFonts w:eastAsia="宋体" w:cs="Times New Roman"/>
        </w:rPr>
        <w:t>中对影响检测结果的</w:t>
      </w:r>
      <w:r>
        <w:rPr>
          <w:rFonts w:eastAsia="宋体" w:cs="Times New Roman" w:hint="eastAsia"/>
        </w:rPr>
        <w:t>环节</w:t>
      </w:r>
      <w:r>
        <w:rPr>
          <w:rFonts w:eastAsia="宋体" w:cs="Times New Roman"/>
        </w:rPr>
        <w:t>未能详述</w:t>
      </w:r>
      <w:r>
        <w:rPr>
          <w:rFonts w:eastAsia="宋体" w:cs="Times New Roman" w:hint="eastAsia"/>
        </w:rPr>
        <w:t>时，例如GB/T 22232第</w:t>
      </w:r>
      <w:r>
        <w:rPr>
          <w:rFonts w:eastAsia="宋体" w:cs="Times New Roman"/>
        </w:rPr>
        <w:t>7.2.1.4</w:t>
      </w:r>
      <w:r>
        <w:rPr>
          <w:rFonts w:eastAsia="宋体" w:cs="Times New Roman" w:hint="eastAsia"/>
        </w:rPr>
        <w:t>、7.3、10.1、10.2和11.2条款</w:t>
      </w:r>
      <w:r>
        <w:rPr>
          <w:rFonts w:eastAsia="宋体" w:cs="Times New Roman"/>
        </w:rPr>
        <w:t>，</w:t>
      </w:r>
      <w:r>
        <w:rPr>
          <w:rFonts w:eastAsia="宋体" w:cs="Times New Roman" w:hint="eastAsia"/>
        </w:rPr>
        <w:t>SN</w:t>
      </w:r>
      <w:r>
        <w:rPr>
          <w:rFonts w:eastAsia="宋体" w:cs="Times New Roman"/>
        </w:rPr>
        <w:t>/</w:t>
      </w:r>
      <w:r>
        <w:rPr>
          <w:rFonts w:eastAsia="宋体" w:cs="Times New Roman" w:hint="eastAsia"/>
        </w:rPr>
        <w:t>T 3078.1第4.1、8.2.1和9.1条款；</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ind w:firstLine="480" w:firstLineChars="200"/>
        <w:jc w:val="both"/>
        <w:rPr>
          <w:rFonts w:eastAsia="宋体" w:cs="Times New Roman"/>
        </w:rPr>
      </w:pPr>
      <w:r>
        <w:rPr>
          <w:rFonts w:eastAsia="宋体" w:cs="Times New Roman"/>
        </w:rPr>
        <w:t>c）</w:t>
      </w:r>
      <w:r>
        <w:rPr>
          <w:rFonts w:eastAsia="宋体" w:cs="Times New Roman" w:hint="eastAsia"/>
        </w:rPr>
        <w:t>使用</w:t>
      </w:r>
      <w:r>
        <w:rPr>
          <w:rFonts w:eastAsia="宋体" w:cs="Times New Roman"/>
        </w:rPr>
        <w:t>其他国家、地区或组织制定的非中文版方法</w:t>
      </w:r>
      <w:r>
        <w:rPr>
          <w:rFonts w:eastAsia="宋体" w:cs="Times New Roman" w:hint="eastAsia"/>
        </w:rPr>
        <w:t>，且</w:t>
      </w:r>
      <w:r>
        <w:rPr>
          <w:rFonts w:eastAsia="宋体" w:cs="Times New Roman"/>
        </w:rPr>
        <w:t>检测人员不能读懂其内容时</w:t>
      </w:r>
      <w:r>
        <w:rPr>
          <w:rFonts w:eastAsia="宋体" w:cs="Times New Roman" w:hint="eastAsia"/>
        </w:rPr>
        <w:t>，例如ASTM E</w:t>
      </w:r>
      <w:r>
        <w:rPr>
          <w:rFonts w:eastAsia="宋体" w:cs="Times New Roman"/>
        </w:rPr>
        <w:t xml:space="preserve"> </w:t>
      </w:r>
      <w:r>
        <w:rPr>
          <w:rFonts w:eastAsia="宋体" w:cs="Times New Roman" w:hint="eastAsia"/>
        </w:rPr>
        <w:t>537和</w:t>
      </w:r>
      <w:r>
        <w:rPr>
          <w:rFonts w:eastAsia="宋体" w:cs="Times New Roman"/>
        </w:rPr>
        <w:t>ASTM E 1981</w:t>
      </w:r>
      <w:r>
        <w:rPr>
          <w:rFonts w:eastAsia="宋体" w:cs="Times New Roman" w:hint="eastAsia"/>
        </w:rPr>
        <w:t>。</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rPr>
          <w:rFonts w:eastAsia="宋体" w:cs="Times New Roman"/>
          <w:color w:val="auto"/>
          <w:kern w:val="2"/>
        </w:rPr>
      </w:pPr>
      <w:bookmarkStart w:id="35" w:name="_Toc89875069"/>
      <w:r>
        <w:rPr>
          <w:rFonts w:eastAsia="宋体" w:cs="Times New Roman"/>
          <w:color w:val="auto"/>
          <w:kern w:val="2"/>
        </w:rPr>
        <w:t>7.2.1.5 实验室可参照GB/T27417</w:t>
      </w:r>
      <w:r>
        <w:rPr>
          <w:rFonts w:eastAsia="宋体" w:cs="Times New Roman" w:hint="eastAsia"/>
          <w:color w:val="auto"/>
          <w:kern w:val="2"/>
        </w:rPr>
        <w:t>《</w:t>
      </w:r>
      <w:r>
        <w:rPr>
          <w:rFonts w:eastAsia="宋体" w:cs="Times New Roman"/>
          <w:color w:val="auto"/>
          <w:kern w:val="2"/>
        </w:rPr>
        <w:t>合格评定 化学分析方法确认和验证指南</w:t>
      </w:r>
      <w:r>
        <w:rPr>
          <w:rFonts w:eastAsia="宋体" w:cs="Times New Roman" w:hint="eastAsia"/>
          <w:color w:val="auto"/>
          <w:kern w:val="2"/>
        </w:rPr>
        <w:t>》</w:t>
      </w:r>
      <w:r>
        <w:rPr>
          <w:rFonts w:eastAsia="宋体" w:cs="Times New Roman"/>
          <w:color w:val="auto"/>
          <w:kern w:val="2"/>
        </w:rPr>
        <w:t>进行方法验证和确认。</w:t>
      </w:r>
      <w:bookmarkEnd w:id="35"/>
    </w:p>
    <w:p>
      <w:pPr>
        <w:spacing w:line="360" w:lineRule="auto"/>
        <w:jc w:val="both"/>
        <w:rPr>
          <w:rFonts w:eastAsia="宋体" w:cs="Times New Roman"/>
          <w:spacing w:val="8"/>
        </w:rPr>
      </w:pPr>
      <w:bookmarkStart w:id="36" w:name="_Toc89875070"/>
      <w:r>
        <w:rPr>
          <w:rFonts w:eastAsia="宋体" w:cs="Times New Roman" w:hint="eastAsia"/>
          <w:spacing w:val="8"/>
        </w:rPr>
        <w:t>7.2.2.1 对于</w:t>
      </w:r>
      <w:r>
        <w:rPr>
          <w:rFonts w:eastAsia="宋体" w:cs="Times New Roman"/>
          <w:spacing w:val="8"/>
        </w:rPr>
        <w:t>没有规定详细检测过程的团体标准，按非标方法进行确认并验证</w:t>
      </w:r>
      <w:r>
        <w:rPr>
          <w:rFonts w:eastAsia="宋体" w:cs="Times New Roman" w:hint="eastAsia"/>
          <w:spacing w:val="8"/>
        </w:rPr>
        <w:t>，</w:t>
      </w:r>
      <w:r>
        <w:rPr>
          <w:rFonts w:eastAsia="宋体" w:cs="Times New Roman" w:hint="eastAsia"/>
          <w:color w:val="auto"/>
          <w:kern w:val="2"/>
        </w:rPr>
        <w:t>例如</w:t>
      </w:r>
      <w:r>
        <w:rPr>
          <w:rFonts w:eastAsia="宋体" w:cs="Times New Roman"/>
          <w:color w:val="auto"/>
          <w:kern w:val="2"/>
        </w:rPr>
        <w:t>T/CIESC 0001</w:t>
      </w:r>
      <w:r>
        <w:rPr>
          <w:rFonts w:eastAsia="宋体" w:cs="Times New Roman" w:hint="eastAsia"/>
          <w:color w:val="auto"/>
          <w:kern w:val="2"/>
        </w:rPr>
        <w:t>第</w:t>
      </w:r>
      <w:r>
        <w:rPr>
          <w:rFonts w:eastAsia="宋体" w:cs="Times New Roman" w:hint="eastAsia"/>
          <w:spacing w:val="8"/>
        </w:rPr>
        <w:t>6部分</w:t>
      </w:r>
      <w:r>
        <w:rPr>
          <w:rFonts w:eastAsia="宋体" w:cs="Times New Roman"/>
          <w:spacing w:val="8"/>
        </w:rPr>
        <w:t>。</w:t>
      </w:r>
      <w:r>
        <w:rPr>
          <w:rFonts w:eastAsia="宋体" w:cs="Times New Roman" w:hint="eastAsia"/>
          <w:spacing w:val="8"/>
        </w:rPr>
        <w:t>实验室进行方法确认时需关注：</w:t>
      </w:r>
      <w:r>
        <w:rPr>
          <w:rFonts w:eastAsia="宋体" w:cs="Times New Roman"/>
          <w:spacing w:val="8"/>
        </w:rPr>
        <w:t xml:space="preserve"> </w:t>
      </w:r>
    </w:p>
    <w:p>
      <w:pPr>
        <w:spacing w:line="360" w:lineRule="auto"/>
        <w:ind w:firstLine="480" w:firstLineChars="200"/>
        <w:jc w:val="both"/>
        <w:rPr>
          <w:rFonts w:eastAsia="宋体" w:cs="Times New Roman"/>
          <w:color w:val="auto"/>
          <w:kern w:val="2"/>
        </w:rPr>
      </w:pPr>
      <w:r>
        <w:rPr>
          <w:rFonts w:eastAsia="仿宋_GB2312" w:cs="Times New Roman"/>
        </w:rPr>
        <w:t>a</w:t>
      </w:r>
      <w:r>
        <w:rPr>
          <w:rFonts w:eastAsia="仿宋_GB2312" w:cs="Times New Roman" w:hint="eastAsia"/>
        </w:rPr>
        <w:t>）</w:t>
      </w:r>
      <w:r>
        <w:rPr>
          <w:rFonts w:eastAsia="宋体" w:cs="Times New Roman"/>
          <w:color w:val="auto"/>
          <w:kern w:val="2"/>
        </w:rPr>
        <w:t>使用</w:t>
      </w:r>
      <w:r>
        <w:rPr>
          <w:rFonts w:eastAsia="宋体" w:cs="Times New Roman" w:hint="eastAsia"/>
          <w:color w:val="auto"/>
          <w:kern w:val="2"/>
        </w:rPr>
        <w:t>系统</w:t>
      </w:r>
      <w:r>
        <w:rPr>
          <w:rFonts w:eastAsia="宋体" w:cs="Times New Roman"/>
          <w:color w:val="auto"/>
          <w:kern w:val="2"/>
        </w:rPr>
        <w:t>性能验证</w:t>
      </w:r>
      <w:r>
        <w:rPr>
          <w:rFonts w:eastAsia="宋体" w:cs="Times New Roman" w:hint="eastAsia"/>
          <w:color w:val="auto"/>
          <w:kern w:val="2"/>
        </w:rPr>
        <w:t>的</w:t>
      </w:r>
      <w:r>
        <w:rPr>
          <w:rFonts w:eastAsia="宋体" w:cs="Times New Roman"/>
          <w:color w:val="auto"/>
          <w:kern w:val="2"/>
        </w:rPr>
        <w:t>标准物质（</w:t>
      </w:r>
      <w:r>
        <w:rPr>
          <w:rFonts w:eastAsia="宋体" w:cs="Times New Roman" w:hint="eastAsia"/>
          <w:color w:val="auto"/>
          <w:kern w:val="2"/>
        </w:rPr>
        <w:t>醋酸酐</w:t>
      </w:r>
      <w:r>
        <w:rPr>
          <w:rFonts w:eastAsia="宋体" w:cs="Times New Roman"/>
          <w:color w:val="auto"/>
          <w:kern w:val="2"/>
        </w:rPr>
        <w:t>水解反应）</w:t>
      </w:r>
      <w:r>
        <w:rPr>
          <w:rFonts w:eastAsia="宋体" w:cs="Times New Roman" w:hint="eastAsia"/>
          <w:color w:val="auto"/>
          <w:kern w:val="2"/>
        </w:rPr>
        <w:t>进行测试</w:t>
      </w:r>
      <w:r>
        <w:rPr>
          <w:rFonts w:eastAsia="宋体" w:cs="Times New Roman"/>
          <w:color w:val="auto"/>
          <w:kern w:val="2"/>
        </w:rPr>
        <w:t>结果</w:t>
      </w:r>
      <w:r>
        <w:rPr>
          <w:rFonts w:eastAsia="宋体" w:cs="Times New Roman" w:hint="eastAsia"/>
          <w:color w:val="auto"/>
          <w:kern w:val="2"/>
        </w:rPr>
        <w:t>的准确性核查</w:t>
      </w:r>
      <w:r>
        <w:rPr>
          <w:rFonts w:eastAsia="宋体" w:cs="Times New Roman"/>
          <w:color w:val="auto"/>
          <w:kern w:val="2"/>
        </w:rPr>
        <w:t>；</w:t>
      </w:r>
    </w:p>
    <w:p>
      <w:pPr>
        <w:spacing w:line="360" w:lineRule="auto"/>
        <w:ind w:firstLine="480" w:firstLineChars="200"/>
        <w:jc w:val="both"/>
        <w:rPr>
          <w:rFonts w:eastAsia="宋体" w:cs="Times New Roman"/>
          <w:color w:val="auto"/>
          <w:kern w:val="2"/>
        </w:rPr>
      </w:pPr>
      <w:r>
        <w:rPr>
          <w:rFonts w:eastAsia="仿宋_GB2312" w:cs="Times New Roman"/>
        </w:rPr>
        <w:t>b）</w:t>
      </w:r>
      <w:r>
        <w:rPr>
          <w:rFonts w:eastAsia="宋体" w:cs="Times New Roman" w:hint="eastAsia"/>
          <w:color w:val="auto"/>
          <w:kern w:val="2"/>
        </w:rPr>
        <w:t>对</w:t>
      </w:r>
      <w:r>
        <w:rPr>
          <w:rFonts w:eastAsia="宋体" w:cs="Times New Roman"/>
          <w:color w:val="auto"/>
          <w:kern w:val="2"/>
        </w:rPr>
        <w:t>影响结果的因素</w:t>
      </w:r>
      <w:r>
        <w:rPr>
          <w:rFonts w:eastAsia="宋体" w:cs="Times New Roman" w:hint="eastAsia"/>
          <w:color w:val="auto"/>
          <w:kern w:val="2"/>
        </w:rPr>
        <w:t>进行</w:t>
      </w:r>
      <w:r>
        <w:rPr>
          <w:rFonts w:eastAsia="宋体" w:cs="Times New Roman"/>
          <w:color w:val="auto"/>
          <w:kern w:val="2"/>
        </w:rPr>
        <w:t>系统性评审，影响结果的因素</w:t>
      </w:r>
      <w:r>
        <w:rPr>
          <w:rFonts w:eastAsia="宋体" w:cs="Times New Roman" w:hint="eastAsia"/>
          <w:color w:val="auto"/>
          <w:kern w:val="2"/>
        </w:rPr>
        <w:t>如</w:t>
      </w:r>
      <w:r>
        <w:rPr>
          <w:rFonts w:eastAsia="宋体" w:cs="Times New Roman"/>
          <w:color w:val="auto"/>
          <w:kern w:val="2"/>
        </w:rPr>
        <w:t>：</w:t>
      </w:r>
      <w:r>
        <w:rPr>
          <w:rFonts w:eastAsia="宋体" w:cs="Times New Roman" w:hint="eastAsia"/>
          <w:color w:val="auto"/>
          <w:kern w:val="2"/>
        </w:rPr>
        <w:t>反应器</w:t>
      </w:r>
      <w:r>
        <w:rPr>
          <w:rFonts w:eastAsia="宋体" w:cs="Times New Roman"/>
          <w:color w:val="auto"/>
          <w:kern w:val="2"/>
        </w:rPr>
        <w:t>的选择（</w:t>
      </w:r>
      <w:r>
        <w:rPr>
          <w:rFonts w:eastAsia="宋体" w:cs="Times New Roman" w:hint="eastAsia"/>
          <w:color w:val="auto"/>
          <w:kern w:val="2"/>
        </w:rPr>
        <w:t>正确使用常压</w:t>
      </w:r>
      <w:r>
        <w:rPr>
          <w:rFonts w:eastAsia="宋体" w:cs="Times New Roman"/>
          <w:color w:val="auto"/>
          <w:kern w:val="2"/>
        </w:rPr>
        <w:t>玻璃</w:t>
      </w:r>
      <w:r>
        <w:rPr>
          <w:rFonts w:eastAsia="宋体" w:cs="Times New Roman" w:hint="eastAsia"/>
          <w:color w:val="auto"/>
          <w:kern w:val="2"/>
        </w:rPr>
        <w:t>钢</w:t>
      </w:r>
      <w:r>
        <w:rPr>
          <w:rFonts w:eastAsia="宋体" w:cs="Times New Roman"/>
          <w:color w:val="auto"/>
          <w:kern w:val="2"/>
        </w:rPr>
        <w:t>釜、</w:t>
      </w:r>
      <w:r>
        <w:rPr>
          <w:rFonts w:eastAsia="宋体" w:cs="Times New Roman" w:hint="eastAsia"/>
          <w:color w:val="auto"/>
          <w:kern w:val="2"/>
        </w:rPr>
        <w:t>中压玻璃钢釜</w:t>
      </w:r>
      <w:r>
        <w:rPr>
          <w:rFonts w:eastAsia="宋体" w:cs="Times New Roman"/>
          <w:color w:val="auto"/>
          <w:kern w:val="2"/>
        </w:rPr>
        <w:t>和高压金属釜</w:t>
      </w:r>
      <w:r>
        <w:rPr>
          <w:rFonts w:eastAsia="宋体" w:cs="Times New Roman" w:hint="eastAsia"/>
          <w:color w:val="auto"/>
          <w:kern w:val="2"/>
        </w:rPr>
        <w:t>，</w:t>
      </w:r>
      <w:r>
        <w:rPr>
          <w:rFonts w:eastAsia="宋体" w:cs="Times New Roman"/>
          <w:color w:val="auto"/>
          <w:kern w:val="2"/>
        </w:rPr>
        <w:t>防止反应失控超过反应釜</w:t>
      </w:r>
      <w:r>
        <w:rPr>
          <w:rFonts w:eastAsia="宋体" w:cs="Times New Roman" w:hint="eastAsia"/>
          <w:color w:val="auto"/>
          <w:kern w:val="2"/>
        </w:rPr>
        <w:t>耐压极限</w:t>
      </w:r>
      <w:r>
        <w:rPr>
          <w:rFonts w:eastAsia="宋体" w:cs="Times New Roman"/>
          <w:color w:val="auto"/>
          <w:kern w:val="2"/>
        </w:rPr>
        <w:t>）</w:t>
      </w:r>
      <w:r>
        <w:rPr>
          <w:rFonts w:eastAsia="宋体" w:cs="Times New Roman" w:hint="eastAsia"/>
          <w:color w:val="auto"/>
          <w:kern w:val="2"/>
        </w:rPr>
        <w:t>、</w:t>
      </w:r>
      <w:r>
        <w:rPr>
          <w:rFonts w:eastAsia="宋体" w:cs="Times New Roman"/>
          <w:color w:val="auto"/>
          <w:kern w:val="2"/>
        </w:rPr>
        <w:t>温度传感器和压力传感器的校准、</w:t>
      </w:r>
      <w:r>
        <w:rPr>
          <w:rFonts w:eastAsia="宋体" w:cs="Times New Roman" w:hint="eastAsia"/>
          <w:color w:val="auto"/>
          <w:kern w:val="2"/>
        </w:rPr>
        <w:t>导热油循环</w:t>
      </w:r>
      <w:r>
        <w:rPr>
          <w:rFonts w:eastAsia="宋体" w:cs="Times New Roman"/>
          <w:color w:val="auto"/>
          <w:kern w:val="2"/>
        </w:rPr>
        <w:t>系统的功能正常、</w:t>
      </w:r>
      <w:r>
        <w:rPr>
          <w:rFonts w:eastAsia="宋体" w:cs="Times New Roman" w:hint="eastAsia"/>
          <w:color w:val="auto"/>
          <w:kern w:val="2"/>
        </w:rPr>
        <w:t>导热油</w:t>
      </w:r>
      <w:r>
        <w:rPr>
          <w:rFonts w:eastAsia="宋体" w:cs="Times New Roman"/>
          <w:color w:val="auto"/>
          <w:kern w:val="2"/>
        </w:rPr>
        <w:t>油位位置、</w:t>
      </w:r>
      <w:r>
        <w:rPr>
          <w:rFonts w:eastAsia="宋体" w:cs="Times New Roman" w:hint="eastAsia"/>
          <w:color w:val="auto"/>
          <w:kern w:val="2"/>
        </w:rPr>
        <w:t>搅拌</w:t>
      </w:r>
      <w:r>
        <w:rPr>
          <w:rFonts w:eastAsia="宋体" w:cs="Times New Roman"/>
          <w:color w:val="auto"/>
          <w:kern w:val="2"/>
        </w:rPr>
        <w:t>速率的</w:t>
      </w:r>
      <w:r>
        <w:rPr>
          <w:rFonts w:eastAsia="宋体" w:cs="Times New Roman" w:hint="eastAsia"/>
          <w:color w:val="auto"/>
          <w:kern w:val="2"/>
        </w:rPr>
        <w:t>安全</w:t>
      </w:r>
      <w:r>
        <w:rPr>
          <w:rFonts w:eastAsia="宋体" w:cs="Times New Roman"/>
          <w:color w:val="auto"/>
          <w:kern w:val="2"/>
        </w:rPr>
        <w:t>范围、</w:t>
      </w:r>
      <w:r>
        <w:rPr>
          <w:rFonts w:eastAsia="宋体" w:cs="Times New Roman" w:hint="eastAsia"/>
          <w:color w:val="auto"/>
          <w:kern w:val="2"/>
        </w:rPr>
        <w:t>环境</w:t>
      </w:r>
      <w:r>
        <w:rPr>
          <w:rFonts w:eastAsia="宋体" w:cs="Times New Roman"/>
          <w:color w:val="auto"/>
          <w:kern w:val="2"/>
        </w:rPr>
        <w:t>条件的</w:t>
      </w:r>
      <w:r>
        <w:rPr>
          <w:rFonts w:eastAsia="宋体" w:cs="Times New Roman" w:hint="eastAsia"/>
          <w:color w:val="auto"/>
          <w:kern w:val="2"/>
        </w:rPr>
        <w:t>影响（例如电压</w:t>
      </w:r>
      <w:r>
        <w:rPr>
          <w:rFonts w:eastAsia="宋体" w:cs="Times New Roman"/>
          <w:color w:val="auto"/>
          <w:kern w:val="2"/>
        </w:rPr>
        <w:t>波动、</w:t>
      </w:r>
      <w:r>
        <w:rPr>
          <w:rFonts w:eastAsia="宋体" w:cs="Times New Roman" w:hint="eastAsia"/>
          <w:color w:val="auto"/>
          <w:kern w:val="2"/>
        </w:rPr>
        <w:t>阳光</w:t>
      </w:r>
      <w:r>
        <w:rPr>
          <w:rFonts w:eastAsia="宋体" w:cs="Times New Roman"/>
          <w:color w:val="auto"/>
          <w:kern w:val="2"/>
        </w:rPr>
        <w:t>直射、空气湿度大于</w:t>
      </w:r>
      <w:r>
        <w:rPr>
          <w:rFonts w:eastAsia="宋体" w:cs="Times New Roman" w:hint="eastAsia"/>
          <w:color w:val="auto"/>
          <w:kern w:val="2"/>
        </w:rPr>
        <w:t>80</w:t>
      </w:r>
      <w:r>
        <w:rPr>
          <w:rFonts w:eastAsia="宋体" w:cs="Times New Roman"/>
          <w:color w:val="auto"/>
          <w:kern w:val="2"/>
        </w:rPr>
        <w:t>%、附件存在强电厂或强磁场</w:t>
      </w:r>
      <w:r>
        <w:rPr>
          <w:rFonts w:eastAsia="宋体" w:cs="Times New Roman" w:hint="eastAsia"/>
          <w:color w:val="auto"/>
          <w:kern w:val="2"/>
        </w:rPr>
        <w:t>）、气液</w:t>
      </w:r>
      <w:r>
        <w:rPr>
          <w:rFonts w:eastAsia="宋体" w:cs="Times New Roman"/>
          <w:color w:val="auto"/>
          <w:kern w:val="2"/>
        </w:rPr>
        <w:t>两相反应涉及易燃易爆和有毒有害类气体的</w:t>
      </w:r>
      <w:r>
        <w:rPr>
          <w:rFonts w:eastAsia="宋体" w:cs="Times New Roman" w:hint="eastAsia"/>
          <w:color w:val="auto"/>
          <w:kern w:val="2"/>
        </w:rPr>
        <w:t>泄漏</w:t>
      </w:r>
      <w:r>
        <w:rPr>
          <w:rFonts w:eastAsia="宋体" w:cs="Times New Roman"/>
          <w:color w:val="auto"/>
          <w:kern w:val="2"/>
        </w:rPr>
        <w:t>监测</w:t>
      </w:r>
      <w:r>
        <w:rPr>
          <w:rFonts w:eastAsia="宋体" w:cs="Times New Roman" w:hint="eastAsia"/>
          <w:color w:val="auto"/>
          <w:kern w:val="2"/>
        </w:rPr>
        <w:t>及</w:t>
      </w:r>
      <w:r>
        <w:rPr>
          <w:rFonts w:eastAsia="宋体" w:cs="Times New Roman"/>
          <w:color w:val="auto"/>
          <w:kern w:val="2"/>
        </w:rPr>
        <w:t>安全控制</w:t>
      </w:r>
      <w:r>
        <w:rPr>
          <w:rFonts w:eastAsia="宋体" w:cs="Times New Roman" w:hint="eastAsia"/>
          <w:color w:val="auto"/>
          <w:kern w:val="2"/>
        </w:rPr>
        <w:t>等；</w:t>
      </w:r>
    </w:p>
    <w:p>
      <w:pPr>
        <w:spacing w:line="360" w:lineRule="auto"/>
        <w:ind w:firstLine="480" w:firstLineChars="200"/>
        <w:jc w:val="both"/>
        <w:rPr>
          <w:rFonts w:eastAsia="宋体" w:cs="Times New Roman"/>
          <w:color w:val="auto"/>
          <w:kern w:val="2"/>
        </w:rPr>
      </w:pPr>
      <w:r>
        <w:rPr>
          <w:rFonts w:eastAsia="仿宋_GB2312" w:cs="Times New Roman" w:hint="eastAsia"/>
        </w:rPr>
        <w:t>c）</w:t>
      </w:r>
      <w:r>
        <w:rPr>
          <w:rFonts w:eastAsia="宋体" w:cs="Times New Roman" w:hint="eastAsia"/>
          <w:color w:val="auto"/>
          <w:kern w:val="2"/>
        </w:rPr>
        <w:t>实验室</w:t>
      </w:r>
      <w:r>
        <w:rPr>
          <w:rFonts w:eastAsia="宋体" w:cs="Times New Roman"/>
          <w:color w:val="auto"/>
          <w:kern w:val="2"/>
        </w:rPr>
        <w:t>间比对</w:t>
      </w:r>
      <w:r>
        <w:rPr>
          <w:rFonts w:eastAsia="宋体" w:cs="Times New Roman" w:hint="eastAsia"/>
          <w:color w:val="auto"/>
          <w:kern w:val="2"/>
        </w:rPr>
        <w:t>；</w:t>
      </w:r>
    </w:p>
    <w:p>
      <w:pPr>
        <w:spacing w:line="360" w:lineRule="auto"/>
        <w:ind w:firstLine="480" w:firstLineChars="200"/>
        <w:jc w:val="both"/>
        <w:rPr>
          <w:rFonts w:eastAsia="宋体" w:cs="Times New Roman"/>
          <w:color w:val="auto"/>
          <w:kern w:val="2"/>
        </w:rPr>
      </w:pPr>
      <w:r>
        <w:rPr>
          <w:rFonts w:eastAsia="仿宋_GB2312" w:cs="Times New Roman" w:hint="eastAsia"/>
        </w:rPr>
        <w:t>d</w:t>
      </w:r>
      <w:r>
        <w:rPr>
          <w:rFonts w:eastAsia="仿宋_GB2312" w:cs="Times New Roman"/>
        </w:rPr>
        <w:t>）</w:t>
      </w:r>
      <w:r>
        <w:rPr>
          <w:rFonts w:eastAsia="宋体" w:cs="Times New Roman" w:hint="eastAsia"/>
          <w:color w:val="auto"/>
          <w:kern w:val="2"/>
        </w:rPr>
        <w:t>根据</w:t>
      </w:r>
      <w:r>
        <w:rPr>
          <w:rFonts w:eastAsia="宋体" w:cs="Times New Roman"/>
          <w:color w:val="auto"/>
          <w:kern w:val="2"/>
        </w:rPr>
        <w:t>对方法</w:t>
      </w:r>
      <w:r>
        <w:rPr>
          <w:rFonts w:eastAsia="宋体" w:cs="Times New Roman" w:hint="eastAsia"/>
          <w:color w:val="auto"/>
          <w:kern w:val="2"/>
        </w:rPr>
        <w:t>原理</w:t>
      </w:r>
      <w:r>
        <w:rPr>
          <w:rFonts w:eastAsia="宋体" w:cs="Times New Roman"/>
          <w:color w:val="auto"/>
          <w:kern w:val="2"/>
        </w:rPr>
        <w:t>的理解</w:t>
      </w:r>
      <w:r>
        <w:rPr>
          <w:rFonts w:eastAsia="宋体" w:cs="Times New Roman" w:hint="eastAsia"/>
          <w:color w:val="auto"/>
          <w:kern w:val="2"/>
        </w:rPr>
        <w:t>以及</w:t>
      </w:r>
      <w:r>
        <w:rPr>
          <w:rFonts w:eastAsia="宋体" w:cs="Times New Roman"/>
          <w:color w:val="auto"/>
          <w:kern w:val="2"/>
        </w:rPr>
        <w:t>检测方法的实践</w:t>
      </w:r>
      <w:r>
        <w:rPr>
          <w:rFonts w:eastAsia="宋体" w:cs="Times New Roman" w:hint="eastAsia"/>
          <w:color w:val="auto"/>
          <w:kern w:val="2"/>
        </w:rPr>
        <w:t>经验</w:t>
      </w:r>
      <w:r>
        <w:rPr>
          <w:rFonts w:eastAsia="宋体" w:cs="Times New Roman"/>
          <w:color w:val="auto"/>
          <w:kern w:val="2"/>
        </w:rPr>
        <w:t>，评定结果的测量不确定度。</w:t>
      </w:r>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outlineLvl w:val="0"/>
        <w:rPr>
          <w:rFonts w:ascii="黑体" w:eastAsia="黑体" w:cs="Times New Roman"/>
          <w:color w:val="auto"/>
          <w:kern w:val="2"/>
        </w:rPr>
      </w:pPr>
      <w:bookmarkStart w:id="37" w:name="_Toc96699203"/>
      <w:r>
        <w:rPr>
          <w:rFonts w:ascii="黑体" w:eastAsia="黑体" w:cs="Times New Roman"/>
          <w:color w:val="auto"/>
          <w:kern w:val="2"/>
        </w:rPr>
        <w:t xml:space="preserve">7.3 </w:t>
      </w:r>
      <w:r>
        <w:rPr>
          <w:rFonts w:ascii="黑体" w:eastAsia="黑体" w:cs="Times New Roman" w:hint="eastAsia"/>
          <w:color w:val="auto"/>
          <w:kern w:val="2"/>
        </w:rPr>
        <w:t>抽样</w:t>
      </w:r>
      <w:bookmarkEnd w:id="36"/>
      <w:bookmarkEnd w:id="37"/>
      <w:r>
        <w:rPr>
          <w:rFonts w:ascii="黑体" w:eastAsia="黑体" w:cs="Times New Roman"/>
          <w:color w:val="auto"/>
          <w:kern w:val="2"/>
        </w:rPr>
        <w:t xml:space="preserve"> </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bookmarkStart w:id="38" w:name="_Toc89875071"/>
      <w:r>
        <w:rPr>
          <w:rFonts w:eastAsia="宋体" w:cs="Times New Roman"/>
          <w:color w:val="auto"/>
          <w:kern w:val="2"/>
        </w:rPr>
        <w:t>7.3.1</w:t>
      </w:r>
      <w:r>
        <w:rPr>
          <w:rFonts w:eastAsia="宋体" w:cs="Times New Roman" w:hint="eastAsia"/>
          <w:color w:val="auto"/>
          <w:kern w:val="2"/>
        </w:rPr>
        <w:t>进行化工产品</w:t>
      </w:r>
      <w:r>
        <w:rPr>
          <w:rFonts w:eastAsia="宋体" w:cs="Times New Roman"/>
          <w:color w:val="auto"/>
          <w:kern w:val="2"/>
        </w:rPr>
        <w:t>热安全检测</w:t>
      </w:r>
      <w:r>
        <w:rPr>
          <w:rFonts w:eastAsia="宋体" w:cs="Times New Roman" w:hint="eastAsia"/>
          <w:color w:val="auto"/>
          <w:kern w:val="2"/>
        </w:rPr>
        <w:t>时，如果需要将样品分开用于检测不同的特性，要有抽取检测样品的计划和方法，并得到客户确认。</w:t>
      </w:r>
      <w:bookmarkEnd w:id="38"/>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asciiTheme="minorEastAsia" w:eastAsiaTheme="minorEastAsia" w:hAnsiTheme="minorEastAsia" w:cs="Times New Roman"/>
          <w:color w:val="auto"/>
          <w:kern w:val="2"/>
        </w:rPr>
      </w:pPr>
      <w:bookmarkStart w:id="39" w:name="_Toc89875072"/>
      <w:r>
        <w:rPr>
          <w:rFonts w:eastAsia="宋体" w:cs="Times New Roman"/>
          <w:color w:val="auto"/>
          <w:kern w:val="2"/>
        </w:rPr>
        <w:t xml:space="preserve">7.3.2 </w:t>
      </w:r>
      <w:r>
        <w:rPr>
          <w:rFonts w:eastAsia="宋体" w:cs="Times New Roman" w:hint="eastAsia"/>
          <w:color w:val="auto"/>
          <w:kern w:val="2"/>
        </w:rPr>
        <w:t>抽样方法要描述抽样的部位，例如</w:t>
      </w:r>
      <w:r>
        <w:rPr>
          <w:rFonts w:asciiTheme="minorEastAsia" w:eastAsiaTheme="minorEastAsia" w:hAnsiTheme="minorEastAsia" w:cs="Times New Roman"/>
          <w:color w:val="auto"/>
          <w:kern w:val="2"/>
        </w:rPr>
        <w:t>从容器中抽取液固混合样品时，有可能上中下样品不均匀，抽样方法中</w:t>
      </w:r>
      <w:r>
        <w:rPr>
          <w:rFonts w:asciiTheme="minorEastAsia" w:eastAsiaTheme="minorEastAsia" w:hAnsiTheme="minorEastAsia" w:cs="Times New Roman" w:hint="eastAsia"/>
          <w:color w:val="auto"/>
          <w:kern w:val="2"/>
        </w:rPr>
        <w:t>要</w:t>
      </w:r>
      <w:r>
        <w:rPr>
          <w:rFonts w:asciiTheme="minorEastAsia" w:eastAsiaTheme="minorEastAsia" w:hAnsiTheme="minorEastAsia" w:cs="Times New Roman"/>
          <w:color w:val="auto"/>
          <w:kern w:val="2"/>
        </w:rPr>
        <w:t>明确规定抽样部位</w:t>
      </w:r>
      <w:r>
        <w:rPr>
          <w:rFonts w:asciiTheme="minorEastAsia" w:eastAsiaTheme="minorEastAsia" w:hAnsiTheme="minorEastAsia" w:cs="Times New Roman" w:hint="eastAsia"/>
          <w:color w:val="auto"/>
          <w:kern w:val="2"/>
        </w:rPr>
        <w:t>；</w:t>
      </w:r>
      <w:r>
        <w:rPr>
          <w:rFonts w:asciiTheme="minorEastAsia" w:eastAsiaTheme="minorEastAsia" w:hAnsiTheme="minorEastAsia" w:cs="Times New Roman"/>
          <w:color w:val="auto"/>
          <w:kern w:val="2"/>
        </w:rPr>
        <w:t>低温反应容器中抽取样品时，样品受环境温度、湿度影响可能会发生变化，抽样方法中</w:t>
      </w:r>
      <w:r>
        <w:rPr>
          <w:rFonts w:asciiTheme="minorEastAsia" w:eastAsiaTheme="minorEastAsia" w:hAnsiTheme="minorEastAsia" w:cs="Times New Roman" w:hint="eastAsia"/>
          <w:color w:val="auto"/>
          <w:kern w:val="2"/>
        </w:rPr>
        <w:t>要</w:t>
      </w:r>
      <w:r>
        <w:rPr>
          <w:rFonts w:asciiTheme="minorEastAsia" w:eastAsiaTheme="minorEastAsia" w:hAnsiTheme="minorEastAsia" w:cs="Times New Roman"/>
          <w:color w:val="auto"/>
          <w:kern w:val="2"/>
        </w:rPr>
        <w:t>明确抽取后样品的保存环境。</w:t>
      </w:r>
      <w:bookmarkEnd w:id="39"/>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outlineLvl w:val="0"/>
        <w:rPr>
          <w:rFonts w:ascii="黑体" w:eastAsia="黑体" w:cs="Times New Roman"/>
          <w:color w:val="auto"/>
          <w:kern w:val="2"/>
        </w:rPr>
        <w:sectPr>
          <w:footerReference w:type="default" r:id="rId11"/>
          <w:type w:val="nextPage"/>
          <w:pgSz w:w="11900" w:h="16840"/>
          <w:pgMar w:top="1440" w:right="1800" w:bottom="1440" w:left="1800" w:header="851" w:footer="992" w:gutter="0"/>
          <w:pgNumType w:start="6"/>
          <w:cols w:num="1" w:space="720"/>
          <w:titlePg w:val="0"/>
          <w:docGrid w:linePitch="286" w:charSpace="0"/>
        </w:sectPr>
      </w:pPr>
      <w:bookmarkStart w:id="40" w:name="_Toc89875073"/>
      <w:bookmarkStart w:id="41" w:name="_Toc96699204"/>
      <w:r>
        <w:rPr>
          <w:rFonts w:ascii="黑体" w:eastAsia="黑体" w:cs="Times New Roman"/>
          <w:color w:val="auto"/>
          <w:kern w:val="2"/>
        </w:rPr>
        <w:t xml:space="preserve">7.4 </w:t>
      </w:r>
      <w:r>
        <w:rPr>
          <w:rFonts w:ascii="黑体" w:eastAsia="黑体" w:cs="Times New Roman" w:hint="eastAsia"/>
          <w:color w:val="auto"/>
          <w:kern w:val="2"/>
        </w:rPr>
        <w:t>检测或校准物品的处置</w:t>
      </w:r>
      <w:bookmarkEnd w:id="40"/>
      <w:bookmarkEnd w:id="41"/>
      <w:r>
        <w:rPr>
          <w:rFonts w:ascii="黑体" w:eastAsia="黑体" w:cs="Times New Roman"/>
          <w:color w:val="auto"/>
          <w:kern w:val="2"/>
        </w:rPr>
        <w:t xml:space="preserve"> </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bookmarkStart w:id="42" w:name="_Toc89875074"/>
      <w:r>
        <w:rPr>
          <w:rFonts w:eastAsia="宋体" w:cs="Times New Roman"/>
          <w:color w:val="auto"/>
          <w:kern w:val="2"/>
        </w:rPr>
        <w:t>7.4.1 接收样品时，实验室要</w:t>
      </w:r>
      <w:r>
        <w:rPr>
          <w:rFonts w:eastAsia="宋体" w:cs="Times New Roman" w:hint="eastAsia"/>
          <w:color w:val="auto"/>
          <w:kern w:val="2"/>
        </w:rPr>
        <w:t>与客户约定样品的保存期。</w:t>
      </w:r>
      <w:bookmarkEnd w:id="42"/>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rPr>
          <w:rFonts w:ascii="黑体" w:eastAsia="黑体" w:cs="Times New Roman"/>
          <w:color w:val="auto"/>
          <w:kern w:val="2"/>
        </w:rPr>
      </w:pPr>
      <w:bookmarkStart w:id="43" w:name="_Toc89875076"/>
      <w:r>
        <w:rPr>
          <w:rFonts w:ascii="黑体" w:eastAsia="黑体" w:cs="Times New Roman"/>
          <w:color w:val="auto"/>
          <w:kern w:val="2"/>
        </w:rPr>
        <w:t xml:space="preserve">7.5 </w:t>
      </w:r>
      <w:r>
        <w:rPr>
          <w:rFonts w:ascii="黑体" w:eastAsia="黑体" w:cs="Times New Roman" w:hint="eastAsia"/>
          <w:color w:val="auto"/>
          <w:kern w:val="2"/>
        </w:rPr>
        <w:t>技术记录</w:t>
      </w:r>
      <w:bookmarkEnd w:id="43"/>
      <w:r>
        <w:rPr>
          <w:rFonts w:ascii="黑体" w:eastAsia="黑体" w:cs="Times New Roman"/>
          <w:color w:val="auto"/>
          <w:kern w:val="2"/>
        </w:rPr>
        <w:t xml:space="preserve"> </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bookmarkStart w:id="44" w:name="_Toc89875077"/>
      <w:bookmarkStart w:id="45" w:name="_Toc89875078"/>
      <w:r>
        <w:rPr>
          <w:rFonts w:eastAsia="宋体" w:cs="Times New Roman"/>
          <w:color w:val="auto"/>
          <w:kern w:val="2"/>
        </w:rPr>
        <w:t>7.5.1</w:t>
      </w:r>
      <w:r>
        <w:rPr>
          <w:rFonts w:eastAsia="宋体" w:cs="Times New Roman" w:hint="eastAsia"/>
          <w:color w:val="auto"/>
          <w:kern w:val="2"/>
        </w:rPr>
        <w:t>实验室活动的技术记录要包括化学反应工艺参数条件等足够的信息。</w:t>
      </w:r>
      <w:bookmarkEnd w:id="44"/>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outlineLvl w:val="0"/>
        <w:rPr>
          <w:rFonts w:ascii="黑体" w:eastAsia="黑体" w:cs="Times New Roman"/>
          <w:color w:val="auto"/>
          <w:kern w:val="2"/>
        </w:rPr>
      </w:pPr>
      <w:bookmarkStart w:id="46" w:name="_Toc96699205"/>
      <w:r>
        <w:rPr>
          <w:rFonts w:ascii="黑体" w:eastAsia="黑体" w:cs="Times New Roman"/>
          <w:color w:val="auto"/>
          <w:kern w:val="2"/>
        </w:rPr>
        <w:t xml:space="preserve">7.6 </w:t>
      </w:r>
      <w:r>
        <w:rPr>
          <w:rFonts w:ascii="黑体" w:eastAsia="黑体" w:cs="Times New Roman" w:hint="eastAsia"/>
          <w:color w:val="auto"/>
          <w:kern w:val="2"/>
        </w:rPr>
        <w:t>测量不确定度的评定</w:t>
      </w:r>
      <w:bookmarkEnd w:id="45"/>
      <w:bookmarkEnd w:id="46"/>
    </w:p>
    <w:p>
      <w:pPr>
        <w:spacing w:line="360" w:lineRule="auto"/>
        <w:jc w:val="both"/>
        <w:rPr>
          <w:rFonts w:eastAsia="宋体" w:cs="Times New Roman"/>
          <w:color w:val="auto"/>
          <w:kern w:val="2"/>
        </w:rPr>
      </w:pPr>
      <w:r>
        <w:rPr>
          <w:rFonts w:eastAsia="宋体" w:cs="Times New Roman" w:hint="eastAsia"/>
          <w:color w:val="auto"/>
          <w:kern w:val="2"/>
        </w:rPr>
        <w:t>7.6.1</w:t>
      </w:r>
      <w:r>
        <w:rPr>
          <w:rFonts w:eastAsia="宋体" w:cs="Times New Roman"/>
          <w:color w:val="auto"/>
          <w:kern w:val="2"/>
        </w:rPr>
        <w:t>实验室</w:t>
      </w:r>
      <w:r>
        <w:rPr>
          <w:rFonts w:eastAsia="宋体" w:cs="Times New Roman" w:hint="eastAsia"/>
          <w:color w:val="auto"/>
          <w:kern w:val="2"/>
        </w:rPr>
        <w:t>要</w:t>
      </w:r>
      <w:r>
        <w:rPr>
          <w:rFonts w:eastAsia="宋体" w:cs="Times New Roman"/>
          <w:color w:val="auto"/>
          <w:kern w:val="2"/>
        </w:rPr>
        <w:t>建立相应数学模型，</w:t>
      </w:r>
      <w:r>
        <w:rPr>
          <w:rFonts w:eastAsia="宋体" w:cs="Times New Roman" w:hint="eastAsia"/>
          <w:color w:val="auto"/>
          <w:kern w:val="2"/>
        </w:rPr>
        <w:t>以</w:t>
      </w:r>
      <w:r>
        <w:rPr>
          <w:rFonts w:eastAsia="宋体" w:cs="Times New Roman"/>
          <w:color w:val="auto"/>
          <w:kern w:val="2"/>
        </w:rPr>
        <w:t>评定测量不确定度</w:t>
      </w:r>
      <w:r>
        <w:rPr>
          <w:rFonts w:eastAsia="宋体" w:cs="Times New Roman" w:hint="eastAsia"/>
          <w:color w:val="auto"/>
          <w:kern w:val="2"/>
        </w:rPr>
        <w:t>。附录C给出了差示</w:t>
      </w:r>
      <w:r>
        <w:rPr>
          <w:rFonts w:eastAsia="宋体" w:cs="Times New Roman"/>
          <w:color w:val="auto"/>
          <w:kern w:val="2"/>
        </w:rPr>
        <w:t>扫描量热法测试</w:t>
      </w:r>
      <w:r>
        <w:rPr>
          <w:rFonts w:eastAsia="宋体" w:cs="Times New Roman" w:hint="eastAsia"/>
          <w:color w:val="auto"/>
          <w:kern w:val="2"/>
        </w:rPr>
        <w:t>化学</w:t>
      </w:r>
      <w:r>
        <w:rPr>
          <w:rFonts w:eastAsia="宋体" w:cs="Times New Roman"/>
          <w:color w:val="auto"/>
          <w:kern w:val="2"/>
        </w:rPr>
        <w:t>物质热</w:t>
      </w:r>
      <w:r>
        <w:rPr>
          <w:rFonts w:eastAsia="宋体" w:cs="Times New Roman" w:hint="eastAsia"/>
          <w:color w:val="auto"/>
          <w:kern w:val="2"/>
        </w:rPr>
        <w:t>稳定性的起始放热温度、反应热参数</w:t>
      </w:r>
      <w:r>
        <w:rPr>
          <w:rFonts w:eastAsia="宋体" w:cs="Times New Roman"/>
          <w:color w:val="auto"/>
          <w:kern w:val="2"/>
        </w:rPr>
        <w:t>的测量不确定度评定报告</w:t>
      </w:r>
      <w:r>
        <w:rPr>
          <w:rFonts w:eastAsia="宋体" w:cs="Times New Roman" w:hint="eastAsia"/>
          <w:color w:val="auto"/>
          <w:kern w:val="2"/>
        </w:rPr>
        <w:t>示例。</w:t>
      </w:r>
    </w:p>
    <w:p>
      <w:pPr>
        <w:spacing w:line="360" w:lineRule="auto"/>
        <w:jc w:val="both"/>
        <w:rPr>
          <w:rFonts w:ascii="黑体" w:eastAsia="黑体" w:cs="Times New Roman"/>
          <w:color w:val="auto"/>
          <w:kern w:val="2"/>
        </w:rPr>
      </w:pPr>
      <w:bookmarkStart w:id="47" w:name="_Toc89875079"/>
      <w:r>
        <w:rPr>
          <w:rFonts w:ascii="黑体" w:eastAsia="黑体" w:cs="Times New Roman"/>
          <w:color w:val="auto"/>
          <w:kern w:val="2"/>
        </w:rPr>
        <w:t xml:space="preserve">7.7 </w:t>
      </w:r>
      <w:r>
        <w:rPr>
          <w:rFonts w:ascii="黑体" w:eastAsia="黑体" w:cs="Times New Roman" w:hint="eastAsia"/>
          <w:color w:val="auto"/>
          <w:kern w:val="2"/>
        </w:rPr>
        <w:t>确保结果有效性</w:t>
      </w:r>
      <w:bookmarkEnd w:id="47"/>
      <w:r>
        <w:rPr>
          <w:rFonts w:ascii="黑体" w:eastAsia="黑体" w:cs="Times New Roman"/>
          <w:color w:val="auto"/>
          <w:kern w:val="2"/>
        </w:rPr>
        <w:t xml:space="preserve"> </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bookmarkStart w:id="48" w:name="_Toc89875080"/>
      <w:r>
        <w:rPr>
          <w:rFonts w:eastAsia="宋体" w:cs="Times New Roman"/>
          <w:color w:val="auto"/>
          <w:kern w:val="2"/>
        </w:rPr>
        <w:t xml:space="preserve">7.7.1 </w:t>
      </w:r>
      <w:r>
        <w:rPr>
          <w:rFonts w:eastAsia="宋体" w:cs="Times New Roman" w:hint="eastAsia"/>
          <w:color w:val="auto"/>
          <w:kern w:val="2"/>
        </w:rPr>
        <w:t>对结果有效性的监控，可以考虑但不限于以下方式：</w:t>
      </w:r>
      <w:bookmarkEnd w:id="48"/>
    </w:p>
    <w:p>
      <w:pPr>
        <w:widowControl w:val="0"/>
        <w:pBdr>
          <w:top w:val="none" w:sz="0" w:space="0" w:color="auto"/>
          <w:left w:val="none" w:sz="0" w:space="0" w:color="auto"/>
          <w:bottom w:val="none" w:sz="0" w:space="0" w:color="auto"/>
          <w:right w:val="none" w:sz="0" w:space="0" w:color="auto"/>
          <w:between w:val="none" w:sz="0" w:space="0" w:color="auto"/>
        </w:pBdr>
        <w:spacing w:line="360" w:lineRule="auto"/>
        <w:ind w:left="480" w:firstLine="5" w:leftChars="200" w:firstLineChars="2"/>
        <w:jc w:val="both"/>
        <w:rPr>
          <w:rFonts w:eastAsia="宋体" w:cs="Times New Roman"/>
          <w:color w:val="auto"/>
          <w:kern w:val="2"/>
        </w:rPr>
      </w:pPr>
      <w:bookmarkStart w:id="49" w:name="_Toc89875081"/>
      <w:r>
        <w:rPr>
          <w:rFonts w:eastAsia="宋体" w:cs="Times New Roman"/>
          <w:color w:val="auto"/>
          <w:kern w:val="2"/>
        </w:rPr>
        <w:t>a</w:t>
      </w:r>
      <w:r>
        <w:rPr>
          <w:rFonts w:eastAsia="宋体" w:cs="Times New Roman" w:hint="eastAsia"/>
          <w:color w:val="auto"/>
          <w:kern w:val="2"/>
        </w:rPr>
        <w:t>）</w:t>
      </w:r>
      <w:bookmarkEnd w:id="49"/>
      <w:r>
        <w:rPr>
          <w:rFonts w:eastAsia="宋体" w:cs="Times New Roman" w:hint="eastAsia"/>
          <w:color w:val="auto"/>
          <w:kern w:val="2"/>
        </w:rPr>
        <w:t>定期采用有证标准物质和用作系统性能验证的标准物质对设备进行核查。示例1：差示扫描</w:t>
      </w:r>
      <w:r>
        <w:rPr>
          <w:rFonts w:eastAsia="宋体" w:cs="Times New Roman"/>
          <w:color w:val="auto"/>
          <w:kern w:val="2"/>
        </w:rPr>
        <w:t>量热仪</w:t>
      </w:r>
      <w:r>
        <w:rPr>
          <w:rFonts w:eastAsia="宋体" w:cs="Times New Roman" w:hint="eastAsia"/>
          <w:color w:val="auto"/>
          <w:kern w:val="2"/>
        </w:rPr>
        <w:t>常用</w:t>
      </w:r>
      <w:r>
        <w:rPr>
          <w:rFonts w:eastAsia="宋体" w:cs="Times New Roman"/>
          <w:color w:val="auto"/>
          <w:kern w:val="2"/>
        </w:rPr>
        <w:t>有证标准物质：</w:t>
      </w:r>
      <w:r>
        <w:rPr>
          <w:rFonts w:eastAsia="宋体" w:cs="Times New Roman" w:hint="eastAsia"/>
          <w:color w:val="auto"/>
          <w:kern w:val="2"/>
        </w:rPr>
        <w:t>镓（Ga）、铟（In）、锡（Sn）、铅（P</w:t>
      </w:r>
      <w:r>
        <w:rPr>
          <w:rFonts w:eastAsia="宋体" w:cs="Times New Roman"/>
          <w:color w:val="auto"/>
          <w:kern w:val="2"/>
        </w:rPr>
        <w:t>b</w:t>
      </w:r>
      <w:r>
        <w:rPr>
          <w:rFonts w:eastAsia="宋体" w:cs="Times New Roman" w:hint="eastAsia"/>
          <w:color w:val="auto"/>
          <w:kern w:val="2"/>
        </w:rPr>
        <w:t>）、锌（</w:t>
      </w:r>
      <w:r>
        <w:rPr>
          <w:rFonts w:eastAsia="宋体" w:cs="Times New Roman"/>
          <w:color w:val="auto"/>
          <w:kern w:val="2"/>
        </w:rPr>
        <w:t>Z</w:t>
      </w:r>
      <w:r>
        <w:rPr>
          <w:rFonts w:eastAsia="宋体" w:cs="Times New Roman" w:hint="eastAsia"/>
          <w:color w:val="auto"/>
          <w:kern w:val="2"/>
        </w:rPr>
        <w:t>n）、硝酸钾（K</w:t>
      </w:r>
      <w:r>
        <w:rPr>
          <w:rFonts w:eastAsia="宋体" w:cs="Times New Roman"/>
          <w:color w:val="auto"/>
          <w:kern w:val="2"/>
        </w:rPr>
        <w:t>NO</w:t>
      </w:r>
      <w:r>
        <w:rPr>
          <w:rFonts w:eastAsia="宋体" w:cs="Times New Roman"/>
          <w:color w:val="auto"/>
          <w:kern w:val="2"/>
          <w:vertAlign w:val="subscript"/>
        </w:rPr>
        <w:t>3</w:t>
      </w:r>
      <w:r>
        <w:rPr>
          <w:rFonts w:eastAsia="宋体" w:cs="Times New Roman" w:hint="eastAsia"/>
          <w:color w:val="auto"/>
          <w:kern w:val="2"/>
        </w:rPr>
        <w:t>）、二氧化硅（Si</w:t>
      </w:r>
      <w:r>
        <w:rPr>
          <w:rFonts w:eastAsia="宋体" w:cs="Times New Roman"/>
          <w:color w:val="auto"/>
          <w:kern w:val="2"/>
        </w:rPr>
        <w:t>O</w:t>
      </w:r>
      <w:r>
        <w:rPr>
          <w:rFonts w:eastAsia="宋体" w:cs="Times New Roman"/>
          <w:color w:val="auto"/>
          <w:kern w:val="2"/>
          <w:vertAlign w:val="subscript"/>
        </w:rPr>
        <w:t>2</w:t>
      </w:r>
      <w:r>
        <w:rPr>
          <w:rFonts w:eastAsia="宋体" w:cs="Times New Roman" w:hint="eastAsia"/>
          <w:color w:val="auto"/>
          <w:kern w:val="2"/>
        </w:rPr>
        <w:t>）；</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ind w:firstLine="485" w:firstLineChars="202"/>
        <w:jc w:val="both"/>
        <w:rPr>
          <w:rFonts w:eastAsia="宋体" w:cs="Times New Roman"/>
          <w:color w:val="auto"/>
          <w:kern w:val="2"/>
        </w:rPr>
      </w:pPr>
      <w:r>
        <w:rPr>
          <w:rFonts w:eastAsia="宋体" w:cs="Times New Roman" w:hint="eastAsia"/>
          <w:color w:val="auto"/>
          <w:kern w:val="2"/>
        </w:rPr>
        <w:t>示例2：</w:t>
      </w:r>
      <w:r>
        <w:rPr>
          <w:rFonts w:eastAsia="宋体" w:cs="Times New Roman"/>
          <w:color w:val="auto"/>
          <w:kern w:val="2"/>
        </w:rPr>
        <w:t>加速速率绝热量热仪</w:t>
      </w:r>
      <w:r>
        <w:rPr>
          <w:rFonts w:eastAsia="宋体" w:cs="Times New Roman" w:hint="eastAsia"/>
          <w:color w:val="auto"/>
          <w:kern w:val="2"/>
        </w:rPr>
        <w:t>用作系统性能</w:t>
      </w:r>
      <w:r>
        <w:rPr>
          <w:rFonts w:eastAsia="宋体" w:cs="Times New Roman"/>
          <w:color w:val="auto"/>
          <w:kern w:val="2"/>
        </w:rPr>
        <w:t>验证的标准物质：</w:t>
      </w:r>
      <w:r>
        <w:rPr>
          <w:rFonts w:eastAsia="宋体" w:cs="Times New Roman" w:hint="eastAsia"/>
          <w:color w:val="auto"/>
          <w:kern w:val="2"/>
        </w:rPr>
        <w:t>20%（质量分数）过氧化二叔丁基的甲苯溶液、</w:t>
      </w:r>
      <w:r>
        <w:rPr>
          <w:rFonts w:eastAsia="宋体" w:cs="Times New Roman"/>
          <w:color w:val="auto"/>
          <w:kern w:val="2"/>
        </w:rPr>
        <w:t>12%</w:t>
      </w:r>
      <w:r>
        <w:rPr>
          <w:rFonts w:eastAsia="宋体" w:cs="Times New Roman" w:hint="eastAsia"/>
          <w:color w:val="auto"/>
          <w:kern w:val="2"/>
        </w:rPr>
        <w:t>（质量分数）偶氮二异丁腈的二氯甲烷溶液；</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ind w:firstLine="485" w:firstLineChars="202"/>
        <w:jc w:val="both"/>
        <w:rPr>
          <w:rFonts w:eastAsia="仿宋_GB2312" w:cs="Times New Roman"/>
          <w:color w:val="auto"/>
          <w:kern w:val="2"/>
        </w:rPr>
      </w:pPr>
      <w:r>
        <w:rPr>
          <w:rFonts w:eastAsia="宋体" w:cs="Times New Roman" w:hint="eastAsia"/>
          <w:color w:val="auto"/>
          <w:kern w:val="2"/>
        </w:rPr>
        <w:t>示例3：</w:t>
      </w:r>
      <w:r>
        <w:rPr>
          <w:rFonts w:eastAsia="宋体" w:cs="Times New Roman"/>
          <w:color w:val="auto"/>
          <w:kern w:val="2"/>
        </w:rPr>
        <w:t>反应量热仪</w:t>
      </w:r>
      <w:r>
        <w:rPr>
          <w:rFonts w:eastAsia="宋体" w:cs="Times New Roman" w:hint="eastAsia"/>
          <w:color w:val="auto"/>
          <w:kern w:val="2"/>
        </w:rPr>
        <w:t>用作</w:t>
      </w:r>
      <w:r>
        <w:rPr>
          <w:rFonts w:eastAsia="宋体" w:cs="Times New Roman"/>
          <w:color w:val="auto"/>
          <w:kern w:val="2"/>
        </w:rPr>
        <w:t>系统性能验证的</w:t>
      </w:r>
      <w:r>
        <w:rPr>
          <w:rFonts w:eastAsia="宋体" w:cs="Times New Roman" w:hint="eastAsia"/>
          <w:color w:val="auto"/>
          <w:kern w:val="2"/>
        </w:rPr>
        <w:t>标准</w:t>
      </w:r>
      <w:r>
        <w:rPr>
          <w:rFonts w:eastAsia="宋体" w:cs="Times New Roman"/>
          <w:color w:val="auto"/>
          <w:kern w:val="2"/>
        </w:rPr>
        <w:t>物质：</w:t>
      </w:r>
      <w:r>
        <w:rPr>
          <w:rFonts w:eastAsia="宋体" w:cs="Times New Roman" w:hint="eastAsia"/>
          <w:color w:val="auto"/>
          <w:kern w:val="2"/>
        </w:rPr>
        <w:t>醋酸酐水解反应，</w:t>
      </w:r>
      <w:r>
        <w:rPr>
          <w:rFonts w:eastAsia="宋体" w:cs="Times New Roman"/>
          <w:color w:val="auto"/>
          <w:kern w:val="2"/>
        </w:rPr>
        <w:t>涉及物料包括醋酸酐（</w:t>
      </w:r>
      <w:r>
        <w:rPr>
          <w:rFonts w:eastAsia="宋体" w:cs="Times New Roman" w:hint="eastAsia"/>
          <w:color w:val="auto"/>
          <w:kern w:val="2"/>
        </w:rPr>
        <w:t>纯度</w:t>
      </w:r>
      <w:r>
        <w:rPr>
          <w:rFonts w:eastAsia="宋体" w:cs="Times New Roman"/>
          <w:color w:val="auto"/>
          <w:kern w:val="2"/>
        </w:rPr>
        <w:t>≥98.5）</w:t>
      </w:r>
      <w:r>
        <w:rPr>
          <w:rFonts w:eastAsia="宋体" w:cs="Times New Roman" w:hint="eastAsia"/>
          <w:color w:val="auto"/>
          <w:kern w:val="2"/>
        </w:rPr>
        <w:t>、</w:t>
      </w:r>
      <w:r>
        <w:rPr>
          <w:rFonts w:eastAsia="宋体" w:cs="Times New Roman"/>
          <w:color w:val="auto"/>
          <w:kern w:val="2"/>
        </w:rPr>
        <w:t>浓硫酸（</w:t>
      </w:r>
      <w:r>
        <w:rPr>
          <w:rFonts w:eastAsia="宋体" w:cs="Times New Roman" w:hint="eastAsia"/>
          <w:color w:val="auto"/>
          <w:kern w:val="2"/>
        </w:rPr>
        <w:t>纯度</w:t>
      </w:r>
      <w:r>
        <w:rPr>
          <w:rFonts w:eastAsia="宋体" w:cs="Times New Roman"/>
          <w:color w:val="auto"/>
          <w:kern w:val="2"/>
        </w:rPr>
        <w:t>≥98.0）</w:t>
      </w:r>
      <w:r>
        <w:rPr>
          <w:rFonts w:eastAsia="宋体" w:cs="Times New Roman" w:hint="eastAsia"/>
          <w:color w:val="auto"/>
          <w:kern w:val="2"/>
        </w:rPr>
        <w:t>、去离子</w:t>
      </w:r>
      <w:r>
        <w:rPr>
          <w:rFonts w:eastAsia="宋体" w:cs="Times New Roman"/>
          <w:color w:val="auto"/>
          <w:kern w:val="2"/>
        </w:rPr>
        <w:t>水。</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ind w:firstLine="485" w:firstLineChars="202"/>
        <w:jc w:val="both"/>
        <w:rPr>
          <w:rFonts w:eastAsia="宋体" w:cs="Times New Roman"/>
          <w:color w:val="auto"/>
          <w:kern w:val="2"/>
        </w:rPr>
      </w:pPr>
      <w:r>
        <w:rPr>
          <w:rFonts w:eastAsia="宋体" w:cs="Times New Roman" w:hint="eastAsia"/>
          <w:color w:val="auto"/>
          <w:kern w:val="2"/>
        </w:rPr>
        <w:t>f）使用相同方法或不同方法重复检测</w:t>
      </w:r>
      <w:bookmarkStart w:id="50" w:name="_Toc89875084"/>
      <w:r>
        <w:rPr>
          <w:rFonts w:eastAsia="宋体" w:cs="Times New Roman" w:hint="eastAsia"/>
          <w:color w:val="auto"/>
          <w:kern w:val="2"/>
        </w:rPr>
        <w:t>。</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ind w:firstLine="485" w:firstLineChars="202"/>
        <w:jc w:val="both"/>
        <w:rPr>
          <w:rFonts w:eastAsia="宋体" w:cs="Times New Roman"/>
          <w:color w:val="auto"/>
          <w:kern w:val="2"/>
        </w:rPr>
      </w:pPr>
      <w:r>
        <w:rPr>
          <w:rFonts w:eastAsia="宋体" w:cs="Times New Roman"/>
          <w:color w:val="auto"/>
          <w:kern w:val="2"/>
        </w:rPr>
        <w:t>示例</w:t>
      </w:r>
      <w:r>
        <w:rPr>
          <w:rFonts w:eastAsia="宋体" w:cs="Times New Roman" w:hint="eastAsia"/>
          <w:color w:val="auto"/>
          <w:kern w:val="2"/>
        </w:rPr>
        <w:t>1：采用</w:t>
      </w:r>
      <w:r>
        <w:rPr>
          <w:rFonts w:eastAsia="宋体" w:cs="Times New Roman"/>
          <w:color w:val="auto"/>
          <w:kern w:val="2"/>
        </w:rPr>
        <w:t>GB/T 22232-2008方法</w:t>
      </w:r>
      <w:r>
        <w:rPr>
          <w:rFonts w:eastAsia="宋体" w:cs="Times New Roman" w:hint="eastAsia"/>
          <w:color w:val="auto"/>
          <w:kern w:val="2"/>
        </w:rPr>
        <w:t>对样品进行重复测量。</w:t>
      </w:r>
      <w:bookmarkEnd w:id="50"/>
    </w:p>
    <w:p>
      <w:pPr>
        <w:widowControl w:val="0"/>
        <w:pBdr>
          <w:top w:val="none" w:sz="0" w:space="0" w:color="auto"/>
          <w:left w:val="none" w:sz="0" w:space="0" w:color="auto"/>
          <w:bottom w:val="none" w:sz="0" w:space="0" w:color="auto"/>
          <w:right w:val="none" w:sz="0" w:space="0" w:color="auto"/>
          <w:between w:val="none" w:sz="0" w:space="0" w:color="auto"/>
        </w:pBdr>
        <w:spacing w:line="360" w:lineRule="auto"/>
        <w:ind w:firstLine="485" w:firstLineChars="202"/>
        <w:jc w:val="both"/>
        <w:rPr>
          <w:rFonts w:eastAsia="仿宋_GB2312" w:cs="Times New Roman"/>
          <w:color w:val="auto"/>
          <w:kern w:val="2"/>
        </w:rPr>
      </w:pPr>
      <w:bookmarkStart w:id="51" w:name="_Toc89875085"/>
      <w:r>
        <w:rPr>
          <w:rFonts w:eastAsia="宋体" w:cs="Times New Roman" w:hint="eastAsia"/>
          <w:color w:val="auto"/>
          <w:kern w:val="2"/>
        </w:rPr>
        <w:t>示例2：</w:t>
      </w:r>
      <w:bookmarkEnd w:id="51"/>
      <w:bookmarkStart w:id="52" w:name="_Toc89875086"/>
      <w:r>
        <w:rPr>
          <w:rFonts w:eastAsia="宋体" w:cs="Times New Roman" w:hint="eastAsia"/>
          <w:color w:val="auto"/>
          <w:kern w:val="2"/>
        </w:rPr>
        <w:t>采用</w:t>
      </w:r>
      <w:r>
        <w:rPr>
          <w:rFonts w:eastAsia="宋体" w:cs="Times New Roman"/>
          <w:color w:val="auto"/>
          <w:kern w:val="2"/>
        </w:rPr>
        <w:t>GB/T 22232-2008</w:t>
      </w:r>
      <w:r>
        <w:rPr>
          <w:rFonts w:eastAsia="宋体" w:cs="Times New Roman" w:hint="eastAsia"/>
          <w:color w:val="auto"/>
          <w:kern w:val="2"/>
        </w:rPr>
        <w:t>和</w:t>
      </w:r>
      <w:r>
        <w:rPr>
          <w:rFonts w:eastAsia="宋体" w:cs="Times New Roman"/>
          <w:color w:val="auto"/>
          <w:kern w:val="2"/>
        </w:rPr>
        <w:t>GB/T 13464-2008</w:t>
      </w:r>
      <w:r>
        <w:rPr>
          <w:rFonts w:eastAsia="宋体" w:cs="Times New Roman" w:hint="eastAsia"/>
          <w:color w:val="auto"/>
          <w:kern w:val="2"/>
        </w:rPr>
        <w:t>两种方法对同一样品的热稳定性参数进行比对测量。</w:t>
      </w:r>
      <w:bookmarkEnd w:id="52"/>
    </w:p>
    <w:p>
      <w:pPr>
        <w:widowControl w:val="0"/>
        <w:pBdr>
          <w:top w:val="none" w:sz="0" w:space="0" w:color="auto"/>
          <w:left w:val="none" w:sz="0" w:space="0" w:color="auto"/>
          <w:bottom w:val="none" w:sz="0" w:space="0" w:color="auto"/>
          <w:right w:val="none" w:sz="0" w:space="0" w:color="auto"/>
          <w:between w:val="none" w:sz="0" w:space="0" w:color="auto"/>
        </w:pBdr>
        <w:spacing w:line="360" w:lineRule="auto"/>
        <w:ind w:firstLine="485" w:firstLineChars="202"/>
        <w:jc w:val="both"/>
        <w:rPr>
          <w:rFonts w:eastAsia="宋体" w:cs="Times New Roman"/>
          <w:color w:val="auto"/>
          <w:kern w:val="2"/>
        </w:rPr>
      </w:pPr>
      <w:bookmarkStart w:id="53" w:name="_Toc89875088"/>
      <w:r>
        <w:rPr>
          <w:rFonts w:eastAsia="宋体" w:cs="Times New Roman"/>
          <w:color w:val="auto"/>
          <w:kern w:val="2"/>
        </w:rPr>
        <w:t>j</w:t>
      </w:r>
      <w:r>
        <w:rPr>
          <w:rFonts w:eastAsia="宋体" w:cs="Times New Roman" w:hint="eastAsia"/>
          <w:color w:val="auto"/>
          <w:kern w:val="2"/>
        </w:rPr>
        <w:t>）人员比对</w:t>
      </w:r>
      <w:r>
        <w:rPr>
          <w:rFonts w:eastAsia="宋体" w:cs="Times New Roman"/>
          <w:color w:val="auto"/>
          <w:kern w:val="2"/>
        </w:rPr>
        <w:t>/</w:t>
      </w:r>
      <w:r>
        <w:rPr>
          <w:rFonts w:eastAsia="宋体" w:cs="Times New Roman" w:hint="eastAsia"/>
          <w:color w:val="auto"/>
          <w:kern w:val="2"/>
        </w:rPr>
        <w:t>设备比对</w:t>
      </w:r>
      <w:bookmarkEnd w:id="53"/>
      <w:r>
        <w:rPr>
          <w:rFonts w:eastAsia="宋体" w:cs="Times New Roman" w:hint="eastAsia"/>
          <w:color w:val="auto"/>
          <w:kern w:val="2"/>
        </w:rPr>
        <w:t>。</w:t>
      </w:r>
    </w:p>
    <w:p>
      <w:pPr>
        <w:widowControl w:val="0"/>
        <w:pBdr>
          <w:top w:val="none" w:sz="0" w:space="0" w:color="auto"/>
          <w:left w:val="none" w:sz="0" w:space="0" w:color="auto"/>
          <w:bottom w:val="none" w:sz="0" w:space="0" w:color="auto"/>
          <w:right w:val="none" w:sz="0" w:space="0" w:color="auto"/>
          <w:between w:val="none" w:sz="0" w:space="0" w:color="auto"/>
        </w:pBdr>
        <w:spacing w:line="360" w:lineRule="auto"/>
        <w:ind w:firstLine="485" w:firstLineChars="202"/>
        <w:jc w:val="both"/>
        <w:rPr>
          <w:rFonts w:eastAsia="仿宋_GB2312" w:cs="Times New Roman"/>
          <w:color w:val="auto"/>
          <w:kern w:val="2"/>
        </w:rPr>
      </w:pPr>
      <w:bookmarkStart w:id="54" w:name="_Toc89875089"/>
      <w:r>
        <w:rPr>
          <w:rFonts w:eastAsia="宋体" w:cs="Times New Roman"/>
          <w:color w:val="auto"/>
          <w:kern w:val="2"/>
        </w:rPr>
        <w:t>示例：</w:t>
      </w:r>
      <w:r>
        <w:rPr>
          <w:rFonts w:eastAsia="宋体" w:cs="Times New Roman" w:hint="eastAsia"/>
          <w:color w:val="auto"/>
          <w:kern w:val="2"/>
        </w:rPr>
        <w:t>采用两台同型号或同精度的差示扫描量热仪检测同一样品的起始放热温度。</w:t>
      </w:r>
      <w:bookmarkEnd w:id="54"/>
    </w:p>
    <w:p>
      <w:pPr>
        <w:spacing w:line="360" w:lineRule="auto"/>
        <w:jc w:val="both"/>
        <w:rPr>
          <w:rFonts w:eastAsia="宋体" w:cs="Times New Roman"/>
          <w:color w:val="auto"/>
          <w:kern w:val="2"/>
        </w:rPr>
        <w:sectPr>
          <w:footerReference w:type="default" r:id="rId12"/>
          <w:type w:val="nextPage"/>
          <w:pgSz w:w="11900" w:h="16840"/>
          <w:pgMar w:top="1440" w:right="1800" w:bottom="1440" w:left="1800" w:header="851" w:footer="992" w:gutter="0"/>
          <w:pgNumType w:start="7"/>
          <w:cols w:num="1" w:space="720"/>
          <w:titlePg w:val="0"/>
          <w:docGrid w:linePitch="286" w:charSpace="0"/>
        </w:sectPr>
      </w:pPr>
      <w:bookmarkStart w:id="55" w:name="_Toc89875090"/>
      <w:r>
        <w:rPr>
          <w:rFonts w:eastAsia="宋体" w:cs="Times New Roman"/>
          <w:color w:val="auto"/>
          <w:kern w:val="2"/>
        </w:rPr>
        <w:t>7.7.2 当</w:t>
      </w:r>
      <w:r>
        <w:rPr>
          <w:rFonts w:eastAsia="宋体" w:cs="Times New Roman" w:hint="eastAsia"/>
          <w:color w:val="auto"/>
          <w:kern w:val="2"/>
        </w:rPr>
        <w:t>实验室选择与其他实验室的结果比对监控能力水平时，一般要选择</w:t>
      </w:r>
      <w:r>
        <w:rPr>
          <w:rFonts w:eastAsia="宋体" w:cs="Times New Roman"/>
          <w:color w:val="auto"/>
          <w:kern w:val="2"/>
        </w:rPr>
        <w:t>3</w:t>
      </w:r>
      <w:r>
        <w:rPr>
          <w:rFonts w:eastAsia="宋体" w:cs="Times New Roman" w:hint="eastAsia"/>
          <w:color w:val="auto"/>
          <w:kern w:val="2"/>
        </w:rPr>
        <w:t>家以上、水平相当且通过</w:t>
      </w:r>
      <w:r>
        <w:rPr>
          <w:rFonts w:eastAsia="宋体" w:cs="Times New Roman"/>
          <w:color w:val="auto"/>
          <w:kern w:val="2"/>
        </w:rPr>
        <w:t>CNAS</w:t>
      </w:r>
      <w:r>
        <w:rPr>
          <w:rFonts w:eastAsia="宋体" w:cs="Times New Roman" w:hint="eastAsia"/>
          <w:color w:val="auto"/>
          <w:kern w:val="2"/>
        </w:rPr>
        <w:t>认可的实验室</w:t>
      </w:r>
      <w:r>
        <w:rPr>
          <w:rFonts w:eastAsia="宋体" w:cs="Times New Roman"/>
          <w:color w:val="auto"/>
          <w:kern w:val="2"/>
        </w:rPr>
        <w:t>，并约定比对的作业指导书和结果的判定准则</w:t>
      </w:r>
      <w:r>
        <w:rPr>
          <w:rFonts w:eastAsia="宋体" w:cs="Times New Roman" w:hint="eastAsia"/>
          <w:color w:val="auto"/>
          <w:kern w:val="2"/>
        </w:rPr>
        <w:t>，比对参数要选择主要参数，如</w:t>
      </w:r>
      <w:r>
        <w:rPr>
          <w:rFonts w:eastAsia="宋体" w:cs="Times New Roman"/>
          <w:color w:val="auto"/>
          <w:kern w:val="2"/>
        </w:rPr>
        <w:t>反应热、</w:t>
      </w:r>
      <w:r>
        <w:rPr>
          <w:rFonts w:eastAsia="宋体" w:cs="Times New Roman" w:hint="eastAsia"/>
          <w:color w:val="auto"/>
          <w:kern w:val="2"/>
        </w:rPr>
        <w:t>反应体系</w:t>
      </w:r>
      <w:r>
        <w:rPr>
          <w:rFonts w:eastAsia="宋体" w:cs="Times New Roman"/>
          <w:color w:val="auto"/>
          <w:kern w:val="2"/>
        </w:rPr>
        <w:t>比热容、最大热累积度等。</w:t>
      </w:r>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outlineLvl w:val="0"/>
        <w:rPr>
          <w:rFonts w:ascii="黑体" w:eastAsia="黑体" w:cs="Times New Roman"/>
          <w:color w:val="auto"/>
          <w:kern w:val="2"/>
        </w:rPr>
      </w:pPr>
      <w:bookmarkStart w:id="56" w:name="_Toc96699206"/>
      <w:r>
        <w:rPr>
          <w:rFonts w:ascii="黑体" w:eastAsia="黑体" w:cs="Times New Roman"/>
          <w:color w:val="auto"/>
          <w:kern w:val="2"/>
        </w:rPr>
        <w:t>7.8</w:t>
      </w:r>
      <w:r>
        <w:rPr>
          <w:rFonts w:ascii="黑体" w:eastAsia="黑体" w:cs="Times New Roman" w:hint="eastAsia"/>
          <w:color w:val="auto"/>
          <w:kern w:val="2"/>
        </w:rPr>
        <w:t>报告结果</w:t>
      </w:r>
      <w:bookmarkEnd w:id="55"/>
      <w:bookmarkEnd w:id="56"/>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bookmarkStart w:id="57" w:name="_Toc89875091"/>
      <w:r>
        <w:rPr>
          <w:rFonts w:eastAsia="宋体" w:cs="Times New Roman"/>
          <w:color w:val="auto"/>
          <w:kern w:val="2"/>
        </w:rPr>
        <w:t>7.8.1.2</w:t>
      </w:r>
      <w:r>
        <w:rPr>
          <w:rFonts w:eastAsia="宋体" w:cs="Times New Roman" w:hint="eastAsia"/>
          <w:color w:val="auto"/>
          <w:kern w:val="2"/>
        </w:rPr>
        <w:t>实验室出具的检测报告中需包含合成</w:t>
      </w:r>
      <w:r>
        <w:rPr>
          <w:rFonts w:eastAsia="宋体" w:cs="Times New Roman"/>
          <w:color w:val="auto"/>
          <w:kern w:val="2"/>
        </w:rPr>
        <w:t>化工产品的</w:t>
      </w:r>
      <w:r>
        <w:rPr>
          <w:rFonts w:eastAsia="宋体" w:cs="Times New Roman"/>
        </w:rPr>
        <w:t>原料、中间</w:t>
      </w:r>
      <w:r>
        <w:rPr>
          <w:rFonts w:eastAsia="宋体" w:cs="Times New Roman" w:hint="eastAsia"/>
        </w:rPr>
        <w:t>产品</w:t>
      </w:r>
      <w:r>
        <w:rPr>
          <w:rFonts w:eastAsia="宋体" w:cs="Times New Roman"/>
        </w:rPr>
        <w:t>、</w:t>
      </w:r>
      <w:r>
        <w:rPr>
          <w:rFonts w:eastAsia="宋体" w:cs="Times New Roman" w:hint="eastAsia"/>
        </w:rPr>
        <w:t>产品</w:t>
      </w:r>
      <w:r>
        <w:rPr>
          <w:rFonts w:eastAsia="宋体" w:cs="Times New Roman"/>
        </w:rPr>
        <w:t>、副产物和</w:t>
      </w:r>
      <w:r>
        <w:rPr>
          <w:rFonts w:eastAsia="宋体" w:cs="Times New Roman" w:hint="eastAsia"/>
        </w:rPr>
        <w:t>废弃物等</w:t>
      </w:r>
      <w:r>
        <w:rPr>
          <w:rFonts w:eastAsia="宋体" w:cs="Times New Roman" w:hint="eastAsia"/>
          <w:color w:val="auto"/>
          <w:kern w:val="2"/>
        </w:rPr>
        <w:t>相关物料的规格、合成</w:t>
      </w:r>
      <w:r>
        <w:rPr>
          <w:rFonts w:eastAsia="宋体" w:cs="Times New Roman"/>
          <w:color w:val="auto"/>
          <w:kern w:val="2"/>
        </w:rPr>
        <w:t>化工产品的化学</w:t>
      </w:r>
      <w:r>
        <w:rPr>
          <w:rFonts w:eastAsia="宋体" w:cs="Times New Roman" w:hint="eastAsia"/>
          <w:color w:val="auto"/>
          <w:kern w:val="2"/>
        </w:rPr>
        <w:t>反应的工艺</w:t>
      </w:r>
      <w:r>
        <w:rPr>
          <w:rFonts w:eastAsia="宋体" w:cs="Times New Roman"/>
          <w:color w:val="auto"/>
          <w:kern w:val="2"/>
        </w:rPr>
        <w:t>参数</w:t>
      </w:r>
      <w:r>
        <w:rPr>
          <w:rFonts w:eastAsia="宋体" w:cs="Times New Roman" w:hint="eastAsia"/>
          <w:color w:val="auto"/>
          <w:kern w:val="2"/>
        </w:rPr>
        <w:t>条件等实验过程信息。</w:t>
      </w:r>
      <w:bookmarkEnd w:id="57"/>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bookmarkStart w:id="58" w:name="_Toc89875092"/>
      <w:bookmarkStart w:id="59" w:name="_Toc89875093"/>
      <w:r>
        <w:rPr>
          <w:rFonts w:eastAsia="宋体" w:cs="Times New Roman" w:hint="eastAsia"/>
          <w:color w:val="auto"/>
          <w:kern w:val="2"/>
        </w:rPr>
        <w:t xml:space="preserve">7.8.2.1 </w:t>
      </w:r>
      <w:r>
        <w:rPr>
          <w:rFonts w:eastAsia="宋体" w:cs="Times New Roman"/>
          <w:color w:val="auto"/>
          <w:kern w:val="2"/>
        </w:rPr>
        <w:t>m</w:t>
      </w:r>
      <w:r>
        <w:rPr>
          <w:rFonts w:eastAsia="宋体" w:cs="Times New Roman" w:hint="eastAsia"/>
          <w:color w:val="auto"/>
          <w:kern w:val="2"/>
        </w:rPr>
        <w:t>） 实验室</w:t>
      </w:r>
      <w:r>
        <w:rPr>
          <w:rFonts w:eastAsia="宋体" w:cs="Times New Roman"/>
          <w:color w:val="auto"/>
          <w:kern w:val="2"/>
        </w:rPr>
        <w:t>出具的检测报告只能</w:t>
      </w:r>
      <w:r>
        <w:rPr>
          <w:rFonts w:eastAsia="宋体" w:cs="Times New Roman" w:hint="eastAsia"/>
          <w:color w:val="auto"/>
          <w:kern w:val="2"/>
        </w:rPr>
        <w:t>包含通过</w:t>
      </w:r>
      <w:r>
        <w:rPr>
          <w:rFonts w:eastAsia="宋体" w:cs="Times New Roman"/>
          <w:color w:val="auto"/>
          <w:kern w:val="2"/>
        </w:rPr>
        <w:t>测试得到的</w:t>
      </w:r>
      <w:r>
        <w:rPr>
          <w:rFonts w:eastAsia="宋体" w:cs="Times New Roman" w:hint="eastAsia"/>
          <w:color w:val="auto"/>
          <w:kern w:val="2"/>
        </w:rPr>
        <w:t>热</w:t>
      </w:r>
      <w:r>
        <w:rPr>
          <w:rFonts w:eastAsia="宋体" w:cs="Times New Roman"/>
          <w:color w:val="auto"/>
          <w:kern w:val="2"/>
        </w:rPr>
        <w:t>安全参数</w:t>
      </w:r>
      <w:r>
        <w:rPr>
          <w:rFonts w:eastAsia="宋体" w:cs="Times New Roman" w:hint="eastAsia"/>
          <w:color w:val="auto"/>
          <w:kern w:val="2"/>
        </w:rPr>
        <w:t>，</w:t>
      </w:r>
      <w:r>
        <w:rPr>
          <w:rFonts w:eastAsia="宋体" w:cs="Times New Roman"/>
          <w:color w:val="auto"/>
          <w:kern w:val="2"/>
        </w:rPr>
        <w:t>如</w:t>
      </w:r>
      <w:r>
        <w:rPr>
          <w:rFonts w:eastAsia="宋体" w:cs="Times New Roman" w:hint="eastAsia"/>
          <w:color w:val="auto"/>
          <w:kern w:val="2"/>
        </w:rPr>
        <w:t>起始放热</w:t>
      </w:r>
      <w:r>
        <w:rPr>
          <w:rFonts w:eastAsia="宋体" w:cs="Times New Roman"/>
          <w:color w:val="auto"/>
          <w:kern w:val="2"/>
        </w:rPr>
        <w:t>温度</w:t>
      </w:r>
      <w:r>
        <w:rPr>
          <w:rFonts w:eastAsia="宋体" w:cs="Times New Roman" w:hint="eastAsia"/>
          <w:color w:val="auto"/>
          <w:kern w:val="2"/>
        </w:rPr>
        <w:t>、</w:t>
      </w:r>
      <w:r>
        <w:rPr>
          <w:rFonts w:eastAsia="宋体" w:cs="Times New Roman"/>
          <w:color w:val="auto"/>
          <w:kern w:val="2"/>
        </w:rPr>
        <w:t>反应热、</w:t>
      </w:r>
      <w:r>
        <w:rPr>
          <w:rFonts w:eastAsia="宋体" w:cs="Times New Roman" w:hint="eastAsia"/>
          <w:color w:val="auto"/>
          <w:kern w:val="2"/>
        </w:rPr>
        <w:t>反应体系</w:t>
      </w:r>
      <w:r>
        <w:rPr>
          <w:rFonts w:eastAsia="宋体" w:cs="Times New Roman"/>
          <w:color w:val="auto"/>
          <w:kern w:val="2"/>
        </w:rPr>
        <w:t>比热容、最大热累积度</w:t>
      </w:r>
      <w:r>
        <w:rPr>
          <w:rFonts w:eastAsia="宋体" w:cs="Times New Roman" w:hint="eastAsia"/>
          <w:color w:val="auto"/>
          <w:kern w:val="2"/>
        </w:rPr>
        <w:t>等</w:t>
      </w:r>
      <w:r>
        <w:rPr>
          <w:rFonts w:eastAsia="宋体" w:cs="Times New Roman"/>
          <w:color w:val="auto"/>
          <w:kern w:val="2"/>
        </w:rPr>
        <w:t>，</w:t>
      </w:r>
      <w:r>
        <w:rPr>
          <w:rFonts w:eastAsia="宋体" w:cs="Times New Roman" w:hint="eastAsia"/>
          <w:color w:val="auto"/>
          <w:kern w:val="2"/>
        </w:rPr>
        <w:t>报告内容不能包括可能误导客户的表述，例如通过计算获取的其他热安全性参数；也不包括评估结论，例如物质分解热评估、失控反应严重度评估、失控反应发生可能性评估、失控反应安全风险矩阵评估和反应工艺危险度等级评估等。。</w:t>
      </w:r>
      <w:bookmarkEnd w:id="58"/>
    </w:p>
    <w:p>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rPr>
          <w:rFonts w:eastAsia="宋体" w:cs="Times New Roman"/>
          <w:color w:val="auto"/>
          <w:kern w:val="2"/>
        </w:rPr>
      </w:pPr>
      <w:r>
        <w:rPr>
          <w:rFonts w:eastAsia="宋体" w:cs="Times New Roman" w:hint="eastAsia"/>
          <w:color w:val="auto"/>
          <w:kern w:val="2"/>
        </w:rPr>
        <w:t>7.8.2.2如果检测采用客户</w:t>
      </w:r>
      <w:r>
        <w:rPr>
          <w:rFonts w:eastAsia="宋体" w:cs="Times New Roman"/>
          <w:color w:val="auto"/>
          <w:kern w:val="2"/>
        </w:rPr>
        <w:t>提供的相关物料</w:t>
      </w:r>
      <w:r>
        <w:rPr>
          <w:rFonts w:eastAsia="宋体" w:cs="Times New Roman" w:hint="eastAsia"/>
          <w:color w:val="auto"/>
          <w:kern w:val="2"/>
        </w:rPr>
        <w:t>和</w:t>
      </w:r>
      <w:r>
        <w:rPr>
          <w:rFonts w:eastAsia="宋体" w:cs="Times New Roman"/>
          <w:color w:val="auto"/>
          <w:kern w:val="2"/>
        </w:rPr>
        <w:t>化学反应工艺参数条件，或依据客户</w:t>
      </w:r>
      <w:r>
        <w:rPr>
          <w:rFonts w:eastAsia="宋体" w:cs="Times New Roman" w:hint="eastAsia"/>
          <w:color w:val="auto"/>
          <w:kern w:val="2"/>
        </w:rPr>
        <w:t>提供</w:t>
      </w:r>
      <w:r>
        <w:rPr>
          <w:rFonts w:eastAsia="宋体" w:cs="Times New Roman"/>
          <w:color w:val="auto"/>
          <w:kern w:val="2"/>
        </w:rPr>
        <w:t>的技术要求并征得客户同意后进行采购</w:t>
      </w:r>
      <w:r>
        <w:rPr>
          <w:rFonts w:eastAsia="宋体" w:cs="Times New Roman" w:hint="eastAsia"/>
          <w:color w:val="auto"/>
          <w:kern w:val="2"/>
        </w:rPr>
        <w:t>和</w:t>
      </w:r>
      <w:r>
        <w:rPr>
          <w:rFonts w:eastAsia="宋体" w:cs="Times New Roman"/>
          <w:color w:val="auto"/>
          <w:kern w:val="2"/>
        </w:rPr>
        <w:t>制备</w:t>
      </w:r>
      <w:r>
        <w:rPr>
          <w:rFonts w:eastAsia="宋体" w:cs="Times New Roman" w:hint="eastAsia"/>
          <w:color w:val="auto"/>
          <w:kern w:val="2"/>
        </w:rPr>
        <w:t>的</w:t>
      </w:r>
      <w:r>
        <w:rPr>
          <w:rFonts w:eastAsia="宋体" w:cs="Times New Roman"/>
          <w:color w:val="auto"/>
          <w:kern w:val="2"/>
        </w:rPr>
        <w:t>相关物料</w:t>
      </w:r>
      <w:r>
        <w:rPr>
          <w:rFonts w:eastAsia="宋体" w:cs="Times New Roman" w:hint="eastAsia"/>
          <w:color w:val="auto"/>
          <w:kern w:val="2"/>
        </w:rPr>
        <w:t>和化学</w:t>
      </w:r>
      <w:r>
        <w:rPr>
          <w:rFonts w:eastAsia="宋体" w:cs="Times New Roman"/>
          <w:color w:val="auto"/>
          <w:kern w:val="2"/>
        </w:rPr>
        <w:t>反应工艺参数条件</w:t>
      </w:r>
      <w:r>
        <w:rPr>
          <w:rFonts w:eastAsia="宋体" w:cs="Times New Roman" w:hint="eastAsia"/>
          <w:color w:val="auto"/>
          <w:kern w:val="2"/>
        </w:rPr>
        <w:t>，需要在检测报告中予以声明。。</w:t>
      </w:r>
    </w:p>
    <w:bookmarkEnd w:id="59"/>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rPr>
          <w:rFonts w:ascii="黑体" w:eastAsia="黑体" w:cs="Times New Roman"/>
          <w:color w:val="auto"/>
          <w:kern w:val="2"/>
        </w:rPr>
      </w:pPr>
      <w:bookmarkStart w:id="60" w:name="_Toc89875095"/>
      <w:r>
        <w:rPr>
          <w:rFonts w:ascii="黑体" w:eastAsia="黑体" w:cs="Times New Roman"/>
          <w:color w:val="auto"/>
          <w:kern w:val="2"/>
        </w:rPr>
        <w:t xml:space="preserve">7.9 </w:t>
      </w:r>
      <w:r>
        <w:rPr>
          <w:rFonts w:ascii="黑体" w:eastAsia="黑体" w:cs="Times New Roman" w:hint="eastAsia"/>
          <w:color w:val="auto"/>
          <w:kern w:val="2"/>
        </w:rPr>
        <w:t>投诉</w:t>
      </w:r>
      <w:bookmarkEnd w:id="60"/>
      <w:r>
        <w:rPr>
          <w:rFonts w:ascii="黑体" w:eastAsia="黑体" w:cs="Times New Roman"/>
          <w:color w:val="auto"/>
          <w:kern w:val="2"/>
        </w:rPr>
        <w:t xml:space="preserve"> </w:t>
      </w:r>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rPr>
          <w:rFonts w:ascii="黑体" w:eastAsia="黑体" w:cs="Times New Roman"/>
          <w:color w:val="auto"/>
          <w:kern w:val="2"/>
        </w:rPr>
      </w:pPr>
      <w:bookmarkStart w:id="61" w:name="_Toc89875096"/>
      <w:r>
        <w:rPr>
          <w:rFonts w:ascii="黑体" w:eastAsia="黑体" w:cs="Times New Roman"/>
          <w:color w:val="auto"/>
          <w:kern w:val="2"/>
        </w:rPr>
        <w:t xml:space="preserve">7.10 </w:t>
      </w:r>
      <w:r>
        <w:rPr>
          <w:rFonts w:ascii="黑体" w:eastAsia="黑体" w:cs="Times New Roman" w:hint="eastAsia"/>
          <w:color w:val="auto"/>
          <w:kern w:val="2"/>
        </w:rPr>
        <w:t>不符合工作</w:t>
      </w:r>
      <w:bookmarkEnd w:id="61"/>
    </w:p>
    <w:p>
      <w:pPr>
        <w:widowControl w:val="0"/>
        <w:pBdr>
          <w:top w:val="none" w:sz="0" w:space="0" w:color="auto"/>
          <w:left w:val="none" w:sz="0" w:space="0" w:color="auto"/>
          <w:bottom w:val="none" w:sz="0" w:space="0" w:color="auto"/>
          <w:right w:val="none" w:sz="0" w:space="0" w:color="auto"/>
          <w:between w:val="none" w:sz="0" w:space="0" w:color="auto"/>
        </w:pBdr>
        <w:spacing w:before="120" w:beforeLines="50" w:after="120" w:afterLines="50" w:line="360" w:lineRule="auto"/>
        <w:ind w:firstLine="6"/>
        <w:jc w:val="both"/>
        <w:rPr>
          <w:rFonts w:ascii="黑体" w:eastAsia="黑体" w:cs="Times New Roman"/>
          <w:color w:val="auto"/>
          <w:kern w:val="2"/>
        </w:rPr>
      </w:pPr>
      <w:bookmarkStart w:id="62" w:name="_Toc89875097"/>
      <w:r>
        <w:rPr>
          <w:rFonts w:ascii="黑体" w:eastAsia="黑体" w:cs="Times New Roman" w:hint="eastAsia"/>
          <w:color w:val="auto"/>
          <w:kern w:val="2"/>
        </w:rPr>
        <w:t>7.11 数据控制和信息管理</w:t>
      </w:r>
      <w:bookmarkEnd w:id="62"/>
      <w:r>
        <w:rPr>
          <w:rFonts w:ascii="黑体" w:eastAsia="黑体" w:cs="Times New Roman"/>
          <w:color w:val="auto"/>
          <w:kern w:val="2"/>
        </w:rPr>
        <w:t xml:space="preserve"> </w:t>
      </w:r>
    </w:p>
    <w:p>
      <w:pPr>
        <w:spacing w:before="120" w:beforeLines="50" w:after="120" w:afterLines="50" w:line="360" w:lineRule="auto"/>
        <w:outlineLvl w:val="0"/>
        <w:rPr>
          <w:rFonts w:ascii="Times" w:hAnsi="Times"/>
          <w:sz w:val="28"/>
          <w:szCs w:val="28"/>
        </w:rPr>
      </w:pPr>
      <w:bookmarkStart w:id="63" w:name="_Toc89875098"/>
      <w:bookmarkStart w:id="64" w:name="_Toc96699207"/>
      <w:r>
        <w:rPr>
          <w:rFonts w:ascii="黑体" w:eastAsia="黑体" w:cs="Times New Roman" w:hint="eastAsia"/>
        </w:rPr>
        <w:t>8</w:t>
      </w:r>
      <w:r>
        <w:rPr>
          <w:rFonts w:ascii="黑体" w:eastAsia="黑体" w:cs="Times New Roman"/>
        </w:rPr>
        <w:t xml:space="preserve"> </w:t>
      </w:r>
      <w:r>
        <w:rPr>
          <w:rFonts w:ascii="黑体" w:eastAsia="黑体" w:cs="Times New Roman" w:hint="eastAsia"/>
        </w:rPr>
        <w:t>管理体系要求</w:t>
      </w:r>
      <w:bookmarkEnd w:id="63"/>
      <w:bookmarkEnd w:id="64"/>
      <w:r>
        <w:rPr>
          <w:rFonts w:ascii="Times" w:hAnsi="Times"/>
          <w:sz w:val="28"/>
          <w:szCs w:val="28"/>
        </w:rPr>
        <w:t xml:space="preserve"> </w:t>
      </w:r>
    </w:p>
    <w:p>
      <w:pPr>
        <w:pStyle w:val="ListParagraph"/>
        <w:adjustRightInd w:val="0"/>
        <w:spacing w:line="360" w:lineRule="auto"/>
        <w:ind w:firstLine="0" w:firstLineChars="0"/>
        <w:rPr>
          <w:rFonts w:ascii="Times New Roman" w:eastAsia="宋体" w:hAnsi="Times New Roman" w:cs="Times New Roman"/>
          <w:spacing w:val="8"/>
          <w:sz w:val="24"/>
          <w:szCs w:val="24"/>
        </w:rPr>
      </w:pPr>
    </w:p>
    <w:p>
      <w:pPr>
        <w:rPr>
          <w:rFonts w:ascii="Times" w:hAnsi="Times"/>
          <w:sz w:val="28"/>
          <w:szCs w:val="28"/>
        </w:rPr>
        <w:sectPr>
          <w:footerReference w:type="default" r:id="rId13"/>
          <w:type w:val="nextPage"/>
          <w:pgSz w:w="11900" w:h="16840"/>
          <w:pgMar w:top="1440" w:right="1800" w:bottom="1440" w:left="1800" w:header="851" w:footer="992" w:gutter="0"/>
          <w:pgNumType w:start="8"/>
          <w:cols w:num="1" w:space="720"/>
          <w:titlePg w:val="0"/>
          <w:docGrid w:linePitch="286" w:charSpace="0"/>
        </w:sectPr>
      </w:pPr>
    </w:p>
    <w:p>
      <w:pPr>
        <w:pStyle w:val="Heading1"/>
        <w:jc w:val="center"/>
        <w:rPr>
          <w:rFonts w:ascii="宋体" w:eastAsia="宋体" w:hAnsi="宋体" w:cs="Arial"/>
          <w:b w:val="0"/>
        </w:rPr>
      </w:pPr>
      <w:bookmarkStart w:id="65" w:name="_Toc96699208"/>
      <w:r>
        <w:rPr>
          <w:rFonts w:ascii="Arial" w:hAnsi="Arial" w:cs="Arial" w:hint="eastAsia"/>
        </w:rPr>
        <w:t>附录</w:t>
      </w:r>
      <w:r>
        <w:rPr>
          <w:rFonts w:ascii="Arial" w:hAnsi="Arial" w:cs="Arial"/>
        </w:rPr>
        <w:t>A</w:t>
      </w:r>
      <w:r>
        <w:rPr>
          <w:rFonts w:ascii="宋体" w:eastAsia="宋体" w:hAnsi="宋体" w:cs="Arial"/>
          <w:b w:val="0"/>
        </w:rPr>
        <w:t>化</w:t>
      </w:r>
      <w:r>
        <w:rPr>
          <w:rFonts w:ascii="宋体" w:eastAsia="宋体" w:hAnsi="宋体" w:cs="Arial" w:hint="eastAsia"/>
          <w:b w:val="0"/>
        </w:rPr>
        <w:t>工产品热</w:t>
      </w:r>
      <w:r>
        <w:rPr>
          <w:rFonts w:ascii="宋体" w:eastAsia="宋体" w:hAnsi="宋体" w:cs="Arial"/>
          <w:b w:val="0"/>
        </w:rPr>
        <w:t>安全检测</w:t>
      </w:r>
      <w:r>
        <w:rPr>
          <w:rFonts w:ascii="宋体" w:eastAsia="宋体" w:hAnsi="宋体" w:cs="Arial" w:hint="eastAsia"/>
          <w:b w:val="0"/>
        </w:rPr>
        <w:t>领域实验室检测</w:t>
      </w:r>
      <w:r>
        <w:rPr>
          <w:rFonts w:ascii="宋体" w:eastAsia="宋体" w:hAnsi="宋体" w:cs="Arial"/>
          <w:b w:val="0"/>
        </w:rPr>
        <w:t>关键技术</w:t>
      </w:r>
      <w:r>
        <w:rPr>
          <w:rFonts w:ascii="宋体" w:eastAsia="宋体" w:hAnsi="宋体" w:cs="Arial" w:hint="eastAsia"/>
          <w:b w:val="0"/>
        </w:rPr>
        <w:t>点</w:t>
      </w:r>
    </w:p>
    <w:tbl>
      <w:tblPr>
        <w:tblStyle w:val="TableGrid0"/>
        <w:tblW w:w="1428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41"/>
        <w:gridCol w:w="1919"/>
        <w:gridCol w:w="2268"/>
        <w:gridCol w:w="9355"/>
      </w:tblGrid>
      <w:tr>
        <w:tblPrEx>
          <w:tblW w:w="1428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91"/>
          <w:tblHeader/>
        </w:trPr>
        <w:tc>
          <w:tcPr>
            <w:tcW w:w="741" w:type="dxa"/>
            <w:shd w:val="clear" w:color="auto" w:fill="BFBFBF"/>
            <w:vAlign w:val="center"/>
          </w:tcPr>
          <w:p>
            <w:pPr>
              <w:pBdr>
                <w:top w:val="none" w:sz="0" w:space="0" w:color="auto"/>
                <w:left w:val="none" w:sz="0" w:space="0" w:color="auto"/>
                <w:bottom w:val="none" w:sz="0" w:space="0" w:color="auto"/>
                <w:right w:val="none" w:sz="0" w:space="0" w:color="auto"/>
                <w:between w:val="none" w:sz="0" w:space="0" w:color="auto"/>
              </w:pBdr>
              <w:jc w:val="center"/>
              <w:rPr>
                <w:rFonts w:asciiTheme="minorEastAsia" w:eastAsiaTheme="minorEastAsia" w:hAnsiTheme="minorEastAsia"/>
                <w:b/>
                <w:kern w:val="2"/>
              </w:rPr>
            </w:pPr>
            <w:bookmarkEnd w:id="65"/>
            <w:r>
              <w:rPr>
                <w:rFonts w:asciiTheme="minorEastAsia" w:eastAsiaTheme="minorEastAsia" w:hAnsiTheme="minorEastAsia" w:hint="eastAsia"/>
                <w:b/>
                <w:kern w:val="2"/>
              </w:rPr>
              <w:t>序号</w:t>
            </w:r>
          </w:p>
        </w:tc>
        <w:tc>
          <w:tcPr>
            <w:tcW w:w="1919" w:type="dxa"/>
            <w:shd w:val="clear" w:color="auto" w:fill="BFBFBF"/>
            <w:vAlign w:val="center"/>
          </w:tcPr>
          <w:p>
            <w:pPr>
              <w:pBdr>
                <w:top w:val="none" w:sz="0" w:space="0" w:color="auto"/>
                <w:left w:val="none" w:sz="0" w:space="0" w:color="auto"/>
                <w:bottom w:val="none" w:sz="0" w:space="0" w:color="auto"/>
                <w:right w:val="none" w:sz="0" w:space="0" w:color="auto"/>
                <w:between w:val="none" w:sz="0" w:space="0" w:color="auto"/>
              </w:pBdr>
              <w:jc w:val="center"/>
              <w:rPr>
                <w:rFonts w:asciiTheme="minorEastAsia" w:eastAsiaTheme="minorEastAsia" w:hAnsiTheme="minorEastAsia"/>
                <w:b/>
                <w:kern w:val="2"/>
              </w:rPr>
            </w:pPr>
            <w:r>
              <w:rPr>
                <w:rFonts w:asciiTheme="minorEastAsia" w:eastAsiaTheme="minorEastAsia" w:hAnsiTheme="minorEastAsia" w:hint="eastAsia"/>
                <w:b/>
                <w:kern w:val="2"/>
              </w:rPr>
              <w:t>项目/参数</w:t>
            </w:r>
          </w:p>
        </w:tc>
        <w:tc>
          <w:tcPr>
            <w:tcW w:w="2268" w:type="dxa"/>
            <w:shd w:val="clear" w:color="auto" w:fill="BFBFBF"/>
            <w:vAlign w:val="center"/>
          </w:tcPr>
          <w:p>
            <w:pPr>
              <w:pBdr>
                <w:top w:val="none" w:sz="0" w:space="0" w:color="auto"/>
                <w:left w:val="none" w:sz="0" w:space="0" w:color="auto"/>
                <w:bottom w:val="none" w:sz="0" w:space="0" w:color="auto"/>
                <w:right w:val="none" w:sz="0" w:space="0" w:color="auto"/>
                <w:between w:val="none" w:sz="0" w:space="0" w:color="auto"/>
              </w:pBdr>
              <w:jc w:val="center"/>
              <w:rPr>
                <w:rFonts w:asciiTheme="minorEastAsia" w:eastAsiaTheme="minorEastAsia" w:hAnsiTheme="minorEastAsia"/>
                <w:b/>
                <w:kern w:val="2"/>
              </w:rPr>
            </w:pPr>
            <w:r>
              <w:rPr>
                <w:rFonts w:asciiTheme="minorEastAsia" w:eastAsiaTheme="minorEastAsia" w:hAnsiTheme="minorEastAsia" w:hint="eastAsia"/>
                <w:b/>
                <w:kern w:val="2"/>
              </w:rPr>
              <w:t>检测</w:t>
            </w:r>
            <w:r>
              <w:rPr>
                <w:rFonts w:asciiTheme="minorEastAsia" w:eastAsiaTheme="minorEastAsia" w:hAnsiTheme="minorEastAsia"/>
                <w:b/>
                <w:kern w:val="2"/>
              </w:rPr>
              <w:t>标准</w:t>
            </w:r>
          </w:p>
        </w:tc>
        <w:tc>
          <w:tcPr>
            <w:tcW w:w="9355" w:type="dxa"/>
            <w:shd w:val="clear" w:color="auto" w:fill="BFBFBF"/>
            <w:vAlign w:val="center"/>
          </w:tcPr>
          <w:p>
            <w:pPr>
              <w:pBdr>
                <w:top w:val="none" w:sz="0" w:space="0" w:color="auto"/>
                <w:left w:val="none" w:sz="0" w:space="0" w:color="auto"/>
                <w:bottom w:val="none" w:sz="0" w:space="0" w:color="auto"/>
                <w:right w:val="none" w:sz="0" w:space="0" w:color="auto"/>
                <w:between w:val="none" w:sz="0" w:space="0" w:color="auto"/>
              </w:pBdr>
              <w:jc w:val="center"/>
              <w:rPr>
                <w:rFonts w:asciiTheme="minorEastAsia" w:eastAsiaTheme="minorEastAsia" w:hAnsiTheme="minorEastAsia"/>
                <w:b/>
                <w:kern w:val="2"/>
              </w:rPr>
            </w:pPr>
            <w:r>
              <w:rPr>
                <w:rFonts w:asciiTheme="minorEastAsia" w:eastAsiaTheme="minorEastAsia" w:hAnsiTheme="minorEastAsia" w:hint="eastAsia"/>
                <w:b/>
                <w:kern w:val="2"/>
              </w:rPr>
              <w:t>关键</w:t>
            </w:r>
            <w:r>
              <w:rPr>
                <w:rFonts w:asciiTheme="minorEastAsia" w:eastAsiaTheme="minorEastAsia" w:hAnsiTheme="minorEastAsia"/>
                <w:b/>
                <w:kern w:val="2"/>
              </w:rPr>
              <w:t>技术</w:t>
            </w:r>
            <w:r>
              <w:rPr>
                <w:rFonts w:asciiTheme="minorEastAsia" w:eastAsiaTheme="minorEastAsia" w:hAnsiTheme="minorEastAsia" w:hint="eastAsia"/>
                <w:b/>
                <w:kern w:val="2"/>
              </w:rPr>
              <w:t>点</w:t>
            </w:r>
          </w:p>
        </w:tc>
      </w:tr>
      <w:tr>
        <w:tblPrEx>
          <w:tblW w:w="14283" w:type="dxa"/>
          <w:tblInd w:w="0" w:type="dxa"/>
          <w:tblCellMar>
            <w:top w:w="0" w:type="dxa"/>
            <w:left w:w="108" w:type="dxa"/>
            <w:bottom w:w="0" w:type="dxa"/>
            <w:right w:w="108" w:type="dxa"/>
          </w:tblCellMar>
        </w:tblPrEx>
        <w:trPr>
          <w:trHeight w:val="5793"/>
        </w:trPr>
        <w:tc>
          <w:tcPr>
            <w:tcW w:w="741" w:type="dxa"/>
            <w:vAlign w:val="center"/>
          </w:tcPr>
          <w:p>
            <w:pPr>
              <w:pBdr>
                <w:top w:val="none" w:sz="0" w:space="0" w:color="auto"/>
                <w:left w:val="none" w:sz="0" w:space="0" w:color="auto"/>
                <w:bottom w:val="none" w:sz="0" w:space="0" w:color="auto"/>
                <w:right w:val="none" w:sz="0" w:space="0" w:color="auto"/>
                <w:between w:val="none" w:sz="0" w:space="0" w:color="auto"/>
              </w:pBdr>
              <w:spacing w:line="400" w:lineRule="exact"/>
              <w:jc w:val="center"/>
              <w:rPr>
                <w:rFonts w:eastAsiaTheme="minorEastAsia" w:cs="Times New Roman"/>
                <w:color w:val="auto"/>
                <w:kern w:val="2"/>
              </w:rPr>
            </w:pPr>
            <w:r>
              <w:rPr>
                <w:rFonts w:ascii="Times New Roman" w:hAnsi="Times New Roman" w:eastAsiaTheme="minorEastAsia" w:cs="Times New Roman"/>
                <w:color w:val="auto"/>
                <w:kern w:val="2"/>
              </w:rPr>
              <w:t>1</w:t>
            </w:r>
          </w:p>
        </w:tc>
        <w:tc>
          <w:tcPr>
            <w:tcW w:w="1919" w:type="dxa"/>
            <w:vAlign w:val="center"/>
          </w:tcPr>
          <w:p>
            <w:pPr>
              <w:pBdr>
                <w:top w:val="none" w:sz="0" w:space="0" w:color="auto"/>
                <w:left w:val="none" w:sz="0" w:space="0" w:color="auto"/>
                <w:bottom w:val="none" w:sz="0" w:space="0" w:color="auto"/>
                <w:right w:val="none" w:sz="0" w:space="0" w:color="auto"/>
                <w:between w:val="none" w:sz="0" w:space="0" w:color="auto"/>
              </w:pBdr>
              <w:spacing w:line="400" w:lineRule="exact"/>
              <w:jc w:val="center"/>
              <w:rPr>
                <w:rFonts w:eastAsiaTheme="minorEastAsia" w:cs="Times New Roman"/>
                <w:color w:val="auto"/>
                <w:kern w:val="2"/>
              </w:rPr>
            </w:pPr>
            <w:r>
              <w:rPr>
                <w:rFonts w:ascii="Times New Roman" w:hAnsi="Times New Roman" w:eastAsiaTheme="minorEastAsia" w:cs="Times New Roman"/>
                <w:color w:val="auto"/>
                <w:kern w:val="2"/>
              </w:rPr>
              <w:t>化学物质热稳定性</w:t>
            </w:r>
            <w:r>
              <w:rPr>
                <w:rFonts w:ascii="Times New Roman" w:hAnsi="Times New Roman" w:eastAsiaTheme="minorEastAsia" w:cs="Times New Roman" w:hint="eastAsia"/>
                <w:color w:val="auto"/>
                <w:kern w:val="2"/>
              </w:rPr>
              <w:t>/起始</w:t>
            </w:r>
            <w:r>
              <w:rPr>
                <w:rFonts w:ascii="Times New Roman" w:hAnsi="Times New Roman" w:eastAsiaTheme="minorEastAsia" w:cs="Times New Roman"/>
                <w:color w:val="auto"/>
                <w:kern w:val="2"/>
              </w:rPr>
              <w:t>放热温度、</w:t>
            </w:r>
            <w:r>
              <w:rPr>
                <w:rFonts w:ascii="Times New Roman" w:hAnsi="Times New Roman" w:eastAsiaTheme="minorEastAsia" w:cs="Times New Roman" w:hint="eastAsia"/>
                <w:color w:val="auto"/>
                <w:kern w:val="2"/>
              </w:rPr>
              <w:t>反应</w:t>
            </w:r>
            <w:r>
              <w:rPr>
                <w:rFonts w:ascii="Times New Roman" w:hAnsi="Times New Roman" w:eastAsiaTheme="minorEastAsia" w:cs="Times New Roman"/>
                <w:color w:val="auto"/>
                <w:kern w:val="2"/>
              </w:rPr>
              <w:t>热</w:t>
            </w:r>
          </w:p>
        </w:tc>
        <w:tc>
          <w:tcPr>
            <w:tcW w:w="2268" w:type="dxa"/>
            <w:vAlign w:val="center"/>
          </w:tcPr>
          <w:p>
            <w:pPr>
              <w:pBdr>
                <w:top w:val="none" w:sz="0" w:space="0" w:color="auto"/>
                <w:left w:val="none" w:sz="0" w:space="0" w:color="auto"/>
                <w:bottom w:val="none" w:sz="0" w:space="0" w:color="auto"/>
                <w:right w:val="none" w:sz="0" w:space="0" w:color="auto"/>
                <w:between w:val="none" w:sz="0" w:space="0" w:color="auto"/>
              </w:pBdr>
              <w:spacing w:line="400" w:lineRule="exact"/>
              <w:jc w:val="center"/>
              <w:rPr>
                <w:rFonts w:asciiTheme="minorHAnsi" w:eastAsiaTheme="minorEastAsia" w:hAnsiTheme="minorHAnsi" w:cs="Times New Roman" w:hint="eastAsia"/>
                <w:kern w:val="2"/>
              </w:rPr>
            </w:pPr>
            <w:r>
              <w:rPr>
                <w:rFonts w:asciiTheme="minorHAnsi" w:eastAsiaTheme="minorEastAsia" w:hAnsiTheme="minorHAnsi" w:cs="Times New Roman" w:hint="eastAsia"/>
                <w:kern w:val="2"/>
              </w:rPr>
              <w:t>化学</w:t>
            </w:r>
            <w:r>
              <w:rPr>
                <w:rFonts w:asciiTheme="minorHAnsi" w:eastAsiaTheme="minorEastAsia" w:hAnsiTheme="minorHAnsi" w:cs="Times New Roman"/>
                <w:kern w:val="2"/>
              </w:rPr>
              <w:t>物质的热稳定性测定</w:t>
            </w:r>
            <w:r>
              <w:rPr>
                <w:rFonts w:asciiTheme="minorHAnsi" w:eastAsiaTheme="minorEastAsia" w:hAnsiTheme="minorHAnsi" w:cs="Times New Roman" w:hint="eastAsia"/>
                <w:kern w:val="2"/>
              </w:rPr>
              <w:t xml:space="preserve"> 差示</w:t>
            </w:r>
            <w:r>
              <w:rPr>
                <w:rFonts w:asciiTheme="minorHAnsi" w:eastAsiaTheme="minorEastAsia" w:hAnsiTheme="minorHAnsi" w:cs="Times New Roman"/>
                <w:kern w:val="2"/>
              </w:rPr>
              <w:t>扫描量热法</w:t>
            </w:r>
          </w:p>
          <w:p>
            <w:pPr>
              <w:pBdr>
                <w:top w:val="none" w:sz="0" w:space="0" w:color="auto"/>
                <w:left w:val="none" w:sz="0" w:space="0" w:color="auto"/>
                <w:bottom w:val="none" w:sz="0" w:space="0" w:color="auto"/>
                <w:right w:val="none" w:sz="0" w:space="0" w:color="auto"/>
                <w:between w:val="none" w:sz="0" w:space="0" w:color="auto"/>
              </w:pBdr>
              <w:spacing w:line="400" w:lineRule="exact"/>
              <w:jc w:val="center"/>
              <w:rPr>
                <w:rFonts w:eastAsiaTheme="minorEastAsia" w:cs="Times New Roman"/>
                <w:color w:val="auto"/>
                <w:kern w:val="2"/>
              </w:rPr>
            </w:pPr>
            <w:r>
              <w:rPr>
                <w:rFonts w:asciiTheme="minorHAnsi" w:eastAsiaTheme="minorEastAsia" w:hAnsiTheme="minorHAnsi" w:cs="Times New Roman"/>
                <w:kern w:val="2"/>
              </w:rPr>
              <w:t>GB/T 22232</w:t>
            </w:r>
          </w:p>
        </w:tc>
        <w:tc>
          <w:tcPr>
            <w:tcW w:w="9355" w:type="dxa"/>
            <w:vAlign w:val="center"/>
          </w:tcPr>
          <w:p>
            <w:pPr>
              <w:pBdr>
                <w:top w:val="none" w:sz="0" w:space="0" w:color="auto"/>
                <w:left w:val="none" w:sz="0" w:space="0" w:color="auto"/>
                <w:bottom w:val="none" w:sz="0" w:space="0" w:color="auto"/>
                <w:right w:val="none" w:sz="0" w:space="0" w:color="auto"/>
                <w:between w:val="none" w:sz="0" w:space="0" w:color="auto"/>
              </w:pBdr>
              <w:spacing w:line="400" w:lineRule="exact"/>
              <w:jc w:val="both"/>
              <w:rPr>
                <w:rFonts w:asciiTheme="minorHAnsi" w:eastAsiaTheme="minorEastAsia" w:hAnsiTheme="minorHAnsi" w:cs="Times New Roman" w:hint="eastAsia"/>
                <w:kern w:val="2"/>
              </w:rPr>
            </w:pPr>
            <w:r>
              <w:rPr>
                <w:rFonts w:asciiTheme="minorHAnsi" w:eastAsiaTheme="minorEastAsia" w:hAnsiTheme="minorHAnsi" w:cs="Times New Roman" w:hint="eastAsia"/>
                <w:kern w:val="2"/>
              </w:rPr>
              <w:t>（</w:t>
            </w:r>
            <w:r>
              <w:rPr>
                <w:rFonts w:asciiTheme="minorHAnsi" w:eastAsiaTheme="minorEastAsia" w:hAnsiTheme="minorHAnsi" w:cs="Times New Roman"/>
                <w:kern w:val="2"/>
              </w:rPr>
              <w:t>1</w:t>
            </w:r>
            <w:r>
              <w:rPr>
                <w:rFonts w:asciiTheme="minorHAnsi" w:eastAsiaTheme="minorEastAsia" w:hAnsiTheme="minorHAnsi" w:cs="Times New Roman" w:hint="eastAsia"/>
                <w:kern w:val="2"/>
              </w:rPr>
              <w:t>）该方法</w:t>
            </w:r>
            <w:r>
              <w:rPr>
                <w:rFonts w:asciiTheme="minorHAnsi" w:eastAsiaTheme="minorEastAsia" w:hAnsiTheme="minorHAnsi" w:cs="Times New Roman"/>
                <w:kern w:val="2"/>
              </w:rPr>
              <w:t>测试</w:t>
            </w:r>
            <w:r>
              <w:rPr>
                <w:rFonts w:asciiTheme="minorHAnsi" w:eastAsiaTheme="minorEastAsia" w:hAnsiTheme="minorHAnsi" w:cs="Times New Roman" w:hint="eastAsia"/>
                <w:kern w:val="2"/>
              </w:rPr>
              <w:t>范围为压力100P</w:t>
            </w:r>
            <w:r>
              <w:rPr>
                <w:rFonts w:asciiTheme="minorHAnsi" w:eastAsiaTheme="minorEastAsia" w:hAnsiTheme="minorHAnsi" w:cs="Times New Roman"/>
                <w:kern w:val="2"/>
              </w:rPr>
              <w:t>a~7M</w:t>
            </w:r>
            <w:r>
              <w:rPr>
                <w:rFonts w:asciiTheme="minorHAnsi" w:eastAsiaTheme="minorEastAsia" w:hAnsiTheme="minorHAnsi" w:cs="Times New Roman" w:hint="eastAsia"/>
                <w:kern w:val="2"/>
              </w:rPr>
              <w:t>P</w:t>
            </w:r>
            <w:r>
              <w:rPr>
                <w:rFonts w:asciiTheme="minorHAnsi" w:eastAsiaTheme="minorEastAsia" w:hAnsiTheme="minorHAnsi" w:cs="Times New Roman"/>
                <w:kern w:val="2"/>
              </w:rPr>
              <w:t>a</w:t>
            </w:r>
            <w:r>
              <w:rPr>
                <w:rFonts w:asciiTheme="minorHAnsi" w:eastAsiaTheme="minorEastAsia" w:hAnsiTheme="minorHAnsi" w:cs="Times New Roman" w:hint="eastAsia"/>
                <w:kern w:val="2"/>
              </w:rPr>
              <w:t>、温度27</w:t>
            </w:r>
            <w:r>
              <w:rPr>
                <w:rFonts w:ascii="宋体" w:eastAsia="宋体" w:hAnsi="宋体" w:cs="宋体" w:hint="eastAsia"/>
                <w:kern w:val="2"/>
                <w:lang w:eastAsia="ja-JP"/>
              </w:rPr>
              <w:t>℃</w:t>
            </w:r>
            <w:r>
              <w:rPr>
                <w:rFonts w:asciiTheme="minorHAnsi" w:eastAsiaTheme="minorEastAsia" w:hAnsiTheme="minorHAnsi" w:cs="Times New Roman"/>
                <w:kern w:val="2"/>
              </w:rPr>
              <w:t>~527</w:t>
            </w:r>
            <w:r>
              <w:rPr>
                <w:rFonts w:ascii="宋体" w:eastAsia="宋体" w:hAnsi="宋体" w:cs="宋体" w:hint="eastAsia"/>
                <w:kern w:val="2"/>
                <w:lang w:eastAsia="ja-JP"/>
              </w:rPr>
              <w:t>℃</w:t>
            </w:r>
            <w:r>
              <w:rPr>
                <w:rFonts w:ascii="宋体" w:eastAsia="宋体" w:hAnsi="宋体" w:cs="宋体" w:hint="eastAsia"/>
                <w:kern w:val="2"/>
              </w:rPr>
              <w:t>的</w:t>
            </w:r>
            <w:r>
              <w:rPr>
                <w:rFonts w:ascii="宋体" w:eastAsia="宋体" w:hAnsi="宋体" w:cs="宋体"/>
                <w:kern w:val="2"/>
              </w:rPr>
              <w:t>惰性或活性气体中进行的试验</w:t>
            </w:r>
            <w:r>
              <w:rPr>
                <w:rFonts w:ascii="宋体" w:eastAsia="宋体" w:hAnsi="宋体" w:cs="宋体" w:hint="eastAsia"/>
                <w:kern w:val="2"/>
              </w:rPr>
              <w:t>，应</w:t>
            </w:r>
            <w:r>
              <w:rPr>
                <w:rFonts w:asciiTheme="minorHAnsi" w:eastAsiaTheme="minorEastAsia" w:hAnsiTheme="minorHAnsi" w:cs="Times New Roman" w:hint="eastAsia"/>
                <w:kern w:val="2"/>
              </w:rPr>
              <w:t>根据实验室是否</w:t>
            </w:r>
            <w:r>
              <w:rPr>
                <w:rFonts w:asciiTheme="minorHAnsi" w:eastAsiaTheme="minorEastAsia" w:hAnsiTheme="minorHAnsi" w:cs="Times New Roman"/>
                <w:kern w:val="2"/>
              </w:rPr>
              <w:t>配备耐高压</w:t>
            </w:r>
            <w:r>
              <w:rPr>
                <w:rFonts w:asciiTheme="minorHAnsi" w:eastAsiaTheme="minorEastAsia" w:hAnsiTheme="minorHAnsi" w:cs="Times New Roman" w:hint="eastAsia"/>
                <w:kern w:val="2"/>
              </w:rPr>
              <w:t>的</w:t>
            </w:r>
            <w:r>
              <w:rPr>
                <w:rFonts w:asciiTheme="minorHAnsi" w:eastAsiaTheme="minorEastAsia" w:hAnsiTheme="minorHAnsi" w:cs="Times New Roman"/>
                <w:kern w:val="2"/>
              </w:rPr>
              <w:t>金坩埚</w:t>
            </w:r>
            <w:r>
              <w:rPr>
                <w:rFonts w:asciiTheme="minorHAnsi" w:eastAsiaTheme="minorEastAsia" w:hAnsiTheme="minorHAnsi" w:cs="Times New Roman" w:hint="eastAsia"/>
                <w:kern w:val="2"/>
              </w:rPr>
              <w:t>，</w:t>
            </w:r>
            <w:r>
              <w:rPr>
                <w:rFonts w:asciiTheme="minorHAnsi" w:eastAsiaTheme="minorEastAsia" w:hAnsiTheme="minorHAnsi" w:cs="Times New Roman"/>
                <w:kern w:val="2"/>
              </w:rPr>
              <w:t>确定</w:t>
            </w:r>
            <w:r>
              <w:rPr>
                <w:rFonts w:asciiTheme="minorHAnsi" w:eastAsiaTheme="minorEastAsia" w:hAnsiTheme="minorHAnsi" w:cs="Times New Roman" w:hint="eastAsia"/>
                <w:kern w:val="2"/>
              </w:rPr>
              <w:t>压力</w:t>
            </w:r>
            <w:r>
              <w:rPr>
                <w:rFonts w:asciiTheme="minorHAnsi" w:eastAsiaTheme="minorEastAsia" w:hAnsiTheme="minorHAnsi" w:cs="Times New Roman"/>
                <w:kern w:val="2"/>
              </w:rPr>
              <w:t>测量范围</w:t>
            </w:r>
            <w:r>
              <w:rPr>
                <w:rFonts w:asciiTheme="minorHAnsi" w:eastAsiaTheme="minorEastAsia" w:hAnsiTheme="minorHAnsi" w:cs="Times New Roman" w:hint="eastAsia"/>
                <w:kern w:val="2"/>
              </w:rPr>
              <w:t>是否达到7</w:t>
            </w:r>
            <w:r>
              <w:rPr>
                <w:rFonts w:asciiTheme="minorHAnsi" w:eastAsiaTheme="minorEastAsia" w:hAnsiTheme="minorHAnsi" w:cs="Times New Roman"/>
                <w:kern w:val="2"/>
              </w:rPr>
              <w:t>MPa</w:t>
            </w:r>
            <w:r>
              <w:rPr>
                <w:rFonts w:asciiTheme="minorHAnsi" w:eastAsiaTheme="minorEastAsia" w:hAnsiTheme="minorHAnsi" w:cs="Times New Roman" w:hint="eastAsia"/>
                <w:kern w:val="2"/>
              </w:rPr>
              <w:t>；根据</w:t>
            </w:r>
            <w:r>
              <w:rPr>
                <w:rFonts w:asciiTheme="minorHAnsi" w:eastAsiaTheme="minorEastAsia" w:hAnsiTheme="minorHAnsi" w:cs="Times New Roman"/>
                <w:kern w:val="2"/>
              </w:rPr>
              <w:t>实验室是否</w:t>
            </w:r>
            <w:r>
              <w:rPr>
                <w:rFonts w:asciiTheme="minorHAnsi" w:eastAsiaTheme="minorEastAsia" w:hAnsiTheme="minorHAnsi" w:cs="Times New Roman" w:hint="eastAsia"/>
                <w:kern w:val="2"/>
              </w:rPr>
              <w:t>采用活性</w:t>
            </w:r>
            <w:r>
              <w:rPr>
                <w:rFonts w:asciiTheme="minorHAnsi" w:eastAsiaTheme="minorEastAsia" w:hAnsiTheme="minorHAnsi" w:cs="Times New Roman"/>
                <w:kern w:val="2"/>
              </w:rPr>
              <w:t>气体</w:t>
            </w:r>
            <w:r>
              <w:rPr>
                <w:rFonts w:asciiTheme="minorHAnsi" w:eastAsiaTheme="minorEastAsia" w:hAnsiTheme="minorHAnsi" w:cs="Times New Roman" w:hint="eastAsia"/>
                <w:kern w:val="2"/>
              </w:rPr>
              <w:t>做气氛</w:t>
            </w:r>
            <w:r>
              <w:rPr>
                <w:rFonts w:asciiTheme="minorHAnsi" w:eastAsiaTheme="minorEastAsia" w:hAnsiTheme="minorHAnsi" w:cs="Times New Roman"/>
                <w:kern w:val="2"/>
              </w:rPr>
              <w:t>气体，确定是否需要限制在活性气体中进行的试验。</w:t>
            </w:r>
          </w:p>
          <w:p>
            <w:pPr>
              <w:pBdr>
                <w:top w:val="none" w:sz="0" w:space="0" w:color="auto"/>
                <w:left w:val="none" w:sz="0" w:space="0" w:color="auto"/>
                <w:bottom w:val="none" w:sz="0" w:space="0" w:color="auto"/>
                <w:right w:val="none" w:sz="0" w:space="0" w:color="auto"/>
                <w:between w:val="none" w:sz="0" w:space="0" w:color="auto"/>
              </w:pBdr>
              <w:spacing w:line="400" w:lineRule="exact"/>
              <w:jc w:val="both"/>
              <w:rPr>
                <w:rFonts w:asciiTheme="minorHAnsi" w:eastAsiaTheme="minorEastAsia" w:hAnsiTheme="minorHAnsi" w:cs="Times New Roman" w:hint="eastAsia"/>
                <w:kern w:val="2"/>
              </w:rPr>
            </w:pPr>
            <w:r>
              <w:rPr>
                <w:rFonts w:asciiTheme="minorHAnsi" w:eastAsiaTheme="minorEastAsia" w:hAnsiTheme="minorHAnsi" w:cs="Times New Roman" w:hint="eastAsia"/>
                <w:kern w:val="2"/>
              </w:rPr>
              <w:t>（2）在</w:t>
            </w:r>
            <w:r>
              <w:rPr>
                <w:rFonts w:asciiTheme="minorHAnsi" w:eastAsiaTheme="minorEastAsia" w:hAnsiTheme="minorHAnsi" w:cs="Times New Roman"/>
                <w:kern w:val="2"/>
              </w:rPr>
              <w:t>选择具备测试条件</w:t>
            </w:r>
            <w:r>
              <w:rPr>
                <w:rFonts w:asciiTheme="minorHAnsi" w:eastAsiaTheme="minorEastAsia" w:hAnsiTheme="minorHAnsi" w:cs="Times New Roman" w:hint="eastAsia"/>
                <w:kern w:val="2"/>
              </w:rPr>
              <w:t>的</w:t>
            </w:r>
            <w:r>
              <w:rPr>
                <w:rFonts w:asciiTheme="minorHAnsi" w:eastAsiaTheme="minorEastAsia" w:hAnsiTheme="minorHAnsi" w:cs="Times New Roman"/>
                <w:kern w:val="2"/>
              </w:rPr>
              <w:t>样品</w:t>
            </w:r>
            <w:r>
              <w:rPr>
                <w:rFonts w:asciiTheme="minorHAnsi" w:eastAsiaTheme="minorEastAsia" w:hAnsiTheme="minorHAnsi" w:cs="Times New Roman" w:hint="eastAsia"/>
                <w:kern w:val="2"/>
              </w:rPr>
              <w:t>时</w:t>
            </w:r>
            <w:r>
              <w:rPr>
                <w:rFonts w:asciiTheme="minorHAnsi" w:eastAsiaTheme="minorEastAsia" w:hAnsiTheme="minorHAnsi" w:cs="Times New Roman"/>
                <w:kern w:val="2"/>
              </w:rPr>
              <w:t>，如果被测量的试样若在升温过程中能产生大量气体，或能引起爆炸的都不</w:t>
            </w:r>
            <w:r>
              <w:rPr>
                <w:rFonts w:asciiTheme="minorHAnsi" w:eastAsiaTheme="minorEastAsia" w:hAnsiTheme="minorHAnsi" w:cs="Times New Roman" w:hint="eastAsia"/>
                <w:kern w:val="2"/>
              </w:rPr>
              <w:t>宜</w:t>
            </w:r>
            <w:r>
              <w:rPr>
                <w:rFonts w:asciiTheme="minorHAnsi" w:eastAsiaTheme="minorEastAsia" w:hAnsiTheme="minorHAnsi" w:cs="Times New Roman"/>
                <w:kern w:val="2"/>
              </w:rPr>
              <w:t>使用该仪器</w:t>
            </w:r>
            <w:r>
              <w:rPr>
                <w:rFonts w:asciiTheme="minorHAnsi" w:eastAsiaTheme="minorEastAsia" w:hAnsiTheme="minorHAnsi" w:cs="Times New Roman" w:hint="eastAsia"/>
                <w:kern w:val="2"/>
              </w:rPr>
              <w:t>；固体样品（包括粉状、颗粒状、片状、块状等）的粒度对测试结果的影响较大，颗粒越大热阻越大，会使样品的熔融温度和熔热焓偏低，测试</w:t>
            </w:r>
            <w:r>
              <w:rPr>
                <w:rFonts w:asciiTheme="minorHAnsi" w:eastAsiaTheme="minorEastAsia" w:hAnsiTheme="minorHAnsi" w:cs="Times New Roman"/>
                <w:kern w:val="2"/>
              </w:rPr>
              <w:t>前应按照</w:t>
            </w:r>
            <w:r>
              <w:rPr>
                <w:rFonts w:asciiTheme="minorHAnsi" w:eastAsiaTheme="minorEastAsia" w:hAnsiTheme="minorHAnsi" w:cs="Times New Roman" w:hint="eastAsia"/>
                <w:kern w:val="2"/>
              </w:rPr>
              <w:t>GB/T 22232-2008第8.2条款</w:t>
            </w:r>
            <w:r>
              <w:rPr>
                <w:rFonts w:asciiTheme="minorHAnsi" w:eastAsiaTheme="minorEastAsia" w:hAnsiTheme="minorHAnsi" w:cs="Times New Roman"/>
                <w:kern w:val="2"/>
              </w:rPr>
              <w:t>要求通过</w:t>
            </w:r>
            <w:r>
              <w:rPr>
                <w:rFonts w:asciiTheme="minorHAnsi" w:eastAsiaTheme="minorEastAsia" w:hAnsiTheme="minorHAnsi" w:cs="Times New Roman" w:hint="eastAsia"/>
                <w:kern w:val="2"/>
              </w:rPr>
              <w:t>碾磨降低</w:t>
            </w:r>
            <w:r>
              <w:rPr>
                <w:rFonts w:asciiTheme="minorHAnsi" w:eastAsiaTheme="minorEastAsia" w:hAnsiTheme="minorHAnsi" w:cs="Times New Roman"/>
                <w:kern w:val="2"/>
              </w:rPr>
              <w:t>颗粒度。</w:t>
            </w:r>
          </w:p>
          <w:p>
            <w:pPr>
              <w:pBdr>
                <w:top w:val="none" w:sz="0" w:space="0" w:color="auto"/>
                <w:left w:val="none" w:sz="0" w:space="0" w:color="auto"/>
                <w:bottom w:val="none" w:sz="0" w:space="0" w:color="auto"/>
                <w:right w:val="none" w:sz="0" w:space="0" w:color="auto"/>
                <w:between w:val="none" w:sz="0" w:space="0" w:color="auto"/>
              </w:pBdr>
              <w:spacing w:line="400" w:lineRule="exact"/>
              <w:jc w:val="both"/>
              <w:rPr>
                <w:rFonts w:asciiTheme="minorHAnsi" w:eastAsiaTheme="minorEastAsia" w:hAnsiTheme="minorHAnsi" w:cs="Times New Roman" w:hint="eastAsia"/>
                <w:kern w:val="2"/>
              </w:rPr>
            </w:pPr>
            <w:r>
              <w:rPr>
                <w:rFonts w:asciiTheme="minorHAnsi" w:eastAsiaTheme="minorEastAsia" w:hAnsiTheme="minorHAnsi" w:cs="Times New Roman" w:hint="eastAsia"/>
                <w:kern w:val="2"/>
              </w:rPr>
              <w:t>（3）该方法</w:t>
            </w:r>
            <w:r>
              <w:rPr>
                <w:rFonts w:asciiTheme="minorHAnsi" w:eastAsiaTheme="minorEastAsia" w:hAnsiTheme="minorHAnsi" w:cs="Times New Roman"/>
                <w:kern w:val="2"/>
              </w:rPr>
              <w:t>样品量</w:t>
            </w:r>
            <w:r>
              <w:rPr>
                <w:rFonts w:asciiTheme="minorHAnsi" w:eastAsiaTheme="minorEastAsia" w:hAnsiTheme="minorHAnsi" w:cs="Times New Roman" w:hint="eastAsia"/>
                <w:kern w:val="2"/>
              </w:rPr>
              <w:t>一般</w:t>
            </w:r>
            <w:r>
              <w:rPr>
                <w:rFonts w:asciiTheme="minorHAnsi" w:eastAsiaTheme="minorEastAsia" w:hAnsiTheme="minorHAnsi" w:cs="Times New Roman"/>
                <w:kern w:val="2"/>
              </w:rPr>
              <w:t>为</w:t>
            </w:r>
            <w:r>
              <w:rPr>
                <w:rFonts w:asciiTheme="minorHAnsi" w:eastAsiaTheme="minorEastAsia" w:hAnsiTheme="minorHAnsi" w:cs="Times New Roman" w:hint="eastAsia"/>
                <w:kern w:val="2"/>
              </w:rPr>
              <w:t>5</w:t>
            </w:r>
            <w:r>
              <w:rPr>
                <w:rFonts w:asciiTheme="minorHAnsi" w:eastAsiaTheme="minorEastAsia" w:hAnsiTheme="minorHAnsi" w:cs="Times New Roman"/>
                <w:kern w:val="2"/>
              </w:rPr>
              <w:t>mg，</w:t>
            </w:r>
            <w:r>
              <w:rPr>
                <w:rFonts w:asciiTheme="minorHAnsi" w:eastAsiaTheme="minorEastAsia" w:hAnsiTheme="minorHAnsi" w:cs="Times New Roman" w:hint="eastAsia"/>
                <w:kern w:val="2"/>
              </w:rPr>
              <w:t>对于特性未知的材料，最安全的做法是用不超过1m</w:t>
            </w:r>
            <w:r>
              <w:rPr>
                <w:rFonts w:asciiTheme="minorHAnsi" w:eastAsiaTheme="minorEastAsia" w:hAnsiTheme="minorHAnsi" w:cs="Times New Roman"/>
                <w:kern w:val="2"/>
              </w:rPr>
              <w:t>g</w:t>
            </w:r>
            <w:r>
              <w:rPr>
                <w:rFonts w:asciiTheme="minorHAnsi" w:eastAsiaTheme="minorEastAsia" w:hAnsiTheme="minorHAnsi" w:cs="Times New Roman" w:hint="eastAsia"/>
                <w:kern w:val="2"/>
              </w:rPr>
              <w:t>的试样量开始试验，如果放热感应不够大再增加样品量。</w:t>
            </w:r>
          </w:p>
          <w:p>
            <w:pPr>
              <w:pBdr>
                <w:top w:val="none" w:sz="0" w:space="0" w:color="auto"/>
                <w:left w:val="none" w:sz="0" w:space="0" w:color="auto"/>
                <w:bottom w:val="none" w:sz="0" w:space="0" w:color="auto"/>
                <w:right w:val="none" w:sz="0" w:space="0" w:color="auto"/>
                <w:between w:val="none" w:sz="0" w:space="0" w:color="auto"/>
              </w:pBdr>
              <w:spacing w:line="400" w:lineRule="exact"/>
              <w:jc w:val="both"/>
              <w:rPr>
                <w:rFonts w:asciiTheme="minorHAnsi" w:eastAsiaTheme="minorEastAsia" w:hAnsiTheme="minorHAnsi" w:cs="Times New Roman" w:hint="eastAsia"/>
                <w:kern w:val="2"/>
              </w:rPr>
            </w:pPr>
            <w:r>
              <w:rPr>
                <w:rFonts w:asciiTheme="minorHAnsi" w:eastAsiaTheme="minorEastAsia" w:hAnsiTheme="minorHAnsi" w:cs="Times New Roman" w:hint="eastAsia"/>
                <w:kern w:val="2"/>
              </w:rPr>
              <w:t>（4）</w:t>
            </w:r>
            <w:r>
              <w:rPr>
                <w:rFonts w:asciiTheme="minorHAnsi" w:eastAsiaTheme="minorEastAsia" w:hAnsiTheme="minorHAnsi" w:cs="Times New Roman"/>
                <w:kern w:val="2"/>
              </w:rPr>
              <w:t>试样在坩埚中装填的松紧程度会影响热分解气体产物向周围介质空气的扩散和试样与气氛的接触</w:t>
            </w:r>
            <w:r>
              <w:rPr>
                <w:rFonts w:asciiTheme="minorHAnsi" w:eastAsiaTheme="minorEastAsia" w:hAnsiTheme="minorHAnsi" w:cs="Times New Roman" w:hint="eastAsia"/>
                <w:kern w:val="2"/>
              </w:rPr>
              <w:t>，</w:t>
            </w:r>
            <w:r>
              <w:rPr>
                <w:rFonts w:asciiTheme="minorHAnsi" w:eastAsiaTheme="minorEastAsia" w:hAnsiTheme="minorHAnsi" w:cs="Times New Roman"/>
                <w:kern w:val="2"/>
              </w:rPr>
              <w:t>当介质为空气时，如装样较松散，有充分的氧化气氛，则DSC曲线呈放热效应</w:t>
            </w:r>
            <w:r>
              <w:rPr>
                <w:rFonts w:asciiTheme="minorHAnsi" w:eastAsiaTheme="minorEastAsia" w:hAnsiTheme="minorHAnsi" w:cs="Times New Roman" w:hint="eastAsia"/>
                <w:kern w:val="2"/>
              </w:rPr>
              <w:t>；</w:t>
            </w:r>
            <w:r>
              <w:rPr>
                <w:rFonts w:asciiTheme="minorHAnsi" w:eastAsiaTheme="minorEastAsia" w:hAnsiTheme="minorHAnsi" w:cs="Times New Roman"/>
                <w:kern w:val="2"/>
              </w:rPr>
              <w:t>如装样较实，处于缺氧状态，则DSC曲线呈吸热效应。</w:t>
            </w:r>
          </w:p>
          <w:p>
            <w:pPr>
              <w:pBdr>
                <w:top w:val="none" w:sz="0" w:space="0" w:color="auto"/>
                <w:left w:val="none" w:sz="0" w:space="0" w:color="auto"/>
                <w:bottom w:val="none" w:sz="0" w:space="0" w:color="auto"/>
                <w:right w:val="none" w:sz="0" w:space="0" w:color="auto"/>
                <w:between w:val="none" w:sz="0" w:space="0" w:color="auto"/>
              </w:pBdr>
              <w:spacing w:line="400" w:lineRule="exact"/>
              <w:jc w:val="both"/>
              <w:rPr>
                <w:rFonts w:asciiTheme="minorHAnsi" w:eastAsiaTheme="minorEastAsia" w:hAnsiTheme="minorHAnsi" w:cs="Times New Roman" w:hint="eastAsia"/>
                <w:kern w:val="2"/>
              </w:rPr>
            </w:pPr>
            <w:r>
              <w:rPr>
                <w:rFonts w:asciiTheme="minorHAnsi" w:eastAsiaTheme="minorEastAsia" w:hAnsiTheme="minorHAnsi" w:cs="Times New Roman" w:hint="eastAsia"/>
                <w:kern w:val="2"/>
              </w:rPr>
              <w:t>（5）加热速率</w:t>
            </w:r>
            <w:r>
              <w:rPr>
                <w:rFonts w:asciiTheme="minorHAnsi" w:eastAsiaTheme="minorEastAsia" w:hAnsiTheme="minorHAnsi" w:cs="Times New Roman"/>
                <w:kern w:val="2"/>
              </w:rPr>
              <w:t>不宜过快，</w:t>
            </w:r>
            <w:r>
              <w:rPr>
                <w:rFonts w:asciiTheme="minorHAnsi" w:eastAsiaTheme="minorEastAsia" w:hAnsiTheme="minorHAnsi" w:cs="Times New Roman" w:hint="eastAsia"/>
                <w:kern w:val="2"/>
              </w:rPr>
              <w:t>一般设置为10℃/min ~20℃/min，如果一个吸热反应紧接着一个放热反应，则建议加热速率降低为2℃/min~6℃/min</w:t>
            </w:r>
            <w:r>
              <w:rPr>
                <w:rFonts w:asciiTheme="minorHAnsi" w:eastAsiaTheme="minorEastAsia" w:hAnsiTheme="minorHAnsi" w:cs="Times New Roman"/>
                <w:kern w:val="2"/>
              </w:rPr>
              <w:t>。</w:t>
            </w:r>
          </w:p>
          <w:p>
            <w:pPr>
              <w:pBdr>
                <w:top w:val="none" w:sz="0" w:space="0" w:color="auto"/>
                <w:left w:val="none" w:sz="0" w:space="0" w:color="auto"/>
                <w:bottom w:val="none" w:sz="0" w:space="0" w:color="auto"/>
                <w:right w:val="none" w:sz="0" w:space="0" w:color="auto"/>
                <w:between w:val="none" w:sz="0" w:space="0" w:color="auto"/>
              </w:pBdr>
              <w:spacing w:after="0" w:line="400" w:lineRule="exact"/>
              <w:jc w:val="both"/>
              <w:rPr>
                <w:rFonts w:eastAsiaTheme="minorEastAsia"/>
                <w:color w:val="FF0000"/>
                <w:kern w:val="2"/>
                <w:sz w:val="21"/>
              </w:rPr>
            </w:pPr>
            <w:r>
              <w:rPr>
                <w:rFonts w:asciiTheme="minorHAnsi" w:eastAsiaTheme="minorEastAsia" w:hAnsiTheme="minorHAnsi" w:cs="Times New Roman" w:hint="eastAsia"/>
                <w:kern w:val="2"/>
              </w:rPr>
              <w:t>（</w:t>
            </w:r>
            <w:r>
              <w:rPr>
                <w:rFonts w:asciiTheme="minorHAnsi" w:eastAsiaTheme="minorEastAsia" w:hAnsiTheme="minorHAnsi" w:cs="Times New Roman"/>
                <w:kern w:val="2"/>
              </w:rPr>
              <w:t>6</w:t>
            </w:r>
            <w:r>
              <w:rPr>
                <w:rFonts w:asciiTheme="minorHAnsi" w:eastAsiaTheme="minorEastAsia" w:hAnsiTheme="minorHAnsi" w:cs="Times New Roman" w:hint="eastAsia"/>
                <w:kern w:val="2"/>
              </w:rPr>
              <w:t>）差式扫描量热仪的</w:t>
            </w:r>
            <w:r>
              <w:rPr>
                <w:rFonts w:asciiTheme="minorHAnsi" w:eastAsiaTheme="minorEastAsia" w:hAnsiTheme="minorHAnsi" w:cs="Times New Roman"/>
                <w:kern w:val="2"/>
              </w:rPr>
              <w:t>检定规程（JJG 936-2012）</w:t>
            </w:r>
            <w:r>
              <w:rPr>
                <w:rFonts w:asciiTheme="minorHAnsi" w:eastAsiaTheme="minorEastAsia" w:hAnsiTheme="minorHAnsi" w:cs="Times New Roman" w:hint="eastAsia"/>
                <w:kern w:val="2"/>
              </w:rPr>
              <w:t>未</w:t>
            </w:r>
            <w:r>
              <w:rPr>
                <w:rFonts w:asciiTheme="minorHAnsi" w:eastAsiaTheme="minorEastAsia" w:hAnsiTheme="minorHAnsi" w:cs="Times New Roman"/>
                <w:kern w:val="2"/>
              </w:rPr>
              <w:t>要求校准</w:t>
            </w:r>
            <w:r>
              <w:rPr>
                <w:rFonts w:asciiTheme="minorHAnsi" w:eastAsiaTheme="minorEastAsia" w:hAnsiTheme="minorHAnsi" w:cs="Times New Roman" w:hint="eastAsia"/>
                <w:kern w:val="2"/>
              </w:rPr>
              <w:t>“时间”信号</w:t>
            </w:r>
            <w:r>
              <w:rPr>
                <w:rFonts w:asciiTheme="minorHAnsi" w:eastAsiaTheme="minorEastAsia" w:hAnsiTheme="minorHAnsi" w:cs="Times New Roman"/>
                <w:kern w:val="2"/>
              </w:rPr>
              <w:t>，</w:t>
            </w:r>
            <w:r>
              <w:rPr>
                <w:rFonts w:asciiTheme="minorHAnsi" w:eastAsiaTheme="minorEastAsia" w:hAnsiTheme="minorHAnsi" w:cs="Times New Roman" w:hint="eastAsia"/>
                <w:kern w:val="2"/>
              </w:rPr>
              <w:t>与GB/T</w:t>
            </w:r>
            <w:r>
              <w:rPr>
                <w:rFonts w:asciiTheme="minorHAnsi" w:eastAsiaTheme="minorEastAsia" w:hAnsiTheme="minorHAnsi" w:cs="Times New Roman"/>
                <w:kern w:val="2"/>
              </w:rPr>
              <w:t xml:space="preserve"> </w:t>
            </w:r>
            <w:r>
              <w:rPr>
                <w:rFonts w:asciiTheme="minorHAnsi" w:eastAsiaTheme="minorEastAsia" w:hAnsiTheme="minorHAnsi" w:cs="Times New Roman" w:hint="eastAsia"/>
                <w:kern w:val="2"/>
              </w:rPr>
              <w:t>22232-2008第9.4条款</w:t>
            </w:r>
            <w:r>
              <w:rPr>
                <w:rFonts w:asciiTheme="minorHAnsi" w:eastAsiaTheme="minorEastAsia" w:hAnsiTheme="minorHAnsi" w:cs="Times New Roman"/>
                <w:kern w:val="2"/>
              </w:rPr>
              <w:t>规定不一致，</w:t>
            </w:r>
            <w:r>
              <w:rPr>
                <w:rFonts w:asciiTheme="minorHAnsi" w:eastAsiaTheme="minorEastAsia" w:hAnsiTheme="minorHAnsi" w:cs="Times New Roman" w:hint="eastAsia"/>
                <w:kern w:val="2"/>
              </w:rPr>
              <w:t>实验室对</w:t>
            </w:r>
            <w:r>
              <w:rPr>
                <w:rFonts w:asciiTheme="minorHAnsi" w:eastAsiaTheme="minorEastAsia" w:hAnsiTheme="minorHAnsi" w:cs="Times New Roman"/>
                <w:kern w:val="2"/>
              </w:rPr>
              <w:t>校准差示扫描量热仪</w:t>
            </w:r>
            <w:r>
              <w:rPr>
                <w:rFonts w:asciiTheme="minorHAnsi" w:eastAsiaTheme="minorEastAsia" w:hAnsiTheme="minorHAnsi" w:cs="Times New Roman" w:hint="eastAsia"/>
                <w:kern w:val="2"/>
              </w:rPr>
              <w:t>进行</w:t>
            </w:r>
            <w:r>
              <w:rPr>
                <w:rFonts w:asciiTheme="minorHAnsi" w:eastAsiaTheme="minorEastAsia" w:hAnsiTheme="minorHAnsi" w:cs="Times New Roman"/>
                <w:kern w:val="2"/>
              </w:rPr>
              <w:t>校准</w:t>
            </w:r>
            <w:r>
              <w:rPr>
                <w:rFonts w:asciiTheme="minorHAnsi" w:eastAsiaTheme="minorEastAsia" w:hAnsiTheme="minorHAnsi" w:cs="Times New Roman" w:hint="eastAsia"/>
                <w:kern w:val="2"/>
              </w:rPr>
              <w:t>前应</w:t>
            </w:r>
          </w:p>
        </w:tc>
      </w:tr>
    </w:tbl>
    <w:p>
      <w:pPr>
        <w:sectPr>
          <w:footerReference w:type="default" r:id="rId14"/>
          <w:pgSz w:w="16840" w:h="11900" w:orient="landscape"/>
          <w:pgMar w:top="1800" w:right="1440" w:bottom="1800" w:left="1440" w:header="851" w:footer="992" w:gutter="0"/>
          <w:pgNumType w:start="9"/>
          <w:cols w:num="1" w:space="720"/>
          <w:docGrid w:linePitch="326" w:charSpace="0"/>
        </w:sectPr>
      </w:pPr>
    </w:p>
    <w:tbl>
      <w:tblPr>
        <w:tblStyle w:val="TableGrid1"/>
        <w:tblW w:w="1428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41"/>
        <w:gridCol w:w="1919"/>
        <w:gridCol w:w="2268"/>
        <w:gridCol w:w="9355"/>
      </w:tblGrid>
      <w:tr>
        <w:tblPrEx>
          <w:tblW w:w="1428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793"/>
        </w:trPr>
        <w:tc>
          <w:tcPr>
            <w:tcW w:w="741" w:type="dxa"/>
            <w:vAlign w:val="center"/>
          </w:tcPr>
          <w:p/>
        </w:tc>
        <w:tc>
          <w:tcPr>
            <w:tcW w:w="1919" w:type="dxa"/>
            <w:vAlign w:val="center"/>
          </w:tcPr>
          <w:p/>
        </w:tc>
        <w:tc>
          <w:tcPr>
            <w:tcW w:w="2268" w:type="dxa"/>
            <w:vAlign w:val="center"/>
          </w:tcPr>
          <w:p/>
        </w:tc>
        <w:tc>
          <w:tcPr>
            <w:tcW w:w="9355" w:type="dxa"/>
            <w:vAlign w:val="center"/>
          </w:tcPr>
          <w:p>
            <w:pPr>
              <w:pBdr>
                <w:top w:val="none" w:sz="0" w:space="0" w:color="auto"/>
                <w:left w:val="none" w:sz="0" w:space="0" w:color="auto"/>
                <w:bottom w:val="none" w:sz="0" w:space="0" w:color="auto"/>
                <w:right w:val="none" w:sz="0" w:space="0" w:color="auto"/>
                <w:between w:val="none" w:sz="0" w:space="0" w:color="auto"/>
              </w:pBdr>
              <w:spacing w:before="0" w:line="400" w:lineRule="exact"/>
              <w:jc w:val="both"/>
              <w:rPr>
                <w:rFonts w:eastAsiaTheme="minorEastAsia"/>
                <w:color w:val="FF0000"/>
                <w:kern w:val="2"/>
                <w:sz w:val="21"/>
              </w:rPr>
            </w:pPr>
            <w:r>
              <w:rPr>
                <w:rFonts w:asciiTheme="minorHAnsi" w:eastAsiaTheme="minorEastAsia" w:hAnsiTheme="minorHAnsi" w:cs="Times New Roman"/>
                <w:kern w:val="2"/>
              </w:rPr>
              <w:t>向校准机构明确</w:t>
            </w:r>
            <w:r>
              <w:rPr>
                <w:rFonts w:asciiTheme="minorHAnsi" w:eastAsiaTheme="minorEastAsia" w:hAnsiTheme="minorHAnsi" w:cs="Times New Roman" w:hint="eastAsia"/>
                <w:kern w:val="2"/>
              </w:rPr>
              <w:t>需要</w:t>
            </w:r>
            <w:r>
              <w:rPr>
                <w:rFonts w:asciiTheme="minorHAnsi" w:eastAsiaTheme="minorEastAsia" w:hAnsiTheme="minorHAnsi" w:cs="Times New Roman"/>
                <w:kern w:val="2"/>
              </w:rPr>
              <w:t>校准</w:t>
            </w:r>
            <w:r>
              <w:rPr>
                <w:rFonts w:asciiTheme="minorHAnsi" w:eastAsiaTheme="minorEastAsia" w:hAnsiTheme="minorHAnsi" w:cs="Times New Roman" w:hint="eastAsia"/>
                <w:kern w:val="2"/>
              </w:rPr>
              <w:t>“时间”信号</w:t>
            </w:r>
            <w:r>
              <w:rPr>
                <w:rFonts w:asciiTheme="minorHAnsi" w:eastAsiaTheme="minorEastAsia" w:hAnsiTheme="minorHAnsi" w:cs="Times New Roman"/>
                <w:kern w:val="2"/>
              </w:rPr>
              <w:t>。</w:t>
            </w:r>
          </w:p>
        </w:tc>
      </w:tr>
    </w:tbl>
    <w:p>
      <w:pPr>
        <w:sectPr>
          <w:footerReference w:type="default" r:id="rId15"/>
          <w:type w:val="nextPage"/>
          <w:pgSz w:w="16840" w:h="11900" w:orient="landscape"/>
          <w:pgMar w:top="1800" w:right="1440" w:bottom="1800" w:left="1440" w:header="851" w:footer="992" w:gutter="0"/>
          <w:pgNumType w:start="10"/>
          <w:cols w:num="1" w:space="720"/>
          <w:titlePg w:val="0"/>
          <w:docGrid w:linePitch="326" w:charSpace="0"/>
        </w:sectPr>
      </w:pPr>
    </w:p>
    <w:tbl>
      <w:tblPr>
        <w:tblStyle w:val="TableGrid2"/>
        <w:tblW w:w="1428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41"/>
        <w:gridCol w:w="1919"/>
        <w:gridCol w:w="2268"/>
        <w:gridCol w:w="9355"/>
      </w:tblGrid>
      <w:tr>
        <w:tblPrEx>
          <w:tblW w:w="1428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331"/>
        </w:trPr>
        <w:tc>
          <w:tcPr>
            <w:tcW w:w="741" w:type="dxa"/>
            <w:vAlign w:val="center"/>
          </w:tcPr>
          <w:p>
            <w:pPr>
              <w:pBdr>
                <w:top w:val="none" w:sz="0" w:space="0" w:color="auto"/>
                <w:left w:val="none" w:sz="0" w:space="0" w:color="auto"/>
                <w:bottom w:val="none" w:sz="0" w:space="0" w:color="auto"/>
                <w:right w:val="none" w:sz="0" w:space="0" w:color="auto"/>
                <w:between w:val="none" w:sz="0" w:space="0" w:color="auto"/>
              </w:pBdr>
              <w:spacing w:line="400" w:lineRule="exact"/>
              <w:jc w:val="center"/>
              <w:rPr>
                <w:rFonts w:eastAsiaTheme="minorEastAsia" w:cs="Times New Roman"/>
                <w:color w:val="auto"/>
                <w:kern w:val="2"/>
              </w:rPr>
            </w:pPr>
            <w:r>
              <w:rPr>
                <w:rFonts w:ascii="Times New Roman" w:hAnsi="Times New Roman" w:eastAsiaTheme="minorEastAsia" w:cs="Times New Roman" w:hint="eastAsia"/>
                <w:color w:val="auto"/>
                <w:kern w:val="2"/>
              </w:rPr>
              <w:t>2</w:t>
            </w:r>
          </w:p>
        </w:tc>
        <w:tc>
          <w:tcPr>
            <w:tcW w:w="1919" w:type="dxa"/>
            <w:vAlign w:val="center"/>
          </w:tcPr>
          <w:p>
            <w:pPr>
              <w:pBdr>
                <w:top w:val="none" w:sz="0" w:space="0" w:color="auto"/>
                <w:left w:val="none" w:sz="0" w:space="0" w:color="auto"/>
                <w:bottom w:val="none" w:sz="0" w:space="0" w:color="auto"/>
                <w:right w:val="none" w:sz="0" w:space="0" w:color="auto"/>
                <w:between w:val="none" w:sz="0" w:space="0" w:color="auto"/>
              </w:pBdr>
              <w:spacing w:line="400" w:lineRule="exact"/>
              <w:jc w:val="center"/>
              <w:rPr>
                <w:rFonts w:eastAsiaTheme="minorEastAsia" w:cs="Times New Roman"/>
                <w:color w:val="auto"/>
                <w:kern w:val="2"/>
              </w:rPr>
            </w:pPr>
            <w:r>
              <w:rPr>
                <w:rFonts w:ascii="Times New Roman" w:hAnsi="Times New Roman" w:eastAsiaTheme="minorEastAsia" w:cs="Times New Roman"/>
                <w:color w:val="auto"/>
                <w:kern w:val="2"/>
              </w:rPr>
              <w:t>化学物质热稳定性</w:t>
            </w:r>
            <w:r>
              <w:rPr>
                <w:rFonts w:ascii="Times New Roman" w:hAnsi="Times New Roman" w:eastAsiaTheme="minorEastAsia" w:cs="Times New Roman" w:hint="eastAsia"/>
                <w:color w:val="auto"/>
                <w:kern w:val="2"/>
              </w:rPr>
              <w:t>/起始</w:t>
            </w:r>
            <w:r>
              <w:rPr>
                <w:rFonts w:ascii="Times New Roman" w:hAnsi="Times New Roman" w:eastAsiaTheme="minorEastAsia" w:cs="Times New Roman"/>
                <w:color w:val="auto"/>
                <w:kern w:val="2"/>
              </w:rPr>
              <w:t>放热温度、</w:t>
            </w:r>
            <w:r>
              <w:rPr>
                <w:rFonts w:ascii="Times New Roman" w:hAnsi="Times New Roman" w:eastAsiaTheme="minorEastAsia" w:cs="Times New Roman" w:hint="eastAsia"/>
                <w:color w:val="auto"/>
                <w:kern w:val="2"/>
              </w:rPr>
              <w:t>反应</w:t>
            </w:r>
            <w:r>
              <w:rPr>
                <w:rFonts w:ascii="Times New Roman" w:hAnsi="Times New Roman" w:eastAsiaTheme="minorEastAsia" w:cs="Times New Roman"/>
                <w:color w:val="auto"/>
                <w:kern w:val="2"/>
              </w:rPr>
              <w:t>热</w:t>
            </w:r>
            <w:r>
              <w:rPr>
                <w:rFonts w:ascii="Times New Roman" w:hAnsi="Times New Roman" w:eastAsiaTheme="minorEastAsia" w:cs="Times New Roman" w:hint="eastAsia"/>
                <w:color w:val="auto"/>
                <w:kern w:val="2"/>
              </w:rPr>
              <w:t>、绝热</w:t>
            </w:r>
            <w:r>
              <w:rPr>
                <w:rFonts w:ascii="Times New Roman" w:hAnsi="Times New Roman" w:eastAsiaTheme="minorEastAsia" w:cs="Times New Roman"/>
                <w:color w:val="auto"/>
                <w:kern w:val="2"/>
              </w:rPr>
              <w:t>温升</w:t>
            </w:r>
            <w:r>
              <w:rPr>
                <w:rFonts w:ascii="Times New Roman" w:hAnsi="Times New Roman" w:eastAsiaTheme="minorEastAsia" w:cs="Times New Roman" w:hint="eastAsia"/>
                <w:color w:val="auto"/>
                <w:kern w:val="2"/>
              </w:rPr>
              <w:t>、最大</w:t>
            </w:r>
            <w:r>
              <w:rPr>
                <w:rFonts w:ascii="Times New Roman" w:hAnsi="Times New Roman" w:eastAsiaTheme="minorEastAsia" w:cs="Times New Roman"/>
                <w:color w:val="auto"/>
                <w:kern w:val="2"/>
              </w:rPr>
              <w:t>反应速率到达时间</w:t>
            </w:r>
          </w:p>
        </w:tc>
        <w:tc>
          <w:tcPr>
            <w:tcW w:w="2268" w:type="dxa"/>
            <w:vAlign w:val="center"/>
          </w:tcPr>
          <w:p>
            <w:pPr>
              <w:pBdr>
                <w:top w:val="none" w:sz="0" w:space="0" w:color="auto"/>
                <w:left w:val="none" w:sz="0" w:space="0" w:color="auto"/>
                <w:bottom w:val="none" w:sz="0" w:space="0" w:color="auto"/>
                <w:right w:val="none" w:sz="0" w:space="0" w:color="auto"/>
                <w:between w:val="none" w:sz="0" w:space="0" w:color="auto"/>
              </w:pBdr>
              <w:spacing w:line="260" w:lineRule="exact"/>
              <w:jc w:val="center"/>
              <w:rPr>
                <w:rFonts w:asciiTheme="minorHAnsi" w:eastAsiaTheme="minorEastAsia" w:hAnsiTheme="minorHAnsi" w:cs="Times New Roman" w:hint="eastAsia"/>
                <w:kern w:val="2"/>
              </w:rPr>
            </w:pPr>
            <w:r>
              <w:rPr>
                <w:rFonts w:asciiTheme="minorHAnsi" w:eastAsiaTheme="minorEastAsia" w:hAnsiTheme="minorHAnsi" w:cs="Times New Roman"/>
                <w:kern w:val="2"/>
              </w:rPr>
              <w:t>化学品热稳定性的评价指南.第1部分：加速量热仪法</w:t>
            </w:r>
          </w:p>
          <w:p>
            <w:pPr>
              <w:pBdr>
                <w:top w:val="none" w:sz="0" w:space="0" w:color="auto"/>
                <w:left w:val="none" w:sz="0" w:space="0" w:color="auto"/>
                <w:bottom w:val="none" w:sz="0" w:space="0" w:color="auto"/>
                <w:right w:val="none" w:sz="0" w:space="0" w:color="auto"/>
                <w:between w:val="none" w:sz="0" w:space="0" w:color="auto"/>
              </w:pBdr>
              <w:spacing w:line="400" w:lineRule="exact"/>
              <w:jc w:val="center"/>
              <w:rPr>
                <w:rFonts w:eastAsiaTheme="minorEastAsia" w:cs="Times New Roman"/>
                <w:color w:val="auto"/>
                <w:kern w:val="2"/>
              </w:rPr>
            </w:pPr>
            <w:r>
              <w:rPr>
                <w:rFonts w:asciiTheme="minorHAnsi" w:eastAsiaTheme="minorEastAsia" w:hAnsiTheme="minorHAnsi" w:cs="Times New Roman"/>
                <w:kern w:val="2"/>
              </w:rPr>
              <w:t xml:space="preserve"> SN/T 3078.1</w:t>
            </w:r>
          </w:p>
        </w:tc>
        <w:tc>
          <w:tcPr>
            <w:tcW w:w="9355" w:type="dxa"/>
            <w:vAlign w:val="center"/>
          </w:tcPr>
          <w:p>
            <w:pPr>
              <w:pBdr>
                <w:top w:val="none" w:sz="0" w:space="0" w:color="auto"/>
                <w:left w:val="none" w:sz="0" w:space="0" w:color="auto"/>
                <w:bottom w:val="none" w:sz="0" w:space="0" w:color="auto"/>
                <w:right w:val="none" w:sz="0" w:space="0" w:color="auto"/>
                <w:between w:val="none" w:sz="0" w:space="0" w:color="auto"/>
              </w:pBdr>
              <w:spacing w:line="400" w:lineRule="exact"/>
              <w:jc w:val="both"/>
              <w:rPr>
                <w:rFonts w:asciiTheme="minorHAnsi" w:eastAsiaTheme="minorEastAsia" w:hAnsiTheme="minorHAnsi" w:cs="Times New Roman" w:hint="eastAsia"/>
                <w:kern w:val="2"/>
              </w:rPr>
            </w:pPr>
            <w:r>
              <w:rPr>
                <w:rFonts w:asciiTheme="minorHAnsi" w:eastAsiaTheme="minorEastAsia" w:hAnsiTheme="minorHAnsi" w:cs="Times New Roman" w:hint="eastAsia"/>
                <w:kern w:val="2"/>
              </w:rPr>
              <w:t>（1）该</w:t>
            </w:r>
            <w:r>
              <w:rPr>
                <w:rFonts w:asciiTheme="minorHAnsi" w:eastAsiaTheme="minorEastAsia" w:hAnsiTheme="minorHAnsi" w:cs="Times New Roman"/>
                <w:kern w:val="2"/>
              </w:rPr>
              <w:t>方法</w:t>
            </w:r>
            <w:r>
              <w:rPr>
                <w:rFonts w:asciiTheme="minorHAnsi" w:eastAsiaTheme="minorEastAsia" w:hAnsiTheme="minorHAnsi" w:cs="Times New Roman" w:hint="eastAsia"/>
                <w:kern w:val="2"/>
              </w:rPr>
              <w:t>适用范围中均未对测试样品的形态做规定，根据绝热量热仪量热罐的内部结构和测试原理，该设备适用于测试液体、泥浆状以及在测试温度范围内能够融化为液体的固体样品，而固体样品必须先处理为粒径较小的粉末状后才能加入到测试样品池内，一些粘度较大的固体样品则不易加入测试样品池内，并且即使加入进测试样品池内，也不能有效与温度传感器接触，影响测试结果的准确性。</w:t>
            </w:r>
          </w:p>
          <w:p>
            <w:pPr>
              <w:pBdr>
                <w:top w:val="none" w:sz="0" w:space="0" w:color="auto"/>
                <w:left w:val="none" w:sz="0" w:space="0" w:color="auto"/>
                <w:bottom w:val="none" w:sz="0" w:space="0" w:color="auto"/>
                <w:right w:val="none" w:sz="0" w:space="0" w:color="auto"/>
                <w:between w:val="none" w:sz="0" w:space="0" w:color="auto"/>
              </w:pBdr>
              <w:spacing w:line="400" w:lineRule="exact"/>
              <w:jc w:val="both"/>
              <w:rPr>
                <w:rFonts w:asciiTheme="minorHAnsi" w:eastAsiaTheme="minorEastAsia" w:hAnsiTheme="minorHAnsi" w:cs="Times New Roman" w:hint="eastAsia"/>
                <w:kern w:val="2"/>
              </w:rPr>
            </w:pPr>
            <w:r>
              <w:rPr>
                <w:rFonts w:asciiTheme="minorHAnsi" w:eastAsiaTheme="minorEastAsia" w:hAnsiTheme="minorHAnsi" w:cs="Times New Roman" w:hint="eastAsia"/>
                <w:kern w:val="2"/>
              </w:rPr>
              <w:t>（2）</w:t>
            </w:r>
            <w:r>
              <w:rPr>
                <w:rFonts w:asciiTheme="minorHAnsi" w:eastAsiaTheme="minorEastAsia" w:hAnsiTheme="minorHAnsi" w:cs="Times New Roman"/>
                <w:kern w:val="2"/>
              </w:rPr>
              <w:t>样品量通常为1g~10g，对于</w:t>
            </w:r>
            <w:r>
              <w:rPr>
                <w:rFonts w:asciiTheme="minorHAnsi" w:eastAsiaTheme="minorEastAsia" w:hAnsiTheme="minorHAnsi" w:cs="Times New Roman" w:hint="eastAsia"/>
                <w:kern w:val="2"/>
              </w:rPr>
              <w:t>危险</w:t>
            </w:r>
            <w:r>
              <w:rPr>
                <w:rFonts w:asciiTheme="minorHAnsi" w:eastAsiaTheme="minorEastAsia" w:hAnsiTheme="minorHAnsi" w:cs="Times New Roman"/>
                <w:kern w:val="2"/>
              </w:rPr>
              <w:t>特性未知的样品，最安全的做法是先用差示扫描量热进行初筛</w:t>
            </w:r>
            <w:r>
              <w:rPr>
                <w:rFonts w:asciiTheme="minorHAnsi" w:eastAsiaTheme="minorEastAsia" w:hAnsiTheme="minorHAnsi" w:cs="Times New Roman" w:hint="eastAsia"/>
                <w:kern w:val="2"/>
              </w:rPr>
              <w:t>或</w:t>
            </w:r>
            <w:r>
              <w:rPr>
                <w:rFonts w:asciiTheme="minorHAnsi" w:eastAsiaTheme="minorEastAsia" w:hAnsiTheme="minorHAnsi" w:cs="Times New Roman"/>
                <w:kern w:val="2"/>
              </w:rPr>
              <w:t>采用</w:t>
            </w:r>
            <w:r>
              <w:rPr>
                <w:rFonts w:asciiTheme="minorHAnsi" w:eastAsiaTheme="minorEastAsia" w:hAnsiTheme="minorHAnsi" w:cs="Times New Roman" w:hint="eastAsia"/>
                <w:kern w:val="2"/>
              </w:rPr>
              <w:t>1</w:t>
            </w:r>
            <w:r>
              <w:rPr>
                <w:rFonts w:asciiTheme="minorHAnsi" w:eastAsiaTheme="minorEastAsia" w:hAnsiTheme="minorHAnsi" w:cs="Times New Roman"/>
                <w:kern w:val="2"/>
              </w:rPr>
              <w:t>g以下的</w:t>
            </w:r>
            <w:r>
              <w:rPr>
                <w:rFonts w:asciiTheme="minorHAnsi" w:eastAsiaTheme="minorEastAsia" w:hAnsiTheme="minorHAnsi" w:cs="Times New Roman" w:hint="eastAsia"/>
                <w:kern w:val="2"/>
              </w:rPr>
              <w:t>样品</w:t>
            </w:r>
            <w:r>
              <w:rPr>
                <w:rFonts w:asciiTheme="minorHAnsi" w:eastAsiaTheme="minorEastAsia" w:hAnsiTheme="minorHAnsi" w:cs="Times New Roman"/>
                <w:kern w:val="2"/>
              </w:rPr>
              <w:t>量进行初步</w:t>
            </w:r>
            <w:r>
              <w:rPr>
                <w:rFonts w:asciiTheme="minorHAnsi" w:eastAsiaTheme="minorEastAsia" w:hAnsiTheme="minorHAnsi" w:cs="Times New Roman" w:hint="eastAsia"/>
                <w:kern w:val="2"/>
              </w:rPr>
              <w:t>筛选</w:t>
            </w:r>
            <w:r>
              <w:rPr>
                <w:rFonts w:asciiTheme="minorHAnsi" w:eastAsiaTheme="minorEastAsia" w:hAnsiTheme="minorHAnsi" w:cs="Times New Roman"/>
                <w:kern w:val="2"/>
              </w:rPr>
              <w:t>，确定</w:t>
            </w:r>
            <w:r>
              <w:rPr>
                <w:rFonts w:asciiTheme="minorHAnsi" w:eastAsiaTheme="minorEastAsia" w:hAnsiTheme="minorHAnsi" w:cs="Times New Roman" w:hint="eastAsia"/>
                <w:kern w:val="2"/>
              </w:rPr>
              <w:t>危险</w:t>
            </w:r>
            <w:r>
              <w:rPr>
                <w:rFonts w:asciiTheme="minorHAnsi" w:eastAsiaTheme="minorEastAsia" w:hAnsiTheme="minorHAnsi" w:cs="Times New Roman"/>
                <w:kern w:val="2"/>
              </w:rPr>
              <w:t>特性</w:t>
            </w:r>
            <w:r>
              <w:rPr>
                <w:rFonts w:asciiTheme="minorHAnsi" w:eastAsiaTheme="minorEastAsia" w:hAnsiTheme="minorHAnsi" w:cs="Times New Roman" w:hint="eastAsia"/>
                <w:kern w:val="2"/>
              </w:rPr>
              <w:t>后再采用</w:t>
            </w:r>
            <w:r>
              <w:rPr>
                <w:rFonts w:asciiTheme="minorHAnsi" w:eastAsiaTheme="minorEastAsia" w:hAnsiTheme="minorHAnsi" w:cs="Times New Roman"/>
                <w:kern w:val="2"/>
              </w:rPr>
              <w:t>绝热量热仪</w:t>
            </w:r>
            <w:r>
              <w:rPr>
                <w:rFonts w:asciiTheme="minorHAnsi" w:eastAsiaTheme="minorEastAsia" w:hAnsiTheme="minorHAnsi" w:cs="Times New Roman" w:hint="eastAsia"/>
                <w:kern w:val="2"/>
              </w:rPr>
              <w:t>按</w:t>
            </w:r>
            <w:r>
              <w:rPr>
                <w:rFonts w:asciiTheme="minorHAnsi" w:eastAsiaTheme="minorEastAsia" w:hAnsiTheme="minorHAnsi" w:cs="Times New Roman"/>
                <w:kern w:val="2"/>
              </w:rPr>
              <w:t>正常程序</w:t>
            </w:r>
            <w:r>
              <w:rPr>
                <w:rFonts w:asciiTheme="minorHAnsi" w:eastAsiaTheme="minorEastAsia" w:hAnsiTheme="minorHAnsi" w:cs="Times New Roman" w:hint="eastAsia"/>
                <w:kern w:val="2"/>
              </w:rPr>
              <w:t>进行</w:t>
            </w:r>
            <w:r>
              <w:rPr>
                <w:rFonts w:asciiTheme="minorHAnsi" w:eastAsiaTheme="minorEastAsia" w:hAnsiTheme="minorHAnsi" w:cs="Times New Roman"/>
                <w:kern w:val="2"/>
              </w:rPr>
              <w:t>测试。</w:t>
            </w:r>
          </w:p>
          <w:p>
            <w:pPr>
              <w:pBdr>
                <w:top w:val="none" w:sz="0" w:space="0" w:color="auto"/>
                <w:left w:val="none" w:sz="0" w:space="0" w:color="auto"/>
                <w:bottom w:val="none" w:sz="0" w:space="0" w:color="auto"/>
                <w:right w:val="none" w:sz="0" w:space="0" w:color="auto"/>
                <w:between w:val="none" w:sz="0" w:space="0" w:color="auto"/>
              </w:pBdr>
              <w:spacing w:line="400" w:lineRule="exact"/>
              <w:jc w:val="both"/>
              <w:rPr>
                <w:rFonts w:asciiTheme="minorHAnsi" w:eastAsiaTheme="minorEastAsia" w:hAnsiTheme="minorHAnsi" w:cs="Times New Roman" w:hint="eastAsia"/>
                <w:kern w:val="2"/>
              </w:rPr>
            </w:pPr>
            <w:r>
              <w:rPr>
                <w:rFonts w:asciiTheme="minorHAnsi" w:eastAsiaTheme="minorEastAsia" w:hAnsiTheme="minorHAnsi" w:cs="Times New Roman" w:hint="eastAsia"/>
                <w:kern w:val="2"/>
              </w:rPr>
              <w:t>（3）该方法</w:t>
            </w:r>
            <w:r>
              <w:rPr>
                <w:rFonts w:asciiTheme="minorHAnsi" w:eastAsiaTheme="minorEastAsia" w:hAnsiTheme="minorHAnsi" w:cs="Times New Roman"/>
                <w:kern w:val="2"/>
              </w:rPr>
              <w:t>中未对升温间距</w:t>
            </w:r>
            <w:r>
              <w:rPr>
                <w:rFonts w:asciiTheme="minorHAnsi" w:eastAsiaTheme="minorEastAsia" w:hAnsiTheme="minorHAnsi" w:cs="Times New Roman" w:hint="eastAsia"/>
                <w:kern w:val="2"/>
              </w:rPr>
              <w:t>做规定</w:t>
            </w:r>
            <w:r>
              <w:rPr>
                <w:rFonts w:asciiTheme="minorHAnsi" w:eastAsiaTheme="minorEastAsia" w:hAnsiTheme="minorHAnsi" w:cs="Times New Roman"/>
                <w:kern w:val="2"/>
              </w:rPr>
              <w:t>，</w:t>
            </w:r>
            <w:r>
              <w:rPr>
                <w:rFonts w:asciiTheme="minorHAnsi" w:eastAsiaTheme="minorEastAsia" w:hAnsiTheme="minorHAnsi" w:cs="Times New Roman" w:hint="eastAsia"/>
                <w:kern w:val="2"/>
              </w:rPr>
              <w:t>可参考</w:t>
            </w:r>
            <w:r>
              <w:rPr>
                <w:rFonts w:asciiTheme="minorHAnsi" w:eastAsiaTheme="minorEastAsia" w:hAnsiTheme="minorHAnsi" w:cs="Times New Roman"/>
                <w:kern w:val="2"/>
              </w:rPr>
              <w:t>NY/T 3784-2020第4.4.2，升温间距通常为0</w:t>
            </w:r>
            <w:r>
              <w:rPr>
                <w:rFonts w:asciiTheme="minorHAnsi" w:eastAsiaTheme="minorEastAsia" w:hAnsiTheme="minorHAnsi" w:cs="Times New Roman" w:hint="eastAsia"/>
                <w:kern w:val="2"/>
              </w:rPr>
              <w:t>℃</w:t>
            </w:r>
            <w:r>
              <w:rPr>
                <w:rFonts w:asciiTheme="minorHAnsi" w:eastAsiaTheme="minorEastAsia" w:hAnsiTheme="minorHAnsi" w:cs="Times New Roman"/>
                <w:kern w:val="2"/>
              </w:rPr>
              <w:t>~10</w:t>
            </w:r>
            <w:r>
              <w:rPr>
                <w:rFonts w:asciiTheme="minorHAnsi" w:eastAsiaTheme="minorEastAsia" w:hAnsiTheme="minorHAnsi" w:cs="Times New Roman" w:hint="eastAsia"/>
                <w:kern w:val="2"/>
              </w:rPr>
              <w:t>℃</w:t>
            </w:r>
            <w:r>
              <w:rPr>
                <w:rFonts w:asciiTheme="minorHAnsi" w:eastAsiaTheme="minorEastAsia" w:hAnsiTheme="minorHAnsi" w:cs="Times New Roman"/>
                <w:kern w:val="2"/>
              </w:rPr>
              <w:t>，</w:t>
            </w:r>
            <w:r>
              <w:rPr>
                <w:rFonts w:asciiTheme="minorHAnsi" w:eastAsiaTheme="minorEastAsia" w:hAnsiTheme="minorHAnsi" w:cs="Times New Roman" w:hint="eastAsia"/>
                <w:kern w:val="2"/>
              </w:rPr>
              <w:t>一般</w:t>
            </w:r>
            <w:r>
              <w:rPr>
                <w:rFonts w:asciiTheme="minorHAnsi" w:eastAsiaTheme="minorEastAsia" w:hAnsiTheme="minorHAnsi" w:cs="Times New Roman"/>
                <w:kern w:val="2"/>
              </w:rPr>
              <w:t>选</w:t>
            </w:r>
            <w:r>
              <w:rPr>
                <w:rFonts w:asciiTheme="minorHAnsi" w:eastAsiaTheme="minorEastAsia" w:hAnsiTheme="minorHAnsi" w:cs="Times New Roman" w:hint="eastAsia"/>
                <w:kern w:val="2"/>
              </w:rPr>
              <w:t>5℃，</w:t>
            </w:r>
            <w:r>
              <w:rPr>
                <w:rFonts w:asciiTheme="minorHAnsi" w:eastAsiaTheme="minorEastAsia" w:hAnsiTheme="minorHAnsi" w:cs="Times New Roman"/>
                <w:kern w:val="2"/>
              </w:rPr>
              <w:t>也可根据实际情况选择合适的升温间距，起始分解温度受升温间距的影响，只有在同一升温间距下取得的结果才具有可比性。</w:t>
            </w:r>
          </w:p>
          <w:p>
            <w:pPr>
              <w:pBdr>
                <w:top w:val="none" w:sz="0" w:space="0" w:color="auto"/>
                <w:left w:val="none" w:sz="0" w:space="0" w:color="auto"/>
                <w:bottom w:val="none" w:sz="0" w:space="0" w:color="auto"/>
                <w:right w:val="none" w:sz="0" w:space="0" w:color="auto"/>
                <w:between w:val="none" w:sz="0" w:space="0" w:color="auto"/>
              </w:pBdr>
              <w:spacing w:line="400" w:lineRule="exact"/>
              <w:jc w:val="both"/>
              <w:rPr>
                <w:rFonts w:asciiTheme="minorHAnsi" w:eastAsiaTheme="minorEastAsia" w:hAnsiTheme="minorHAnsi" w:cs="Times New Roman" w:hint="eastAsia"/>
                <w:kern w:val="2"/>
              </w:rPr>
            </w:pPr>
            <w:r>
              <w:rPr>
                <w:rFonts w:asciiTheme="minorHAnsi" w:eastAsiaTheme="minorEastAsia" w:hAnsiTheme="minorHAnsi" w:cs="Times New Roman" w:hint="eastAsia"/>
                <w:kern w:val="2"/>
              </w:rPr>
              <w:t>（4）绝热</w:t>
            </w:r>
            <w:r>
              <w:rPr>
                <w:rFonts w:asciiTheme="minorHAnsi" w:eastAsiaTheme="minorEastAsia" w:hAnsiTheme="minorHAnsi" w:cs="Times New Roman"/>
                <w:kern w:val="2"/>
              </w:rPr>
              <w:t>量热仪没有检定/</w:t>
            </w:r>
            <w:r>
              <w:rPr>
                <w:rFonts w:asciiTheme="minorHAnsi" w:eastAsiaTheme="minorEastAsia" w:hAnsiTheme="minorHAnsi" w:cs="Times New Roman" w:hint="eastAsia"/>
                <w:kern w:val="2"/>
              </w:rPr>
              <w:t>校准</w:t>
            </w:r>
            <w:r>
              <w:rPr>
                <w:rFonts w:asciiTheme="minorHAnsi" w:eastAsiaTheme="minorEastAsia" w:hAnsiTheme="minorHAnsi" w:cs="Times New Roman"/>
                <w:kern w:val="2"/>
              </w:rPr>
              <w:t>规程，</w:t>
            </w:r>
            <w:r>
              <w:rPr>
                <w:rFonts w:asciiTheme="minorHAnsi" w:eastAsiaTheme="minorEastAsia" w:hAnsiTheme="minorHAnsi" w:cs="Times New Roman" w:hint="eastAsia"/>
                <w:kern w:val="2"/>
              </w:rPr>
              <w:t>其校准</w:t>
            </w:r>
            <w:r>
              <w:rPr>
                <w:rFonts w:asciiTheme="minorHAnsi" w:eastAsiaTheme="minorEastAsia" w:hAnsiTheme="minorHAnsi" w:cs="Times New Roman"/>
                <w:kern w:val="2"/>
              </w:rPr>
              <w:t>方式为</w:t>
            </w:r>
            <w:r>
              <w:rPr>
                <w:rFonts w:asciiTheme="minorHAnsi" w:eastAsiaTheme="minorEastAsia" w:hAnsiTheme="minorHAnsi" w:cs="Times New Roman" w:hint="eastAsia"/>
                <w:kern w:val="2"/>
              </w:rPr>
              <w:t>拆卸温度、压力传感器进行校准后，采用</w:t>
            </w:r>
            <w:r>
              <w:rPr>
                <w:rFonts w:asciiTheme="minorHAnsi" w:eastAsiaTheme="minorEastAsia" w:hAnsiTheme="minorHAnsi" w:cs="Times New Roman"/>
                <w:kern w:val="2"/>
              </w:rPr>
              <w:t>系统</w:t>
            </w:r>
            <w:r>
              <w:rPr>
                <w:rFonts w:asciiTheme="minorHAnsi" w:eastAsiaTheme="minorEastAsia" w:hAnsiTheme="minorHAnsi" w:cs="Times New Roman" w:hint="eastAsia"/>
                <w:kern w:val="2"/>
              </w:rPr>
              <w:t>性能</w:t>
            </w:r>
            <w:r>
              <w:rPr>
                <w:rFonts w:asciiTheme="minorHAnsi" w:eastAsiaTheme="minorEastAsia" w:hAnsiTheme="minorHAnsi" w:cs="Times New Roman"/>
                <w:kern w:val="2"/>
              </w:rPr>
              <w:t>验证</w:t>
            </w:r>
            <w:r>
              <w:rPr>
                <w:rFonts w:asciiTheme="minorHAnsi" w:eastAsiaTheme="minorEastAsia" w:hAnsiTheme="minorHAnsi" w:cs="Times New Roman" w:hint="eastAsia"/>
                <w:kern w:val="2"/>
              </w:rPr>
              <w:t>的标准</w:t>
            </w:r>
            <w:r>
              <w:rPr>
                <w:rFonts w:asciiTheme="minorHAnsi" w:eastAsiaTheme="minorEastAsia" w:hAnsiTheme="minorHAnsi" w:cs="Times New Roman"/>
                <w:kern w:val="2"/>
              </w:rPr>
              <w:t>物质对整机进行</w:t>
            </w:r>
            <w:r>
              <w:rPr>
                <w:rFonts w:asciiTheme="minorHAnsi" w:eastAsiaTheme="minorEastAsia" w:hAnsiTheme="minorHAnsi" w:cs="Times New Roman" w:hint="eastAsia"/>
                <w:kern w:val="2"/>
              </w:rPr>
              <w:t>核查。</w:t>
            </w:r>
          </w:p>
          <w:p>
            <w:pPr>
              <w:pBdr>
                <w:top w:val="none" w:sz="0" w:space="0" w:color="auto"/>
                <w:left w:val="none" w:sz="0" w:space="0" w:color="auto"/>
                <w:bottom w:val="none" w:sz="0" w:space="0" w:color="auto"/>
                <w:right w:val="none" w:sz="0" w:space="0" w:color="auto"/>
                <w:between w:val="none" w:sz="0" w:space="0" w:color="auto"/>
              </w:pBdr>
              <w:spacing w:line="400" w:lineRule="exact"/>
              <w:jc w:val="both"/>
              <w:rPr>
                <w:rFonts w:eastAsia="宋体" w:asciiTheme="minorHAnsi" w:hAnsiTheme="minorHAnsi" w:cs="Times New Roman" w:hint="eastAsia"/>
                <w:kern w:val="2"/>
              </w:rPr>
            </w:pPr>
            <w:r>
              <w:rPr>
                <w:rFonts w:asciiTheme="minorHAnsi" w:eastAsiaTheme="minorEastAsia" w:hAnsiTheme="minorHAnsi" w:cs="Times New Roman" w:hint="eastAsia"/>
                <w:kern w:val="2"/>
              </w:rPr>
              <w:t>（</w:t>
            </w:r>
            <w:r>
              <w:rPr>
                <w:rFonts w:asciiTheme="minorHAnsi" w:eastAsiaTheme="minorEastAsia" w:hAnsiTheme="minorHAnsi" w:cs="Times New Roman"/>
                <w:kern w:val="2"/>
              </w:rPr>
              <w:t>5</w:t>
            </w:r>
            <w:r>
              <w:rPr>
                <w:rFonts w:asciiTheme="minorHAnsi" w:eastAsiaTheme="minorEastAsia" w:hAnsiTheme="minorHAnsi" w:cs="Times New Roman" w:hint="eastAsia"/>
                <w:kern w:val="2"/>
              </w:rPr>
              <w:t>）</w:t>
            </w:r>
            <w:r>
              <w:rPr>
                <w:rFonts w:eastAsia="宋体" w:asciiTheme="minorHAnsi" w:hAnsiTheme="minorHAnsi" w:cs="Times New Roman" w:hint="eastAsia"/>
                <w:kern w:val="2"/>
              </w:rPr>
              <w:t>根据是否具备比热容测试能力，确定实验室是否具备 “9.4</w:t>
            </w:r>
            <w:r>
              <w:rPr>
                <w:rFonts w:eastAsia="宋体" w:asciiTheme="minorHAnsi" w:hAnsiTheme="minorHAnsi" w:cs="Times New Roman"/>
                <w:kern w:val="2"/>
              </w:rPr>
              <w:t xml:space="preserve"> </w:t>
            </w:r>
            <w:r>
              <w:rPr>
                <w:rFonts w:eastAsia="宋体" w:asciiTheme="minorHAnsi" w:hAnsiTheme="minorHAnsi" w:cs="Times New Roman" w:hint="eastAsia"/>
                <w:kern w:val="2"/>
              </w:rPr>
              <w:t>计算热惯性因子”的检测</w:t>
            </w:r>
            <w:r>
              <w:rPr>
                <w:rFonts w:eastAsia="宋体" w:asciiTheme="minorHAnsi" w:hAnsiTheme="minorHAnsi" w:cs="Times New Roman"/>
                <w:kern w:val="2"/>
              </w:rPr>
              <w:t>能力</w:t>
            </w:r>
            <w:r>
              <w:rPr>
                <w:rFonts w:eastAsia="宋体" w:asciiTheme="minorHAnsi" w:hAnsiTheme="minorHAnsi" w:cs="Times New Roman" w:hint="eastAsia"/>
                <w:kern w:val="2"/>
              </w:rPr>
              <w:t>。</w:t>
            </w:r>
          </w:p>
          <w:p>
            <w:pPr>
              <w:pBdr>
                <w:top w:val="none" w:sz="0" w:space="0" w:color="auto"/>
                <w:left w:val="none" w:sz="0" w:space="0" w:color="auto"/>
                <w:bottom w:val="none" w:sz="0" w:space="0" w:color="auto"/>
                <w:right w:val="none" w:sz="0" w:space="0" w:color="auto"/>
                <w:between w:val="none" w:sz="0" w:space="0" w:color="auto"/>
              </w:pBdr>
              <w:spacing w:line="400" w:lineRule="exact"/>
              <w:jc w:val="both"/>
              <w:rPr>
                <w:rFonts w:asciiTheme="minorHAnsi" w:eastAsiaTheme="minorEastAsia" w:hAnsiTheme="minorHAnsi" w:cs="Times New Roman" w:hint="eastAsia"/>
                <w:kern w:val="2"/>
              </w:rPr>
            </w:pPr>
            <w:r>
              <w:rPr>
                <w:rFonts w:eastAsia="宋体" w:asciiTheme="minorHAnsi" w:hAnsiTheme="minorHAnsi" w:cs="Times New Roman" w:hint="eastAsia"/>
                <w:kern w:val="2"/>
              </w:rPr>
              <w:t>（6）该方法</w:t>
            </w:r>
            <w:r>
              <w:rPr>
                <w:rFonts w:eastAsia="宋体" w:asciiTheme="minorHAnsi" w:hAnsiTheme="minorHAnsi" w:cs="Times New Roman"/>
                <w:kern w:val="2"/>
              </w:rPr>
              <w:t>中对</w:t>
            </w:r>
            <w:r>
              <w:rPr>
                <w:rFonts w:eastAsia="宋体" w:asciiTheme="minorHAnsi" w:hAnsiTheme="minorHAnsi" w:cs="Times New Roman" w:hint="eastAsia"/>
                <w:kern w:val="2"/>
              </w:rPr>
              <w:t>典型标准</w:t>
            </w:r>
            <w:r>
              <w:rPr>
                <w:rFonts w:eastAsia="宋体" w:asciiTheme="minorHAnsi" w:hAnsiTheme="minorHAnsi" w:cs="Times New Roman"/>
                <w:kern w:val="2"/>
              </w:rPr>
              <w:t>物质的</w:t>
            </w:r>
            <w:r>
              <w:rPr>
                <w:rFonts w:eastAsia="宋体" w:asciiTheme="minorHAnsi" w:hAnsiTheme="minorHAnsi" w:cs="Times New Roman" w:hint="eastAsia"/>
                <w:kern w:val="2"/>
              </w:rPr>
              <w:t>测试</w:t>
            </w:r>
            <w:r>
              <w:rPr>
                <w:rFonts w:eastAsia="宋体" w:asciiTheme="minorHAnsi" w:hAnsiTheme="minorHAnsi" w:cs="Times New Roman"/>
                <w:kern w:val="2"/>
              </w:rPr>
              <w:t>结果</w:t>
            </w:r>
            <w:r>
              <w:rPr>
                <w:rFonts w:eastAsia="宋体" w:asciiTheme="minorHAnsi" w:hAnsiTheme="minorHAnsi" w:cs="Times New Roman" w:hint="eastAsia"/>
                <w:kern w:val="2"/>
              </w:rPr>
              <w:t>数值</w:t>
            </w:r>
            <w:r>
              <w:rPr>
                <w:rFonts w:eastAsia="宋体" w:asciiTheme="minorHAnsi" w:hAnsiTheme="minorHAnsi" w:cs="Times New Roman"/>
                <w:kern w:val="2"/>
              </w:rPr>
              <w:t>未</w:t>
            </w:r>
            <w:r>
              <w:rPr>
                <w:rFonts w:eastAsia="宋体" w:asciiTheme="minorHAnsi" w:hAnsiTheme="minorHAnsi" w:cs="Times New Roman" w:hint="eastAsia"/>
                <w:kern w:val="2"/>
              </w:rPr>
              <w:t>做规定</w:t>
            </w:r>
            <w:r>
              <w:rPr>
                <w:rFonts w:eastAsia="宋体" w:asciiTheme="minorHAnsi" w:hAnsiTheme="minorHAnsi" w:cs="Times New Roman"/>
                <w:kern w:val="2"/>
              </w:rPr>
              <w:t>，只提供了测试曲线</w:t>
            </w:r>
            <w:r>
              <w:rPr>
                <w:rFonts w:eastAsia="宋体" w:asciiTheme="minorHAnsi" w:hAnsiTheme="minorHAnsi" w:cs="Times New Roman" w:hint="eastAsia"/>
                <w:kern w:val="2"/>
              </w:rPr>
              <w:t>，建议</w:t>
            </w:r>
            <w:r>
              <w:rPr>
                <w:rFonts w:eastAsia="宋体" w:asciiTheme="minorHAnsi" w:hAnsiTheme="minorHAnsi" w:cs="Times New Roman"/>
                <w:kern w:val="2"/>
              </w:rPr>
              <w:t>参考</w:t>
            </w:r>
            <w:r>
              <w:rPr>
                <w:rFonts w:asciiTheme="minorHAnsi" w:eastAsiaTheme="minorEastAsia" w:hAnsiTheme="minorHAnsi" w:cs="Times New Roman"/>
                <w:kern w:val="2"/>
              </w:rPr>
              <w:t>NY/T 3784-2020</w:t>
            </w:r>
            <w:r>
              <w:rPr>
                <w:rFonts w:asciiTheme="minorHAnsi" w:eastAsiaTheme="minorEastAsia" w:hAnsiTheme="minorHAnsi" w:cs="Times New Roman" w:hint="eastAsia"/>
                <w:kern w:val="2"/>
              </w:rPr>
              <w:t>附录A中</w:t>
            </w:r>
            <w:r>
              <w:rPr>
                <w:rFonts w:asciiTheme="minorHAnsi" w:eastAsiaTheme="minorEastAsia" w:hAnsiTheme="minorHAnsi" w:cs="Times New Roman"/>
                <w:kern w:val="2"/>
              </w:rPr>
              <w:t>标准物质</w:t>
            </w:r>
            <w:r>
              <w:rPr>
                <w:rFonts w:asciiTheme="minorHAnsi" w:eastAsiaTheme="minorEastAsia" w:hAnsiTheme="minorHAnsi" w:cs="Times New Roman" w:hint="eastAsia"/>
                <w:kern w:val="2"/>
              </w:rPr>
              <w:t>的</w:t>
            </w:r>
            <w:r>
              <w:rPr>
                <w:rFonts w:asciiTheme="minorHAnsi" w:eastAsiaTheme="minorEastAsia" w:hAnsiTheme="minorHAnsi" w:cs="Times New Roman"/>
                <w:kern w:val="2"/>
              </w:rPr>
              <w:t>起始放热温度的参考值，采用标准物质对仪器设备进行核查。</w:t>
            </w:r>
          </w:p>
        </w:tc>
      </w:tr>
    </w:tbl>
    <w:p>
      <w:pPr>
        <w:sectPr>
          <w:footerReference w:type="default" r:id="rId16"/>
          <w:type w:val="nextPage"/>
          <w:pgSz w:w="16840" w:h="11900" w:orient="landscape"/>
          <w:pgMar w:top="1800" w:right="1440" w:bottom="1800" w:left="1440" w:header="851" w:footer="992" w:gutter="0"/>
          <w:pgNumType w:start="11"/>
          <w:cols w:num="1" w:space="720"/>
          <w:titlePg w:val="0"/>
          <w:docGrid w:linePitch="326" w:charSpace="0"/>
        </w:sectPr>
      </w:pPr>
    </w:p>
    <w:tbl>
      <w:tblPr>
        <w:tblStyle w:val="TableGrid3"/>
        <w:tblW w:w="1428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41"/>
        <w:gridCol w:w="1919"/>
        <w:gridCol w:w="2268"/>
        <w:gridCol w:w="9355"/>
      </w:tblGrid>
      <w:tr>
        <w:tblPrEx>
          <w:tblW w:w="1428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27"/>
        </w:trPr>
        <w:tc>
          <w:tcPr>
            <w:tcW w:w="741" w:type="dxa"/>
            <w:vAlign w:val="center"/>
          </w:tcPr>
          <w:p>
            <w:pPr>
              <w:pBdr>
                <w:top w:val="none" w:sz="0" w:space="0" w:color="auto"/>
                <w:left w:val="none" w:sz="0" w:space="0" w:color="auto"/>
                <w:bottom w:val="none" w:sz="0" w:space="0" w:color="auto"/>
                <w:right w:val="none" w:sz="0" w:space="0" w:color="auto"/>
                <w:between w:val="none" w:sz="0" w:space="0" w:color="auto"/>
              </w:pBdr>
              <w:spacing w:line="400" w:lineRule="exact"/>
              <w:jc w:val="center"/>
              <w:rPr>
                <w:rFonts w:asciiTheme="minorHAnsi" w:eastAsiaTheme="minorEastAsia" w:hAnsiTheme="minorHAnsi" w:cs="Times New Roman" w:hint="eastAsia"/>
                <w:color w:val="auto"/>
                <w:kern w:val="2"/>
              </w:rPr>
            </w:pPr>
            <w:r>
              <w:rPr>
                <w:rFonts w:asciiTheme="minorHAnsi" w:eastAsiaTheme="minorEastAsia" w:hAnsiTheme="minorHAnsi" w:cs="Times New Roman" w:hint="eastAsia"/>
                <w:color w:val="auto"/>
                <w:kern w:val="2"/>
              </w:rPr>
              <w:t>3</w:t>
            </w:r>
          </w:p>
        </w:tc>
        <w:tc>
          <w:tcPr>
            <w:tcW w:w="1919" w:type="dxa"/>
            <w:vAlign w:val="center"/>
          </w:tcPr>
          <w:p>
            <w:pPr>
              <w:pBdr>
                <w:top w:val="none" w:sz="0" w:space="0" w:color="auto"/>
                <w:left w:val="none" w:sz="0" w:space="0" w:color="auto"/>
                <w:bottom w:val="none" w:sz="0" w:space="0" w:color="auto"/>
                <w:right w:val="none" w:sz="0" w:space="0" w:color="auto"/>
                <w:between w:val="none" w:sz="0" w:space="0" w:color="auto"/>
              </w:pBdr>
              <w:spacing w:line="400" w:lineRule="exact"/>
              <w:jc w:val="center"/>
              <w:rPr>
                <w:rFonts w:asciiTheme="minorHAnsi" w:eastAsiaTheme="minorEastAsia" w:hAnsiTheme="minorHAnsi" w:cs="Times New Roman" w:hint="eastAsia"/>
                <w:color w:val="auto"/>
                <w:kern w:val="2"/>
              </w:rPr>
            </w:pPr>
            <w:r>
              <w:rPr>
                <w:rFonts w:asciiTheme="minorHAnsi" w:eastAsiaTheme="minorEastAsia" w:hAnsiTheme="minorHAnsi" w:cs="Times New Roman" w:hint="eastAsia"/>
                <w:color w:val="auto"/>
                <w:kern w:val="2"/>
              </w:rPr>
              <w:t>化学</w:t>
            </w:r>
            <w:r>
              <w:rPr>
                <w:rFonts w:asciiTheme="minorHAnsi" w:eastAsiaTheme="minorEastAsia" w:hAnsiTheme="minorHAnsi" w:cs="Times New Roman"/>
                <w:color w:val="auto"/>
                <w:kern w:val="2"/>
              </w:rPr>
              <w:t>反应热安全性</w:t>
            </w:r>
            <w:r>
              <w:rPr>
                <w:rFonts w:asciiTheme="minorHAnsi" w:eastAsiaTheme="minorEastAsia" w:hAnsiTheme="minorHAnsi" w:cs="Times New Roman" w:hint="eastAsia"/>
                <w:color w:val="auto"/>
                <w:kern w:val="2"/>
              </w:rPr>
              <w:t>/</w:t>
            </w:r>
            <w:r>
              <w:rPr>
                <w:rFonts w:asciiTheme="minorHAnsi" w:eastAsiaTheme="minorEastAsia" w:hAnsiTheme="minorHAnsi" w:cs="Times New Roman"/>
                <w:color w:val="auto"/>
                <w:kern w:val="2"/>
              </w:rPr>
              <w:t>反应热</w:t>
            </w:r>
            <w:r>
              <w:rPr>
                <w:rFonts w:asciiTheme="minorHAnsi" w:eastAsiaTheme="minorEastAsia" w:hAnsiTheme="minorHAnsi" w:cs="Times New Roman" w:hint="eastAsia"/>
                <w:color w:val="auto"/>
                <w:kern w:val="2"/>
              </w:rPr>
              <w:t>、</w:t>
            </w:r>
            <w:r>
              <w:rPr>
                <w:rFonts w:asciiTheme="minorHAnsi" w:eastAsiaTheme="minorEastAsia" w:hAnsiTheme="minorHAnsi" w:cs="Times New Roman"/>
                <w:color w:val="auto"/>
                <w:kern w:val="2"/>
              </w:rPr>
              <w:t>反应体系比热容</w:t>
            </w:r>
            <w:r>
              <w:rPr>
                <w:rFonts w:asciiTheme="minorHAnsi" w:eastAsiaTheme="minorEastAsia" w:hAnsiTheme="minorHAnsi" w:cs="Times New Roman" w:hint="eastAsia"/>
                <w:color w:val="auto"/>
                <w:kern w:val="2"/>
              </w:rPr>
              <w:t>、</w:t>
            </w:r>
            <w:r>
              <w:rPr>
                <w:rFonts w:asciiTheme="minorHAnsi" w:eastAsiaTheme="minorEastAsia" w:hAnsiTheme="minorHAnsi" w:cs="Times New Roman"/>
                <w:color w:val="auto"/>
                <w:kern w:val="2"/>
              </w:rPr>
              <w:t>最大热累积度</w:t>
            </w:r>
          </w:p>
        </w:tc>
        <w:tc>
          <w:tcPr>
            <w:tcW w:w="2268" w:type="dxa"/>
            <w:vAlign w:val="center"/>
          </w:tcPr>
          <w:p>
            <w:pPr>
              <w:pBdr>
                <w:top w:val="none" w:sz="0" w:space="0" w:color="auto"/>
                <w:left w:val="none" w:sz="0" w:space="0" w:color="auto"/>
                <w:bottom w:val="none" w:sz="0" w:space="0" w:color="auto"/>
                <w:right w:val="none" w:sz="0" w:space="0" w:color="auto"/>
                <w:between w:val="none" w:sz="0" w:space="0" w:color="auto"/>
              </w:pBdr>
              <w:spacing w:line="260" w:lineRule="exact"/>
              <w:jc w:val="center"/>
              <w:rPr>
                <w:rFonts w:eastAsia="PMingLiU" w:asciiTheme="minorHAnsi" w:hAnsiTheme="minorHAnsi" w:cs="Times New Roman" w:hint="eastAsia"/>
                <w:kern w:val="2"/>
                <w:lang w:val="zh-TW" w:eastAsia="zh-TW"/>
              </w:rPr>
            </w:pPr>
            <w:r>
              <w:rPr>
                <w:rFonts w:eastAsia="宋体" w:asciiTheme="minorHAnsi" w:hAnsiTheme="minorHAnsi" w:cs="Times New Roman"/>
                <w:kern w:val="2"/>
                <w:lang w:val="zh-TW" w:eastAsia="zh-TW"/>
              </w:rPr>
              <w:t>化学反应量热试验规程</w:t>
            </w:r>
          </w:p>
          <w:p>
            <w:pPr>
              <w:pBdr>
                <w:top w:val="none" w:sz="0" w:space="0" w:color="auto"/>
                <w:left w:val="none" w:sz="0" w:space="0" w:color="auto"/>
                <w:bottom w:val="none" w:sz="0" w:space="0" w:color="auto"/>
                <w:right w:val="none" w:sz="0" w:space="0" w:color="auto"/>
                <w:between w:val="none" w:sz="0" w:space="0" w:color="auto"/>
              </w:pBdr>
              <w:spacing w:line="260" w:lineRule="exact"/>
              <w:jc w:val="center"/>
              <w:rPr>
                <w:rFonts w:asciiTheme="minorHAnsi" w:eastAsiaTheme="minorEastAsia" w:hAnsiTheme="minorHAnsi" w:cs="Times New Roman" w:hint="eastAsia"/>
                <w:kern w:val="2"/>
              </w:rPr>
            </w:pPr>
            <w:r>
              <w:rPr>
                <w:rFonts w:eastAsia="宋体" w:asciiTheme="minorHAnsi" w:hAnsiTheme="minorHAnsi" w:cs="Times New Roman"/>
                <w:kern w:val="2"/>
                <w:lang w:val="zh-TW" w:eastAsia="zh-TW"/>
              </w:rPr>
              <w:t>T</w:t>
            </w:r>
            <w:r>
              <w:rPr>
                <w:rFonts w:eastAsia="PMingLiU" w:asciiTheme="minorHAnsi" w:hAnsiTheme="minorHAnsi" w:cs="Times New Roman"/>
                <w:kern w:val="2"/>
                <w:lang w:val="zh-TW" w:eastAsia="zh-TW"/>
              </w:rPr>
              <w:t>/</w:t>
            </w:r>
            <w:r>
              <w:rPr>
                <w:rFonts w:eastAsia="宋体" w:asciiTheme="minorHAnsi" w:hAnsiTheme="minorHAnsi" w:cs="Times New Roman"/>
                <w:kern w:val="2"/>
                <w:lang w:val="zh-TW" w:eastAsia="zh-TW"/>
              </w:rPr>
              <w:t>CIESC 0001</w:t>
            </w:r>
          </w:p>
        </w:tc>
        <w:tc>
          <w:tcPr>
            <w:tcW w:w="9355" w:type="dxa"/>
          </w:tcPr>
          <w:p>
            <w:pPr>
              <w:pBdr>
                <w:top w:val="none" w:sz="0" w:space="0" w:color="auto"/>
                <w:left w:val="none" w:sz="0" w:space="0" w:color="auto"/>
                <w:bottom w:val="none" w:sz="0" w:space="0" w:color="auto"/>
                <w:right w:val="none" w:sz="0" w:space="0" w:color="auto"/>
                <w:between w:val="none" w:sz="0" w:space="0" w:color="auto"/>
              </w:pBdr>
              <w:spacing w:line="400" w:lineRule="exact"/>
              <w:jc w:val="both"/>
              <w:rPr>
                <w:rFonts w:eastAsia="宋体" w:asciiTheme="minorHAnsi" w:hAnsiTheme="minorHAnsi" w:cs="Times New Roman" w:hint="eastAsia"/>
                <w:kern w:val="2"/>
              </w:rPr>
            </w:pPr>
            <w:r>
              <w:rPr>
                <w:rFonts w:eastAsia="宋体" w:asciiTheme="minorHAnsi" w:hAnsiTheme="minorHAnsi" w:cs="Times New Roman" w:hint="eastAsia"/>
                <w:kern w:val="2"/>
              </w:rPr>
              <w:t>（1）</w:t>
            </w:r>
            <w:r>
              <w:rPr>
                <w:rFonts w:eastAsia="宋体" w:asciiTheme="minorHAnsi" w:hAnsiTheme="minorHAnsi" w:cs="Times New Roman"/>
                <w:kern w:val="2"/>
              </w:rPr>
              <w:t>T/CIESC 0001-2020</w:t>
            </w:r>
            <w:r>
              <w:rPr>
                <w:rFonts w:eastAsia="宋体" w:asciiTheme="minorHAnsi" w:hAnsiTheme="minorHAnsi" w:cs="Times New Roman" w:hint="eastAsia"/>
                <w:kern w:val="2"/>
              </w:rPr>
              <w:t>《化学反应量热试验规程》为</w:t>
            </w:r>
            <w:r>
              <w:rPr>
                <w:rFonts w:eastAsia="宋体" w:asciiTheme="minorHAnsi" w:hAnsiTheme="minorHAnsi" w:cs="Times New Roman"/>
                <w:kern w:val="2"/>
              </w:rPr>
              <w:t>化工学会团体标准，其第6部分“试验方法”</w:t>
            </w:r>
            <w:r>
              <w:rPr>
                <w:rFonts w:eastAsia="宋体" w:asciiTheme="minorHAnsi" w:hAnsiTheme="minorHAnsi" w:cs="Times New Roman" w:hint="eastAsia"/>
                <w:kern w:val="2"/>
              </w:rPr>
              <w:t>中对</w:t>
            </w:r>
            <w:r>
              <w:rPr>
                <w:rFonts w:eastAsia="宋体" w:asciiTheme="minorHAnsi" w:hAnsiTheme="minorHAnsi" w:cs="Times New Roman"/>
                <w:kern w:val="2"/>
              </w:rPr>
              <w:t>反应热、</w:t>
            </w:r>
            <w:r>
              <w:rPr>
                <w:rFonts w:eastAsia="宋体" w:asciiTheme="minorHAnsi" w:hAnsiTheme="minorHAnsi" w:cs="Times New Roman" w:hint="eastAsia"/>
                <w:kern w:val="2"/>
              </w:rPr>
              <w:t>反应体系</w:t>
            </w:r>
            <w:r>
              <w:rPr>
                <w:rFonts w:eastAsia="宋体" w:asciiTheme="minorHAnsi" w:hAnsiTheme="minorHAnsi" w:cs="Times New Roman"/>
                <w:kern w:val="2"/>
              </w:rPr>
              <w:t>比热容、最大热累积度</w:t>
            </w:r>
            <w:r>
              <w:rPr>
                <w:rFonts w:eastAsia="宋体" w:asciiTheme="minorHAnsi" w:hAnsiTheme="minorHAnsi" w:cs="Times New Roman" w:hint="eastAsia"/>
                <w:kern w:val="2"/>
              </w:rPr>
              <w:t>3个参数的试验测试环节规定详细</w:t>
            </w:r>
            <w:r>
              <w:rPr>
                <w:rFonts w:eastAsia="宋体" w:asciiTheme="minorHAnsi" w:hAnsiTheme="minorHAnsi" w:cs="Times New Roman"/>
                <w:kern w:val="2"/>
              </w:rPr>
              <w:t>检测</w:t>
            </w:r>
            <w:r>
              <w:rPr>
                <w:rFonts w:eastAsia="宋体" w:asciiTheme="minorHAnsi" w:hAnsiTheme="minorHAnsi" w:cs="Times New Roman" w:hint="eastAsia"/>
                <w:kern w:val="2"/>
              </w:rPr>
              <w:t>过程，因此该</w:t>
            </w:r>
            <w:r>
              <w:rPr>
                <w:rFonts w:eastAsia="宋体" w:asciiTheme="minorHAnsi" w:hAnsiTheme="minorHAnsi" w:cs="Times New Roman"/>
                <w:kern w:val="2"/>
              </w:rPr>
              <w:t>标准方法需要按照非标方法进行确认并验证，并将</w:t>
            </w:r>
            <w:r>
              <w:rPr>
                <w:rFonts w:eastAsia="宋体" w:asciiTheme="minorHAnsi" w:hAnsiTheme="minorHAnsi" w:cs="Times New Roman" w:hint="eastAsia"/>
                <w:kern w:val="2"/>
              </w:rPr>
              <w:t>测试过程的详细操作步骤编制成作业指导书，作为方法的补充，提供方法确认报告。</w:t>
            </w:r>
          </w:p>
          <w:p>
            <w:pPr>
              <w:pBdr>
                <w:top w:val="none" w:sz="0" w:space="0" w:color="auto"/>
                <w:left w:val="none" w:sz="0" w:space="0" w:color="auto"/>
                <w:bottom w:val="none" w:sz="0" w:space="0" w:color="auto"/>
                <w:right w:val="none" w:sz="0" w:space="0" w:color="auto"/>
                <w:between w:val="none" w:sz="0" w:space="0" w:color="auto"/>
              </w:pBdr>
              <w:spacing w:line="400" w:lineRule="exact"/>
              <w:jc w:val="both"/>
              <w:rPr>
                <w:rFonts w:eastAsia="宋体" w:cs="Times New Roman"/>
                <w:spacing w:val="8"/>
                <w:kern w:val="2"/>
              </w:rPr>
            </w:pPr>
            <w:r>
              <w:rPr>
                <w:rFonts w:asciiTheme="minorHAnsi" w:eastAsiaTheme="minorEastAsia" w:hAnsiTheme="minorHAnsi" w:cs="Times New Roman" w:hint="eastAsia"/>
                <w:kern w:val="2"/>
              </w:rPr>
              <w:t>（2）</w:t>
            </w:r>
            <w:r>
              <w:rPr>
                <w:rFonts w:ascii="Times New Roman" w:eastAsia="宋体" w:hAnsi="Times New Roman" w:cs="Times New Roman"/>
                <w:spacing w:val="8"/>
                <w:kern w:val="2"/>
              </w:rPr>
              <w:t>反应量热仪配置常压（玻璃钢釜-耐压0 mbar ~50mbar）、中压（玻璃钢釜-耐压6bar~10bar）和高压（金属釜-耐压60bar~100bar）三种类型的反应器，在选择可测试化学反应时，应根据实验室配置的反应器类型，选择可安全操作的反应进行测试，防止反应失控超过反应器耐压极限。</w:t>
            </w:r>
          </w:p>
          <w:p>
            <w:pPr>
              <w:pBdr>
                <w:top w:val="none" w:sz="0" w:space="0" w:color="auto"/>
                <w:left w:val="none" w:sz="0" w:space="0" w:color="auto"/>
                <w:bottom w:val="none" w:sz="0" w:space="0" w:color="auto"/>
                <w:right w:val="none" w:sz="0" w:space="0" w:color="auto"/>
                <w:between w:val="none" w:sz="0" w:space="0" w:color="auto"/>
              </w:pBdr>
              <w:spacing w:line="400" w:lineRule="exact"/>
              <w:jc w:val="both"/>
              <w:rPr>
                <w:rFonts w:eastAsia="宋体" w:cs="Times New Roman"/>
                <w:spacing w:val="8"/>
                <w:kern w:val="2"/>
              </w:rPr>
            </w:pPr>
            <w:r>
              <w:rPr>
                <w:rFonts w:ascii="Times New Roman" w:eastAsia="宋体" w:hAnsi="Times New Roman" w:cs="Times New Roman" w:hint="eastAsia"/>
                <w:spacing w:val="8"/>
                <w:kern w:val="2"/>
              </w:rPr>
              <w:t>（3）</w:t>
            </w:r>
            <w:r>
              <w:rPr>
                <w:rFonts w:ascii="Times New Roman" w:eastAsia="宋体" w:hAnsi="Times New Roman" w:cs="Times New Roman"/>
                <w:spacing w:val="8"/>
                <w:kern w:val="2"/>
              </w:rPr>
              <w:t>实验室在进行未知危险性化学反应量热测试之前，</w:t>
            </w:r>
            <w:r>
              <w:rPr>
                <w:rFonts w:ascii="Times New Roman" w:eastAsia="宋体" w:hAnsi="Times New Roman" w:cs="Times New Roman" w:hint="eastAsia"/>
                <w:spacing w:val="8"/>
                <w:kern w:val="2"/>
              </w:rPr>
              <w:t>宜</w:t>
            </w:r>
            <w:r>
              <w:rPr>
                <w:rFonts w:ascii="Times New Roman" w:eastAsia="宋体" w:hAnsi="Times New Roman" w:cs="Times New Roman"/>
                <w:spacing w:val="8"/>
                <w:kern w:val="2"/>
              </w:rPr>
              <w:t>先理论计算反应生成焓，对待测化学反应的反应热进行与估算，确保安全的前提下再进行实验测试。</w:t>
            </w:r>
          </w:p>
          <w:p>
            <w:pPr>
              <w:pBdr>
                <w:top w:val="none" w:sz="0" w:space="0" w:color="auto"/>
                <w:left w:val="none" w:sz="0" w:space="0" w:color="auto"/>
                <w:bottom w:val="none" w:sz="0" w:space="0" w:color="auto"/>
                <w:right w:val="none" w:sz="0" w:space="0" w:color="auto"/>
                <w:between w:val="none" w:sz="0" w:space="0" w:color="auto"/>
              </w:pBdr>
              <w:spacing w:line="400" w:lineRule="exact"/>
              <w:jc w:val="both"/>
              <w:rPr>
                <w:rFonts w:eastAsia="宋体" w:cs="Times New Roman"/>
                <w:spacing w:val="8"/>
                <w:kern w:val="2"/>
              </w:rPr>
            </w:pPr>
            <w:r>
              <w:rPr>
                <w:rFonts w:ascii="Times New Roman" w:eastAsia="宋体" w:hAnsi="Times New Roman" w:cs="Times New Roman" w:hint="eastAsia"/>
                <w:spacing w:val="8"/>
                <w:kern w:val="2"/>
              </w:rPr>
              <w:t>（4）</w:t>
            </w:r>
            <w:r>
              <w:rPr>
                <w:rFonts w:ascii="Times New Roman" w:eastAsia="宋体" w:hAnsi="Times New Roman" w:cs="Times New Roman"/>
                <w:spacing w:val="8"/>
                <w:kern w:val="2"/>
              </w:rPr>
              <w:t>化学反应量热测试如果涉及气液两相反应，测试过程中应对易燃易爆或有毒有害类气体是否泄露进行严格监控，配置可燃气体和有毒气体报警器，防止泄露造成安全事故。</w:t>
            </w:r>
          </w:p>
          <w:p>
            <w:pPr>
              <w:pBdr>
                <w:top w:val="none" w:sz="0" w:space="0" w:color="auto"/>
                <w:left w:val="none" w:sz="0" w:space="0" w:color="auto"/>
                <w:bottom w:val="none" w:sz="0" w:space="0" w:color="auto"/>
                <w:right w:val="none" w:sz="0" w:space="0" w:color="auto"/>
                <w:between w:val="none" w:sz="0" w:space="0" w:color="auto"/>
              </w:pBdr>
              <w:spacing w:line="400" w:lineRule="exact"/>
              <w:jc w:val="both"/>
              <w:rPr>
                <w:rFonts w:asciiTheme="minorHAnsi" w:eastAsiaTheme="minorEastAsia" w:hAnsiTheme="minorHAnsi" w:cs="Times New Roman" w:hint="eastAsia"/>
                <w:kern w:val="2"/>
              </w:rPr>
            </w:pPr>
            <w:r>
              <w:rPr>
                <w:rFonts w:ascii="Times New Roman" w:eastAsia="宋体" w:hAnsi="Times New Roman" w:cs="Times New Roman" w:hint="eastAsia"/>
                <w:spacing w:val="8"/>
                <w:kern w:val="2"/>
              </w:rPr>
              <w:t>（5）反应</w:t>
            </w:r>
            <w:r>
              <w:rPr>
                <w:rFonts w:ascii="Times New Roman" w:eastAsia="宋体" w:hAnsi="Times New Roman" w:cs="Times New Roman"/>
                <w:spacing w:val="8"/>
                <w:kern w:val="2"/>
              </w:rPr>
              <w:t>量热仪</w:t>
            </w:r>
            <w:r>
              <w:rPr>
                <w:rFonts w:asciiTheme="minorHAnsi" w:eastAsiaTheme="minorEastAsia" w:hAnsiTheme="minorHAnsi" w:cs="Times New Roman"/>
                <w:kern w:val="2"/>
              </w:rPr>
              <w:t>没有检定/</w:t>
            </w:r>
            <w:r>
              <w:rPr>
                <w:rFonts w:asciiTheme="minorHAnsi" w:eastAsiaTheme="minorEastAsia" w:hAnsiTheme="minorHAnsi" w:cs="Times New Roman" w:hint="eastAsia"/>
                <w:kern w:val="2"/>
              </w:rPr>
              <w:t>校准</w:t>
            </w:r>
            <w:r>
              <w:rPr>
                <w:rFonts w:asciiTheme="minorHAnsi" w:eastAsiaTheme="minorEastAsia" w:hAnsiTheme="minorHAnsi" w:cs="Times New Roman"/>
                <w:kern w:val="2"/>
              </w:rPr>
              <w:t>规程，</w:t>
            </w:r>
            <w:r>
              <w:rPr>
                <w:rFonts w:asciiTheme="minorHAnsi" w:eastAsiaTheme="minorEastAsia" w:hAnsiTheme="minorHAnsi" w:cs="Times New Roman" w:hint="eastAsia"/>
                <w:kern w:val="2"/>
              </w:rPr>
              <w:t>其校准</w:t>
            </w:r>
            <w:r>
              <w:rPr>
                <w:rFonts w:asciiTheme="minorHAnsi" w:eastAsiaTheme="minorEastAsia" w:hAnsiTheme="minorHAnsi" w:cs="Times New Roman"/>
                <w:kern w:val="2"/>
              </w:rPr>
              <w:t>方式为</w:t>
            </w:r>
            <w:r>
              <w:rPr>
                <w:rFonts w:asciiTheme="minorHAnsi" w:eastAsiaTheme="minorEastAsia" w:hAnsiTheme="minorHAnsi" w:cs="Times New Roman" w:hint="eastAsia"/>
                <w:kern w:val="2"/>
              </w:rPr>
              <w:t>拆卸温度、压力传感器进行校准后，采用</w:t>
            </w:r>
            <w:r>
              <w:rPr>
                <w:rFonts w:asciiTheme="minorHAnsi" w:eastAsiaTheme="minorEastAsia" w:hAnsiTheme="minorHAnsi" w:cs="Times New Roman"/>
                <w:kern w:val="2"/>
              </w:rPr>
              <w:t>系统</w:t>
            </w:r>
            <w:r>
              <w:rPr>
                <w:rFonts w:asciiTheme="minorHAnsi" w:eastAsiaTheme="minorEastAsia" w:hAnsiTheme="minorHAnsi" w:cs="Times New Roman" w:hint="eastAsia"/>
                <w:kern w:val="2"/>
              </w:rPr>
              <w:t>性能</w:t>
            </w:r>
            <w:r>
              <w:rPr>
                <w:rFonts w:asciiTheme="minorHAnsi" w:eastAsiaTheme="minorEastAsia" w:hAnsiTheme="minorHAnsi" w:cs="Times New Roman"/>
                <w:kern w:val="2"/>
              </w:rPr>
              <w:t>验证</w:t>
            </w:r>
            <w:r>
              <w:rPr>
                <w:rFonts w:asciiTheme="minorHAnsi" w:eastAsiaTheme="minorEastAsia" w:hAnsiTheme="minorHAnsi" w:cs="Times New Roman" w:hint="eastAsia"/>
                <w:kern w:val="2"/>
              </w:rPr>
              <w:t>的标准</w:t>
            </w:r>
            <w:r>
              <w:rPr>
                <w:rFonts w:asciiTheme="minorHAnsi" w:eastAsiaTheme="minorEastAsia" w:hAnsiTheme="minorHAnsi" w:cs="Times New Roman"/>
                <w:kern w:val="2"/>
              </w:rPr>
              <w:t>物质对整机进行</w:t>
            </w:r>
            <w:r>
              <w:rPr>
                <w:rFonts w:asciiTheme="minorHAnsi" w:eastAsiaTheme="minorEastAsia" w:hAnsiTheme="minorHAnsi" w:cs="Times New Roman" w:hint="eastAsia"/>
                <w:kern w:val="2"/>
              </w:rPr>
              <w:t>核查。其</w:t>
            </w:r>
            <w:r>
              <w:rPr>
                <w:rFonts w:asciiTheme="minorHAnsi" w:eastAsiaTheme="minorEastAsia" w:hAnsiTheme="minorHAnsi" w:cs="Times New Roman"/>
                <w:kern w:val="2"/>
              </w:rPr>
              <w:t>用作系统</w:t>
            </w:r>
            <w:r>
              <w:rPr>
                <w:rFonts w:asciiTheme="minorHAnsi" w:eastAsiaTheme="minorEastAsia" w:hAnsiTheme="minorHAnsi" w:cs="Times New Roman" w:hint="eastAsia"/>
                <w:kern w:val="2"/>
              </w:rPr>
              <w:t>性能</w:t>
            </w:r>
            <w:r>
              <w:rPr>
                <w:rFonts w:asciiTheme="minorHAnsi" w:eastAsiaTheme="minorEastAsia" w:hAnsiTheme="minorHAnsi" w:cs="Times New Roman"/>
                <w:kern w:val="2"/>
              </w:rPr>
              <w:t>验证的标准物质</w:t>
            </w:r>
            <w:r>
              <w:rPr>
                <w:rFonts w:asciiTheme="minorHAnsi" w:eastAsiaTheme="minorEastAsia" w:hAnsiTheme="minorHAnsi" w:cs="Times New Roman" w:hint="eastAsia"/>
                <w:kern w:val="2"/>
              </w:rPr>
              <w:t>为</w:t>
            </w:r>
            <w:r>
              <w:rPr>
                <w:rFonts w:asciiTheme="minorHAnsi" w:eastAsiaTheme="minorEastAsia" w:hAnsiTheme="minorHAnsi" w:cs="Times New Roman"/>
                <w:kern w:val="2"/>
              </w:rPr>
              <w:t>醋酸酐水解反应</w:t>
            </w:r>
            <w:r>
              <w:rPr>
                <w:rFonts w:asciiTheme="minorHAnsi" w:eastAsiaTheme="minorEastAsia" w:hAnsiTheme="minorHAnsi" w:cs="Times New Roman" w:hint="eastAsia"/>
                <w:kern w:val="2"/>
              </w:rPr>
              <w:t>，</w:t>
            </w:r>
            <w:r>
              <w:rPr>
                <w:rFonts w:asciiTheme="minorHAnsi" w:eastAsiaTheme="minorEastAsia" w:hAnsiTheme="minorHAnsi" w:cs="Times New Roman"/>
                <w:kern w:val="2"/>
              </w:rPr>
              <w:t>涉及物料</w:t>
            </w:r>
            <w:r>
              <w:rPr>
                <w:rFonts w:asciiTheme="minorHAnsi" w:eastAsiaTheme="minorEastAsia" w:hAnsiTheme="minorHAnsi" w:cs="Times New Roman" w:hint="eastAsia"/>
                <w:kern w:val="2"/>
              </w:rPr>
              <w:t>为</w:t>
            </w:r>
            <w:r>
              <w:rPr>
                <w:rFonts w:asciiTheme="minorHAnsi" w:eastAsiaTheme="minorEastAsia" w:hAnsiTheme="minorHAnsi" w:cs="Times New Roman"/>
                <w:kern w:val="2"/>
              </w:rPr>
              <w:t>醋酸酐（</w:t>
            </w:r>
            <w:r>
              <w:rPr>
                <w:rFonts w:asciiTheme="minorHAnsi" w:eastAsiaTheme="minorEastAsia" w:hAnsiTheme="minorHAnsi" w:cs="Times New Roman" w:hint="eastAsia"/>
                <w:kern w:val="2"/>
              </w:rPr>
              <w:t>纯度</w:t>
            </w:r>
            <w:r>
              <w:rPr>
                <w:rFonts w:asciiTheme="minorHAnsi" w:eastAsiaTheme="minorEastAsia" w:hAnsiTheme="minorHAnsi" w:cs="Times New Roman"/>
                <w:kern w:val="2"/>
              </w:rPr>
              <w:t>≥98.5）</w:t>
            </w:r>
            <w:r>
              <w:rPr>
                <w:rFonts w:asciiTheme="minorHAnsi" w:eastAsiaTheme="minorEastAsia" w:hAnsiTheme="minorHAnsi" w:cs="Times New Roman" w:hint="eastAsia"/>
                <w:kern w:val="2"/>
              </w:rPr>
              <w:t>、</w:t>
            </w:r>
            <w:r>
              <w:rPr>
                <w:rFonts w:asciiTheme="minorHAnsi" w:eastAsiaTheme="minorEastAsia" w:hAnsiTheme="minorHAnsi" w:cs="Times New Roman"/>
                <w:kern w:val="2"/>
              </w:rPr>
              <w:t>浓硫酸（</w:t>
            </w:r>
            <w:r>
              <w:rPr>
                <w:rFonts w:asciiTheme="minorHAnsi" w:eastAsiaTheme="minorEastAsia" w:hAnsiTheme="minorHAnsi" w:cs="Times New Roman" w:hint="eastAsia"/>
                <w:kern w:val="2"/>
              </w:rPr>
              <w:t>纯度</w:t>
            </w:r>
            <w:r>
              <w:rPr>
                <w:rFonts w:asciiTheme="minorHAnsi" w:eastAsiaTheme="minorEastAsia" w:hAnsiTheme="minorHAnsi" w:cs="Times New Roman"/>
                <w:kern w:val="2"/>
              </w:rPr>
              <w:t>≥98.0）</w:t>
            </w:r>
            <w:r>
              <w:rPr>
                <w:rFonts w:asciiTheme="minorHAnsi" w:eastAsiaTheme="minorEastAsia" w:hAnsiTheme="minorHAnsi" w:cs="Times New Roman" w:hint="eastAsia"/>
                <w:kern w:val="2"/>
              </w:rPr>
              <w:t>、去离子</w:t>
            </w:r>
            <w:r>
              <w:rPr>
                <w:rFonts w:asciiTheme="minorHAnsi" w:eastAsiaTheme="minorEastAsia" w:hAnsiTheme="minorHAnsi" w:cs="Times New Roman"/>
                <w:kern w:val="2"/>
              </w:rPr>
              <w:t>水。</w:t>
            </w:r>
          </w:p>
          <w:p>
            <w:pPr>
              <w:pBdr>
                <w:top w:val="none" w:sz="0" w:space="0" w:color="auto"/>
                <w:left w:val="none" w:sz="0" w:space="0" w:color="auto"/>
                <w:bottom w:val="none" w:sz="0" w:space="0" w:color="auto"/>
                <w:right w:val="none" w:sz="0" w:space="0" w:color="auto"/>
                <w:between w:val="none" w:sz="0" w:space="0" w:color="auto"/>
              </w:pBdr>
              <w:spacing w:line="400" w:lineRule="exact"/>
              <w:jc w:val="both"/>
              <w:rPr>
                <w:rFonts w:asciiTheme="minorHAnsi" w:eastAsiaTheme="minorEastAsia" w:hAnsiTheme="minorHAnsi" w:cs="Times New Roman" w:hint="eastAsia"/>
                <w:kern w:val="2"/>
              </w:rPr>
            </w:pPr>
            <w:r>
              <w:rPr>
                <w:rFonts w:asciiTheme="minorHAnsi" w:eastAsiaTheme="minorEastAsia" w:hAnsiTheme="minorHAnsi" w:cs="Times New Roman" w:hint="eastAsia"/>
                <w:kern w:val="2"/>
              </w:rPr>
              <w:t>（6）T/CIESC 0002-2020《基于量热及差示扫描量热获取热动力学参数方法的评价标准》和TCIESC 0003-2020《化工工艺反应热风险特征数据计算方法》不涉及检测方法，不予认可。</w:t>
            </w:r>
          </w:p>
        </w:tc>
      </w:tr>
    </w:tbl>
    <w:p>
      <w:r>
        <w:br/>
      </w:r>
      <w:r>
        <w:br/>
      </w:r>
    </w:p>
    <w:p>
      <w:pPr>
        <w:pBdr>
          <w:top w:val="none" w:sz="0" w:space="0" w:color="auto"/>
          <w:left w:val="none" w:sz="0" w:space="0" w:color="auto"/>
          <w:bottom w:val="none" w:sz="0" w:space="0" w:color="auto"/>
          <w:right w:val="none" w:sz="0" w:space="0" w:color="auto"/>
          <w:between w:val="none" w:sz="0" w:space="0" w:color="auto"/>
        </w:pBdr>
        <w:rPr>
          <w:rFonts w:ascii="SimSun" w:eastAsia="SimSun" w:hAnsi="SimSun" w:cs="SimSun"/>
          <w:b/>
          <w:bCs/>
          <w:sz w:val="30"/>
          <w:szCs w:val="30"/>
          <w:u w:color="auto"/>
        </w:rPr>
      </w:pPr>
      <w:r>
        <w:rPr>
          <w:rFonts w:ascii="SimSun" w:eastAsia="SimSun" w:hAnsi="SimSun" w:cs="SimSun"/>
          <w:b/>
          <w:bCs/>
          <w:sz w:val="30"/>
          <w:szCs w:val="30"/>
          <w:u w:color="auto"/>
        </w:rPr>
        <w:t>以上内容仅为本文档的试下载部分，为可阅读页数的一半内容。如要下载或阅读全文，请访问：</w:t>
      </w:r>
      <w:hyperlink r:id="rId17" w:history="1">
        <w:r>
          <w:rPr>
            <w:rFonts w:ascii="SimSun" w:eastAsia="SimSun" w:hAnsi="SimSun" w:cs="SimSun"/>
            <w:b/>
            <w:bCs/>
            <w:color w:val="0000EE"/>
            <w:sz w:val="30"/>
            <w:szCs w:val="30"/>
            <w:u w:val="single" w:color="0000EE"/>
          </w:rPr>
          <w:t>https://d.book118.com/948030126140006023</w:t>
        </w:r>
      </w:hyperlink>
    </w:p>
    <w:p/>
    <w:sectPr>
      <w:footerReference w:type="default" r:id="rId18"/>
      <w:type w:val="nextPage"/>
      <w:pgSz w:w="16840" w:h="11900" w:orient="landscape"/>
      <w:pgMar w:top="1800" w:right="1440" w:bottom="1800" w:left="1440" w:header="851" w:footer="992" w:gutter="0"/>
      <w:pgNumType w:start="12"/>
      <w:cols w:num="1" w:space="720"/>
      <w:titlePg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Helvetica Neue">
    <w:altName w:val="Times New Roman"/>
    <w:panose1 w:val="00000000000000000000"/>
    <w:charset w:val="00"/>
    <w:family w:val="roman"/>
    <w:pitch w:val="default"/>
    <w:sig w:usb0="00000000" w:usb1="00000000" w:usb2="00000000" w:usb3="00000000" w:csb0="00000001" w:csb1="00000000"/>
  </w:font>
  <w:font w:name="FZSSK--GBK1-0">
    <w:altName w:val="Times New Roman"/>
    <w:panose1 w:val="00000000000000000000"/>
    <w:charset w:val="00"/>
    <w:family w:val="roman"/>
    <w:pitch w:val="default"/>
    <w:sig w:usb0="00000000" w:usb1="00000000" w:usb2="00000000" w:usb3="00000000" w:csb0="00000001" w:csb1="00000000"/>
  </w:font>
  <w:font w:name="TimesNewRomanPSMT">
    <w:altName w:val="Times New Roman"/>
    <w:panose1 w:val="00000000000000000000"/>
    <w:charset w:val="00"/>
    <w:family w:val="roman"/>
    <w:pitch w:val="default"/>
    <w:sig w:usb0="00000000" w:usb1="00000000" w:usb2="00000000" w:usb3="00000000" w:csb0="00000001" w:csb1="00000000"/>
  </w:font>
  <w:font w:name="TimesNewRomanPS-ItalicMT">
    <w:altName w:val="Times New Roman"/>
    <w:panose1 w:val="00000000000000000000"/>
    <w:charset w:val="00"/>
    <w:family w:val="roman"/>
    <w:pitch w:val="default"/>
    <w:sig w:usb0="00000000" w:usb1="00000000" w:usb2="00000000" w:usb3="00000000" w:csb0="00000001" w:csb1="00000000"/>
  </w:font>
  <w:font w:name="Times">
    <w:altName w:val="Times New Roman"/>
    <w:panose1 w:val="02020603050405020304"/>
    <w:charset w:val="00"/>
    <w:family w:val="roman"/>
    <w:pitch w:val="default"/>
    <w:sig w:usb0="00000000" w:usb1="00000000" w:usb2="00000009" w:usb3="00000000" w:csb0="000001FF" w:csb1="00000000"/>
  </w:font>
  <w:font w:name="华文仿宋">
    <w:panose1 w:val="02010600040101010101"/>
    <w:charset w:val="86"/>
    <w:family w:val="auto"/>
    <w:pitch w:val="default"/>
    <w:sig w:usb0="00000287" w:usb1="080F0000" w:usb2="00000000" w:usb3="00000000" w:csb0="0004009F" w:csb1="DFD70000"/>
  </w:font>
  <w:font w:name="Courier">
    <w:altName w:val="Courier New"/>
    <w:panose1 w:val="02070409020205020404"/>
    <w:charset w:val="00"/>
    <w:family w:val="modern"/>
    <w:pitch w:val="default"/>
    <w:sig w:usb0="00000000" w:usb1="00000000" w:usb2="00000000" w:usb3="00000000" w:csb0="00000001" w:csb1="00000000"/>
  </w:font>
  <w:font w:name="仿宋_GB2312">
    <w:altName w:val="仿宋"/>
    <w:panose1 w:val="00000000000000000000"/>
    <w:charset w:val="86"/>
    <w:family w:val="modern"/>
    <w:pitch w:val="default"/>
    <w:sig w:usb0="00000000" w:usb1="00000000" w:usb2="0000001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微软雅黑">
    <w:panose1 w:val="020B0503020204020204"/>
    <w:charset w:val="86"/>
    <w:family w:val="swiss"/>
    <w:pitch w:val="default"/>
    <w:sig w:usb0="80000287" w:usb1="2ACF3C50" w:usb2="00000016" w:usb3="00000000" w:csb0="0004001F" w:csb1="00000000"/>
  </w:font>
  <w:font w:name="MS Mincho">
    <w:altName w:val="Yu Gothic UI"/>
    <w:panose1 w:val="02020609040205080304"/>
    <w:charset w:val="80"/>
    <w:family w:val="modern"/>
    <w:pitch w:val="default"/>
    <w:sig w:usb0="00000000" w:usb1="00000000" w:usb2="00000012" w:usb3="00000000" w:csb0="0002009F" w:csb1="00000000"/>
  </w:font>
  <w:font w:name="Cambria Math">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16010502"/>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83719500"/>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71852234"/>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03270094"/>
      <w:docPartObj>
        <w:docPartGallery w:val="AutoText"/>
      </w:docPartObj>
    </w:sdtPr>
    <w:sdtContent>
      <w:p>
        <w:pPr>
          <w:pStyle w:val="Footer"/>
          <w:jc w:val="center"/>
        </w:pPr>
        <w:r>
          <w:fldChar w:fldCharType="begin"/>
        </w:r>
        <w:r>
          <w:instrText>PAGE   \* MERGEFORMAT</w:instrText>
        </w:r>
        <w:r>
          <w:fldChar w:fldCharType="separate"/>
        </w:r>
        <w:r>
          <w:rPr>
            <w:lang w:val="zh-CN"/>
          </w:rPr>
          <w:t>4</w:t>
        </w:r>
        <w:r>
          <w:fldChar w:fldCharType="end"/>
        </w:r>
      </w:p>
    </w:sdtContent>
  </w:sdt>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98693771"/>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74476775"/>
      <w:docPartObj>
        <w:docPartGallery w:val="AutoText"/>
      </w:docPartObj>
    </w:sdtPr>
    <w:sdtContent>
      <w:p>
        <w:pPr>
          <w:pStyle w:val="Footer"/>
          <w:jc w:val="center"/>
        </w:pPr>
        <w:r>
          <w:fldChar w:fldCharType="begin"/>
        </w:r>
        <w:r>
          <w:instrText>PAGE   \* MERGEFORMAT</w:instrText>
        </w:r>
        <w:r>
          <w:fldChar w:fldCharType="separate"/>
        </w:r>
        <w:r>
          <w:rPr>
            <w:lang w:val="zh-CN"/>
          </w:rPr>
          <w:t>6</w:t>
        </w:r>
        <w:r>
          <w:fldChar w:fldCharType="end"/>
        </w:r>
      </w:p>
    </w:sdtContent>
  </w:sdt>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08598762"/>
      <w:docPartObj>
        <w:docPartGallery w:val="AutoText"/>
      </w:docPartObj>
    </w:sdtPr>
    <w:sdtContent>
      <w:p>
        <w:pPr>
          <w:pStyle w:val="Footer"/>
          <w:jc w:val="center"/>
        </w:pPr>
        <w:r>
          <w:fldChar w:fldCharType="begin"/>
        </w:r>
        <w:r>
          <w:instrText>PAGE   \* MERGEFORMAT</w:instrText>
        </w:r>
        <w:r>
          <w:fldChar w:fldCharType="separate"/>
        </w:r>
        <w:r>
          <w:rPr>
            <w:lang w:val="zh-CN"/>
          </w:rPr>
          <w:t>7</w:t>
        </w:r>
        <w:r>
          <w:fldChar w:fldCharType="end"/>
        </w:r>
      </w:p>
    </w:sdtContent>
  </w:sdt>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61549006"/>
      <w:docPartObj>
        <w:docPartGallery w:val="AutoText"/>
      </w:docPartObj>
    </w:sdtPr>
    <w:sdtContent>
      <w:p>
        <w:pPr>
          <w:pStyle w:val="Footer"/>
          <w:jc w:val="center"/>
        </w:pPr>
        <w:r>
          <w:fldChar w:fldCharType="begin"/>
        </w:r>
        <w:r>
          <w:instrText>PAGE   \* MERGEFORMAT</w:instrText>
        </w:r>
        <w:r>
          <w:fldChar w:fldCharType="separate"/>
        </w:r>
        <w:r>
          <w:rPr>
            <w:lang w:val="zh-CN"/>
          </w:rPr>
          <w:t>8</w:t>
        </w:r>
        <w:r>
          <w:fldChar w:fldCharType="end"/>
        </w:r>
      </w:p>
    </w:sdtContent>
  </w:sdt>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37840874"/>
      <w:docPartObj>
        <w:docPartGallery w:val="AutoText"/>
      </w:docPartObj>
    </w:sdtPr>
    <w:sdtContent>
      <w:p>
        <w:pPr>
          <w:pStyle w:val="Footer"/>
          <w:jc w:val="center"/>
        </w:pPr>
        <w:r>
          <w:fldChar w:fldCharType="begin"/>
        </w:r>
        <w:r>
          <w:instrText>PAGE   \* MERGEFORMAT</w:instrText>
        </w:r>
        <w:r>
          <w:fldChar w:fldCharType="separate"/>
        </w:r>
        <w:r>
          <w:rPr>
            <w:lang w:val="zh-CN"/>
          </w:rPr>
          <w:t>9</w:t>
        </w:r>
        <w:r>
          <w:fldChar w:fldCharType="end"/>
        </w:r>
      </w:p>
    </w:sdtContent>
  </w:sdt>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54758382"/>
      <w:docPartObj>
        <w:docPartGallery w:val="AutoText"/>
      </w:docPartObj>
    </w:sdtPr>
    <w:sdtContent>
      <w:p>
        <w:pPr>
          <w:pStyle w:val="Footer"/>
          <w:jc w:val="center"/>
        </w:pPr>
        <w:r>
          <w:fldChar w:fldCharType="begin"/>
        </w:r>
        <w:r>
          <w:instrText>PAGE   \* MERGEFORMAT</w:instrText>
        </w:r>
        <w:r>
          <w:fldChar w:fldCharType="separate"/>
        </w:r>
        <w:r>
          <w:rPr>
            <w:lang w:val="zh-CN"/>
          </w:rPr>
          <w:t>10</w:t>
        </w:r>
        <w:r>
          <w:fldChar w:fldCharType="end"/>
        </w:r>
      </w:p>
    </w:sdtContent>
  </w:sdt>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11113387"/>
      <w:docPartObj>
        <w:docPartGallery w:val="AutoText"/>
      </w:docPartObj>
    </w:sdtPr>
    <w:sdtContent>
      <w:p>
        <w:pPr>
          <w:pStyle w:val="Footer"/>
          <w:jc w:val="center"/>
        </w:pPr>
        <w:r>
          <w:fldChar w:fldCharType="begin"/>
        </w:r>
        <w:r>
          <w:instrText>PAGE   \* MERGEFORMAT</w:instrText>
        </w:r>
        <w:r>
          <w:fldChar w:fldCharType="separate"/>
        </w:r>
        <w:r>
          <w:rPr>
            <w:lang w:val="zh-CN"/>
          </w:rPr>
          <w:t>11</w:t>
        </w:r>
        <w:r>
          <w:fldChar w:fldCharType="end"/>
        </w:r>
      </w:p>
    </w:sdtContent>
  </w:sdt>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47772927"/>
      <w:docPartObj>
        <w:docPartGallery w:val="AutoText"/>
      </w:docPartObj>
    </w:sdtPr>
    <w:sdtContent>
      <w:p>
        <w:pPr>
          <w:pStyle w:val="Footer"/>
          <w:jc w:val="center"/>
        </w:pPr>
        <w:r>
          <w:fldChar w:fldCharType="begin"/>
        </w:r>
        <w:r>
          <w:instrText>PAGE   \* MERGEFORMAT</w:instrText>
        </w:r>
        <w:r>
          <w:fldChar w:fldCharType="separate"/>
        </w:r>
        <w:r>
          <w:rPr>
            <w:lang w:val="zh-CN"/>
          </w:rPr>
          <w:t>12</w:t>
        </w:r>
        <w:r>
          <w:fldChar w:fldCharType="end"/>
        </w:r>
      </w:p>
    </w:sdtContent>
  </w:sdt>
  <w:p>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23665C9"/>
    <w:multiLevelType w:val="multilevel"/>
    <w:tmpl w:val="423665C9"/>
    <w:lvl w:ilvl="0">
      <w:start w:val="1"/>
      <w:numFmt w:val="decimalEnclosedCircle"/>
      <w:lvlText w:val="%1"/>
      <w:lvlJc w:val="left"/>
      <w:pPr>
        <w:ind w:left="360" w:hanging="360"/>
      </w:pPr>
      <w:rPr>
        <w:rFonts w:ascii="微软雅黑" w:eastAsia="微软雅黑" w:hAnsi="微软雅黑" w:cs="Arial Unicode M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64D926B8"/>
    <w:multiLevelType w:val="multilevel"/>
    <w:tmpl w:val="64D926B8"/>
    <w:lvl w:ilvl="0">
      <w:start w:val="1"/>
      <w:numFmt w:val="decimalEnclosedCircle"/>
      <w:lvlText w:val="%1"/>
      <w:lvlJc w:val="left"/>
      <w:pPr>
        <w:ind w:left="360" w:hanging="360"/>
      </w:pPr>
      <w:rPr>
        <w:rFonts w:ascii="微软雅黑" w:eastAsia="微软雅黑" w:hAnsi="微软雅黑" w:cs="Arial Unicode M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A9B02A7"/>
    <w:multiLevelType w:val="multilevel"/>
    <w:tmpl w:val="6A9B02A7"/>
    <w:lvl w:ilvl="0">
      <w:start w:val="1"/>
      <w:numFmt w:val="decimalEnclosedCircle"/>
      <w:lvlText w:val="%1"/>
      <w:lvlJc w:val="left"/>
      <w:pPr>
        <w:ind w:left="360" w:hanging="360"/>
      </w:pPr>
      <w:rPr>
        <w:rFonts w:ascii="微软雅黑" w:eastAsia="微软雅黑" w:hAnsi="微软雅黑" w:cs="Arial Unicode M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isplayBackgroundShape/>
  <w:bordersDoNotSurroundHeader/>
  <w:bordersDoNotSurroundFooter/>
  <w:defaultTabStop w:val="720"/>
  <w:drawingGridHorizontalSpacing w:val="120"/>
  <w:drawingGridVerticalSpacing w:val="163"/>
  <w:displayHorizontalDrawingGridEvery w:val="2"/>
  <w:displayVertic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79D2"/>
    <w:rsid w:val="000077D2"/>
    <w:rsid w:val="00011EA1"/>
    <w:rsid w:val="00031538"/>
    <w:rsid w:val="000340DB"/>
    <w:rsid w:val="00035477"/>
    <w:rsid w:val="00040081"/>
    <w:rsid w:val="00040B6F"/>
    <w:rsid w:val="00047888"/>
    <w:rsid w:val="00071E04"/>
    <w:rsid w:val="00080D4D"/>
    <w:rsid w:val="00085C81"/>
    <w:rsid w:val="00087EC9"/>
    <w:rsid w:val="00087FCB"/>
    <w:rsid w:val="00090BAC"/>
    <w:rsid w:val="00096C1E"/>
    <w:rsid w:val="000A2490"/>
    <w:rsid w:val="000A3B8C"/>
    <w:rsid w:val="000A43E8"/>
    <w:rsid w:val="000A7CFC"/>
    <w:rsid w:val="000B3306"/>
    <w:rsid w:val="000C05A4"/>
    <w:rsid w:val="000C147D"/>
    <w:rsid w:val="000E2006"/>
    <w:rsid w:val="000E41A4"/>
    <w:rsid w:val="000E42E1"/>
    <w:rsid w:val="000F063E"/>
    <w:rsid w:val="000F506E"/>
    <w:rsid w:val="000F5569"/>
    <w:rsid w:val="0010412C"/>
    <w:rsid w:val="00107A54"/>
    <w:rsid w:val="00112355"/>
    <w:rsid w:val="00116328"/>
    <w:rsid w:val="001168EB"/>
    <w:rsid w:val="001179C4"/>
    <w:rsid w:val="001210B0"/>
    <w:rsid w:val="00132C2F"/>
    <w:rsid w:val="00137FC7"/>
    <w:rsid w:val="001437CC"/>
    <w:rsid w:val="00147B94"/>
    <w:rsid w:val="0015097A"/>
    <w:rsid w:val="00150D00"/>
    <w:rsid w:val="00154CC5"/>
    <w:rsid w:val="00156286"/>
    <w:rsid w:val="0016081A"/>
    <w:rsid w:val="00185352"/>
    <w:rsid w:val="001A29E8"/>
    <w:rsid w:val="001A318B"/>
    <w:rsid w:val="001A5709"/>
    <w:rsid w:val="001C3D8F"/>
    <w:rsid w:val="001C4D6F"/>
    <w:rsid w:val="001D03E4"/>
    <w:rsid w:val="001D1E6D"/>
    <w:rsid w:val="001D436E"/>
    <w:rsid w:val="001D7BF6"/>
    <w:rsid w:val="001E659E"/>
    <w:rsid w:val="001E71D8"/>
    <w:rsid w:val="001E7E74"/>
    <w:rsid w:val="001F2E56"/>
    <w:rsid w:val="002117BE"/>
    <w:rsid w:val="0021389C"/>
    <w:rsid w:val="0021427D"/>
    <w:rsid w:val="00217056"/>
    <w:rsid w:val="00224AC3"/>
    <w:rsid w:val="00225585"/>
    <w:rsid w:val="002275EF"/>
    <w:rsid w:val="00235751"/>
    <w:rsid w:val="0023658C"/>
    <w:rsid w:val="00236DD4"/>
    <w:rsid w:val="00247E9E"/>
    <w:rsid w:val="002556E0"/>
    <w:rsid w:val="0025787F"/>
    <w:rsid w:val="0026018F"/>
    <w:rsid w:val="002737F4"/>
    <w:rsid w:val="00273EC4"/>
    <w:rsid w:val="00277CEE"/>
    <w:rsid w:val="00290757"/>
    <w:rsid w:val="002A11C0"/>
    <w:rsid w:val="002A2DB0"/>
    <w:rsid w:val="002B00E7"/>
    <w:rsid w:val="002B58F3"/>
    <w:rsid w:val="002C7758"/>
    <w:rsid w:val="002D1012"/>
    <w:rsid w:val="002D7171"/>
    <w:rsid w:val="002E1494"/>
    <w:rsid w:val="002E2014"/>
    <w:rsid w:val="002F241D"/>
    <w:rsid w:val="00315459"/>
    <w:rsid w:val="00315B91"/>
    <w:rsid w:val="00324D36"/>
    <w:rsid w:val="00335564"/>
    <w:rsid w:val="00341D01"/>
    <w:rsid w:val="00354582"/>
    <w:rsid w:val="00356BC4"/>
    <w:rsid w:val="00363E80"/>
    <w:rsid w:val="00366381"/>
    <w:rsid w:val="00371587"/>
    <w:rsid w:val="003751F4"/>
    <w:rsid w:val="00381500"/>
    <w:rsid w:val="00382003"/>
    <w:rsid w:val="00397FA5"/>
    <w:rsid w:val="003D3550"/>
    <w:rsid w:val="003D57A4"/>
    <w:rsid w:val="003D7553"/>
    <w:rsid w:val="003E271A"/>
    <w:rsid w:val="003E59F8"/>
    <w:rsid w:val="003F0CE4"/>
    <w:rsid w:val="003F2933"/>
    <w:rsid w:val="003F57D3"/>
    <w:rsid w:val="0040138F"/>
    <w:rsid w:val="00402872"/>
    <w:rsid w:val="004042D5"/>
    <w:rsid w:val="00414535"/>
    <w:rsid w:val="00415274"/>
    <w:rsid w:val="00417837"/>
    <w:rsid w:val="004214D0"/>
    <w:rsid w:val="004250E4"/>
    <w:rsid w:val="00427BF5"/>
    <w:rsid w:val="00427CE0"/>
    <w:rsid w:val="00432E6C"/>
    <w:rsid w:val="00435933"/>
    <w:rsid w:val="004474A2"/>
    <w:rsid w:val="004577A4"/>
    <w:rsid w:val="00465531"/>
    <w:rsid w:val="004665EE"/>
    <w:rsid w:val="0047070C"/>
    <w:rsid w:val="00470F25"/>
    <w:rsid w:val="00472175"/>
    <w:rsid w:val="004758EF"/>
    <w:rsid w:val="00483370"/>
    <w:rsid w:val="00496B28"/>
    <w:rsid w:val="004A1DE5"/>
    <w:rsid w:val="004A548D"/>
    <w:rsid w:val="004B11C6"/>
    <w:rsid w:val="004B4BFB"/>
    <w:rsid w:val="004B5733"/>
    <w:rsid w:val="004B5935"/>
    <w:rsid w:val="004B79D2"/>
    <w:rsid w:val="004B7C5A"/>
    <w:rsid w:val="004D74C2"/>
    <w:rsid w:val="004E1642"/>
    <w:rsid w:val="004E4EF6"/>
    <w:rsid w:val="004E5AE5"/>
    <w:rsid w:val="004E6D0F"/>
    <w:rsid w:val="004E7BBA"/>
    <w:rsid w:val="004F00DF"/>
    <w:rsid w:val="004F476C"/>
    <w:rsid w:val="004F4C16"/>
    <w:rsid w:val="00516F70"/>
    <w:rsid w:val="00523628"/>
    <w:rsid w:val="00545DBC"/>
    <w:rsid w:val="00546D75"/>
    <w:rsid w:val="00547C1F"/>
    <w:rsid w:val="00555F30"/>
    <w:rsid w:val="00560333"/>
    <w:rsid w:val="005609F1"/>
    <w:rsid w:val="00565D30"/>
    <w:rsid w:val="005676C3"/>
    <w:rsid w:val="00571487"/>
    <w:rsid w:val="0057541A"/>
    <w:rsid w:val="0058408D"/>
    <w:rsid w:val="0059324C"/>
    <w:rsid w:val="00594FF2"/>
    <w:rsid w:val="00595E07"/>
    <w:rsid w:val="00596E54"/>
    <w:rsid w:val="005B11CF"/>
    <w:rsid w:val="005B1316"/>
    <w:rsid w:val="005C0A2E"/>
    <w:rsid w:val="005C608B"/>
    <w:rsid w:val="005D263E"/>
    <w:rsid w:val="005F6242"/>
    <w:rsid w:val="00600BEF"/>
    <w:rsid w:val="00602F9B"/>
    <w:rsid w:val="006033B5"/>
    <w:rsid w:val="00615544"/>
    <w:rsid w:val="00617F20"/>
    <w:rsid w:val="0062393E"/>
    <w:rsid w:val="006314C1"/>
    <w:rsid w:val="0063214C"/>
    <w:rsid w:val="00632774"/>
    <w:rsid w:val="006341BF"/>
    <w:rsid w:val="00637F04"/>
    <w:rsid w:val="00641CA5"/>
    <w:rsid w:val="00643306"/>
    <w:rsid w:val="006577B4"/>
    <w:rsid w:val="00664147"/>
    <w:rsid w:val="00665A83"/>
    <w:rsid w:val="00666D54"/>
    <w:rsid w:val="006720B1"/>
    <w:rsid w:val="00674751"/>
    <w:rsid w:val="00685FCB"/>
    <w:rsid w:val="0068646A"/>
    <w:rsid w:val="00687F0F"/>
    <w:rsid w:val="006949F3"/>
    <w:rsid w:val="00694E33"/>
    <w:rsid w:val="006960F2"/>
    <w:rsid w:val="006B3603"/>
    <w:rsid w:val="006B42EF"/>
    <w:rsid w:val="006B52E7"/>
    <w:rsid w:val="006B7B6B"/>
    <w:rsid w:val="006C2E5B"/>
    <w:rsid w:val="006C55B4"/>
    <w:rsid w:val="006D43FB"/>
    <w:rsid w:val="006E135B"/>
    <w:rsid w:val="006E3B27"/>
    <w:rsid w:val="006E6573"/>
    <w:rsid w:val="006F43A0"/>
    <w:rsid w:val="0070098D"/>
    <w:rsid w:val="00700EB2"/>
    <w:rsid w:val="00702979"/>
    <w:rsid w:val="00705AFB"/>
    <w:rsid w:val="007129E7"/>
    <w:rsid w:val="00721D35"/>
    <w:rsid w:val="00723531"/>
    <w:rsid w:val="0072566E"/>
    <w:rsid w:val="00726165"/>
    <w:rsid w:val="00726694"/>
    <w:rsid w:val="007318A2"/>
    <w:rsid w:val="00733A17"/>
    <w:rsid w:val="00740CEE"/>
    <w:rsid w:val="007429D0"/>
    <w:rsid w:val="007454A4"/>
    <w:rsid w:val="0075603C"/>
    <w:rsid w:val="00765E0B"/>
    <w:rsid w:val="00776AE9"/>
    <w:rsid w:val="00777FFE"/>
    <w:rsid w:val="007868E3"/>
    <w:rsid w:val="007913DA"/>
    <w:rsid w:val="007A0212"/>
    <w:rsid w:val="007A5D6B"/>
    <w:rsid w:val="007A74C2"/>
    <w:rsid w:val="007B2B3F"/>
    <w:rsid w:val="007D09B2"/>
    <w:rsid w:val="007D3AF3"/>
    <w:rsid w:val="007D6952"/>
    <w:rsid w:val="007E0BB3"/>
    <w:rsid w:val="007E6F0C"/>
    <w:rsid w:val="007F53C2"/>
    <w:rsid w:val="008027F1"/>
    <w:rsid w:val="00802B33"/>
    <w:rsid w:val="0080301B"/>
    <w:rsid w:val="00812C6C"/>
    <w:rsid w:val="00813480"/>
    <w:rsid w:val="00820883"/>
    <w:rsid w:val="008228CE"/>
    <w:rsid w:val="00823819"/>
    <w:rsid w:val="00830334"/>
    <w:rsid w:val="00834183"/>
    <w:rsid w:val="0084267D"/>
    <w:rsid w:val="008475DB"/>
    <w:rsid w:val="0085172A"/>
    <w:rsid w:val="00854883"/>
    <w:rsid w:val="008574B9"/>
    <w:rsid w:val="00864ED4"/>
    <w:rsid w:val="0086659C"/>
    <w:rsid w:val="008673BF"/>
    <w:rsid w:val="008715BC"/>
    <w:rsid w:val="0087347D"/>
    <w:rsid w:val="0087582C"/>
    <w:rsid w:val="00882AAE"/>
    <w:rsid w:val="00891E8D"/>
    <w:rsid w:val="008930CF"/>
    <w:rsid w:val="00893B88"/>
    <w:rsid w:val="008A1D49"/>
    <w:rsid w:val="008A53A8"/>
    <w:rsid w:val="008B3AFE"/>
    <w:rsid w:val="008C474E"/>
    <w:rsid w:val="008D1341"/>
    <w:rsid w:val="008D3467"/>
    <w:rsid w:val="008D4893"/>
    <w:rsid w:val="008D627F"/>
    <w:rsid w:val="008E1622"/>
    <w:rsid w:val="008F3E3C"/>
    <w:rsid w:val="008F5951"/>
    <w:rsid w:val="009004CD"/>
    <w:rsid w:val="009259E2"/>
    <w:rsid w:val="009259EA"/>
    <w:rsid w:val="00927459"/>
    <w:rsid w:val="009304D7"/>
    <w:rsid w:val="00932A4E"/>
    <w:rsid w:val="00934837"/>
    <w:rsid w:val="00934D7B"/>
    <w:rsid w:val="00940BC4"/>
    <w:rsid w:val="00941B1D"/>
    <w:rsid w:val="00941D68"/>
    <w:rsid w:val="009624B0"/>
    <w:rsid w:val="009647EB"/>
    <w:rsid w:val="009749A4"/>
    <w:rsid w:val="00980BA0"/>
    <w:rsid w:val="009827BA"/>
    <w:rsid w:val="00982B83"/>
    <w:rsid w:val="00985DD9"/>
    <w:rsid w:val="009A0487"/>
    <w:rsid w:val="009A3320"/>
    <w:rsid w:val="009B0F9B"/>
    <w:rsid w:val="009B210C"/>
    <w:rsid w:val="009B3842"/>
    <w:rsid w:val="009E2E22"/>
    <w:rsid w:val="009E2F45"/>
    <w:rsid w:val="009E5317"/>
    <w:rsid w:val="009E5E13"/>
    <w:rsid w:val="009E71DC"/>
    <w:rsid w:val="009F1A3D"/>
    <w:rsid w:val="009F5EB7"/>
    <w:rsid w:val="009F658F"/>
    <w:rsid w:val="009F77A9"/>
    <w:rsid w:val="00A02ED7"/>
    <w:rsid w:val="00A03EFA"/>
    <w:rsid w:val="00A051C3"/>
    <w:rsid w:val="00A06E71"/>
    <w:rsid w:val="00A133FF"/>
    <w:rsid w:val="00A1501E"/>
    <w:rsid w:val="00A323C3"/>
    <w:rsid w:val="00A35B07"/>
    <w:rsid w:val="00A35EDB"/>
    <w:rsid w:val="00A43580"/>
    <w:rsid w:val="00A5411C"/>
    <w:rsid w:val="00A64084"/>
    <w:rsid w:val="00A81FA3"/>
    <w:rsid w:val="00A847E7"/>
    <w:rsid w:val="00A84CC3"/>
    <w:rsid w:val="00A853B8"/>
    <w:rsid w:val="00A853CE"/>
    <w:rsid w:val="00A86767"/>
    <w:rsid w:val="00A90C67"/>
    <w:rsid w:val="00A94392"/>
    <w:rsid w:val="00A9593C"/>
    <w:rsid w:val="00AC64BC"/>
    <w:rsid w:val="00AC64DD"/>
    <w:rsid w:val="00AD2C43"/>
    <w:rsid w:val="00AD71DA"/>
    <w:rsid w:val="00AF339E"/>
    <w:rsid w:val="00AF3486"/>
    <w:rsid w:val="00AF5591"/>
    <w:rsid w:val="00AF5A90"/>
    <w:rsid w:val="00AF6D62"/>
    <w:rsid w:val="00AF7CA9"/>
    <w:rsid w:val="00B01768"/>
    <w:rsid w:val="00B03015"/>
    <w:rsid w:val="00B07754"/>
    <w:rsid w:val="00B078A5"/>
    <w:rsid w:val="00B07CD9"/>
    <w:rsid w:val="00B1015C"/>
    <w:rsid w:val="00B14EBC"/>
    <w:rsid w:val="00B16020"/>
    <w:rsid w:val="00B162FE"/>
    <w:rsid w:val="00B22FB2"/>
    <w:rsid w:val="00B25CA3"/>
    <w:rsid w:val="00B26DCA"/>
    <w:rsid w:val="00B27B40"/>
    <w:rsid w:val="00B346F6"/>
    <w:rsid w:val="00B407D1"/>
    <w:rsid w:val="00B4367B"/>
    <w:rsid w:val="00B45DB3"/>
    <w:rsid w:val="00B5491E"/>
    <w:rsid w:val="00B66264"/>
    <w:rsid w:val="00B7340E"/>
    <w:rsid w:val="00B8059B"/>
    <w:rsid w:val="00B822FD"/>
    <w:rsid w:val="00B919DD"/>
    <w:rsid w:val="00B928D6"/>
    <w:rsid w:val="00BB25D9"/>
    <w:rsid w:val="00BD2968"/>
    <w:rsid w:val="00BD3AA3"/>
    <w:rsid w:val="00BD4DFA"/>
    <w:rsid w:val="00BD5091"/>
    <w:rsid w:val="00BE1EFB"/>
    <w:rsid w:val="00BF2B42"/>
    <w:rsid w:val="00C03263"/>
    <w:rsid w:val="00C03276"/>
    <w:rsid w:val="00C17F65"/>
    <w:rsid w:val="00C24A64"/>
    <w:rsid w:val="00C274B2"/>
    <w:rsid w:val="00C470A0"/>
    <w:rsid w:val="00C5157A"/>
    <w:rsid w:val="00C54773"/>
    <w:rsid w:val="00C5544B"/>
    <w:rsid w:val="00C62D7B"/>
    <w:rsid w:val="00C6612A"/>
    <w:rsid w:val="00C66F85"/>
    <w:rsid w:val="00C73FA6"/>
    <w:rsid w:val="00C75A89"/>
    <w:rsid w:val="00C8020F"/>
    <w:rsid w:val="00C86A01"/>
    <w:rsid w:val="00C87D62"/>
    <w:rsid w:val="00C96EFC"/>
    <w:rsid w:val="00CA4524"/>
    <w:rsid w:val="00CA628B"/>
    <w:rsid w:val="00CB05E0"/>
    <w:rsid w:val="00CB1039"/>
    <w:rsid w:val="00CB722F"/>
    <w:rsid w:val="00CC0294"/>
    <w:rsid w:val="00CC05FD"/>
    <w:rsid w:val="00CC6AF3"/>
    <w:rsid w:val="00CD58CD"/>
    <w:rsid w:val="00D10F59"/>
    <w:rsid w:val="00D12BC4"/>
    <w:rsid w:val="00D13B27"/>
    <w:rsid w:val="00D20C6C"/>
    <w:rsid w:val="00D21920"/>
    <w:rsid w:val="00D33C2A"/>
    <w:rsid w:val="00D37FA3"/>
    <w:rsid w:val="00D4471A"/>
    <w:rsid w:val="00D6594C"/>
    <w:rsid w:val="00D673B3"/>
    <w:rsid w:val="00D8326C"/>
    <w:rsid w:val="00D84979"/>
    <w:rsid w:val="00D85A99"/>
    <w:rsid w:val="00D935F3"/>
    <w:rsid w:val="00D970D8"/>
    <w:rsid w:val="00D97142"/>
    <w:rsid w:val="00DA0E2F"/>
    <w:rsid w:val="00DA1C8C"/>
    <w:rsid w:val="00DA4B1D"/>
    <w:rsid w:val="00DA7820"/>
    <w:rsid w:val="00DB3177"/>
    <w:rsid w:val="00DB4530"/>
    <w:rsid w:val="00DB4A81"/>
    <w:rsid w:val="00DC0212"/>
    <w:rsid w:val="00DC0D64"/>
    <w:rsid w:val="00DC75D5"/>
    <w:rsid w:val="00DD06D2"/>
    <w:rsid w:val="00DD1A30"/>
    <w:rsid w:val="00DE3BAF"/>
    <w:rsid w:val="00DE766A"/>
    <w:rsid w:val="00E0131E"/>
    <w:rsid w:val="00E01437"/>
    <w:rsid w:val="00E122A0"/>
    <w:rsid w:val="00E17958"/>
    <w:rsid w:val="00E34044"/>
    <w:rsid w:val="00E44553"/>
    <w:rsid w:val="00E62407"/>
    <w:rsid w:val="00E650E3"/>
    <w:rsid w:val="00E66AF1"/>
    <w:rsid w:val="00E70AE3"/>
    <w:rsid w:val="00E71519"/>
    <w:rsid w:val="00E7517F"/>
    <w:rsid w:val="00E774F4"/>
    <w:rsid w:val="00E821B5"/>
    <w:rsid w:val="00E82914"/>
    <w:rsid w:val="00E8355D"/>
    <w:rsid w:val="00E87B16"/>
    <w:rsid w:val="00E9198F"/>
    <w:rsid w:val="00E96429"/>
    <w:rsid w:val="00EA4675"/>
    <w:rsid w:val="00EB3540"/>
    <w:rsid w:val="00EB5D53"/>
    <w:rsid w:val="00ED0E19"/>
    <w:rsid w:val="00ED7E66"/>
    <w:rsid w:val="00EE0F4A"/>
    <w:rsid w:val="00EE49AF"/>
    <w:rsid w:val="00EE6075"/>
    <w:rsid w:val="00EE7B64"/>
    <w:rsid w:val="00EF5F70"/>
    <w:rsid w:val="00EF6176"/>
    <w:rsid w:val="00F004C5"/>
    <w:rsid w:val="00F026FD"/>
    <w:rsid w:val="00F04685"/>
    <w:rsid w:val="00F05B82"/>
    <w:rsid w:val="00F13AD1"/>
    <w:rsid w:val="00F317EC"/>
    <w:rsid w:val="00F34E5C"/>
    <w:rsid w:val="00F35A9C"/>
    <w:rsid w:val="00F37C0F"/>
    <w:rsid w:val="00F50E39"/>
    <w:rsid w:val="00F52823"/>
    <w:rsid w:val="00F60D6F"/>
    <w:rsid w:val="00F632D8"/>
    <w:rsid w:val="00F66FF9"/>
    <w:rsid w:val="00F748A2"/>
    <w:rsid w:val="00F769B8"/>
    <w:rsid w:val="00F80607"/>
    <w:rsid w:val="00F84EA1"/>
    <w:rsid w:val="00F965F2"/>
    <w:rsid w:val="00FA1408"/>
    <w:rsid w:val="00FA366D"/>
    <w:rsid w:val="00FA522C"/>
    <w:rsid w:val="00FA5EFE"/>
    <w:rsid w:val="00FC031F"/>
    <w:rsid w:val="00FC5A9A"/>
    <w:rsid w:val="00FD4407"/>
    <w:rsid w:val="00FE1DF2"/>
    <w:rsid w:val="00FE3E8B"/>
    <w:rsid w:val="00FF470D"/>
    <w:rsid w:val="00FF63B4"/>
    <w:rsid w:val="338B4B70"/>
  </w:rsids>
  <w:docVars>
    <w:docVar w:name="commondata" w:val="eyJoZGlkIjoiNzgyYjI0MGRkMmY4NDE0YjgxYzdjMzBiNDQ0OTk1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99" w:defSemiHidden="1" w:defUnhideWhenUsed="1" w:defQFormat="0" w:count="260">
    <w:lsdException w:name="Normal" w:semiHidden="0" w:uiPriority="0" w:unhideWhenUsed="0"/>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lsdException w:name="toc 3" w:semiHidden="0" w:uiPriority="39"/>
    <w:lsdException w:name="toc 4" w:semiHidden="0" w:uiPriority="39" w:qFormat="1"/>
    <w:lsdException w:name="toc 5" w:semiHidden="0" w:uiPriority="39"/>
    <w:lsdException w:name="toc 6" w:semiHidden="0" w:uiPriority="39" w:qFormat="1"/>
    <w:lsdException w:name="toc 7" w:semiHidden="0" w:uiPriority="39"/>
    <w:lsdException w:name="toc 8" w:semiHidden="0" w:uiPriority="39" w:qFormat="1"/>
    <w:lsdException w:name="toc 9" w:semiHidden="0" w:uiPriority="39"/>
    <w:lsdException w:name="Normal Indent"/>
    <w:lsdException w:name="footnote text"/>
    <w:lsdException w:name="annotation text" w:semiHidden="0"/>
    <w:lsdException w:name="header" w:semiHidden="0"/>
    <w:lsdException w:name="footer" w:semiHidden="0" w:unhideWhenUsed="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unhideWhenUsed="0"/>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nhideWhenUsed="0"/>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pPr>
      <w:pBdr>
        <w:top w:val="none" w:sz="0" w:space="0" w:color="auto"/>
        <w:left w:val="none" w:sz="0" w:space="0" w:color="auto"/>
        <w:bottom w:val="none" w:sz="0" w:space="0" w:color="auto"/>
        <w:right w:val="none" w:sz="0" w:space="0" w:color="auto"/>
        <w:between w:val="none" w:sz="0" w:space="0" w:color="auto"/>
      </w:pBdr>
    </w:pPr>
    <w:rPr>
      <w:rFonts w:ascii="Times New Roman" w:eastAsia="Arial Unicode MS" w:hAnsi="Times New Roman" w:cs="Arial Unicode MS"/>
      <w:color w:val="000000"/>
      <w:sz w:val="24"/>
      <w:szCs w:val="24"/>
      <w:u w:color="000000"/>
      <w:lang w:val="en-US" w:eastAsia="zh-CN" w:bidi="ar-SA"/>
    </w:rPr>
  </w:style>
  <w:style w:type="paragraph" w:styleId="Heading1">
    <w:name w:val="heading 1"/>
    <w:basedOn w:val="Normal"/>
    <w:next w:val="Normal"/>
    <w:link w:val="1Char"/>
    <w:uiPriority w:val="9"/>
    <w:qFormat/>
    <w:pPr>
      <w:keepNext/>
      <w:keepLines/>
      <w:widowControl w:val="0"/>
      <w:pBdr>
        <w:top w:val="none" w:sz="0" w:space="0" w:color="auto"/>
        <w:left w:val="none" w:sz="0" w:space="0" w:color="auto"/>
        <w:bottom w:val="none" w:sz="0" w:space="0" w:color="auto"/>
        <w:right w:val="none" w:sz="0" w:space="0" w:color="auto"/>
        <w:between w:val="none" w:sz="0" w:space="0" w:color="auto"/>
      </w:pBdr>
      <w:spacing w:line="360" w:lineRule="auto"/>
      <w:jc w:val="both"/>
      <w:outlineLvl w:val="0"/>
    </w:pPr>
    <w:rPr>
      <w:rFonts w:eastAsiaTheme="minorEastAsia" w:cs="Times New Roman"/>
      <w:b/>
      <w:bCs/>
      <w:color w:val="auto"/>
      <w:spacing w:val="8"/>
      <w:kern w:val="44"/>
      <w:sz w:val="28"/>
      <w:szCs w:val="32"/>
    </w:rPr>
  </w:style>
  <w:style w:type="paragraph" w:styleId="Heading3">
    <w:name w:val="heading 3"/>
    <w:basedOn w:val="Normal"/>
    <w:next w:val="Normal"/>
    <w:link w:val="3Char"/>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TOC7">
    <w:name w:val="toc 7"/>
    <w:basedOn w:val="Normal"/>
    <w:next w:val="Normal"/>
    <w:autoRedefine/>
    <w:uiPriority w:val="39"/>
    <w:unhideWhenUsed/>
    <w:pPr>
      <w:ind w:left="1440"/>
    </w:pPr>
    <w:rPr>
      <w:rFonts w:asciiTheme="minorHAnsi" w:hAnsiTheme="minorHAnsi"/>
      <w:sz w:val="18"/>
      <w:szCs w:val="18"/>
    </w:rPr>
  </w:style>
  <w:style w:type="paragraph" w:styleId="CommentText">
    <w:name w:val="annotation text"/>
    <w:basedOn w:val="Normal"/>
    <w:link w:val="Char"/>
    <w:autoRedefine/>
    <w:uiPriority w:val="99"/>
    <w:unhideWhenUsed/>
  </w:style>
  <w:style w:type="paragraph" w:styleId="BodyText">
    <w:name w:val="Body Text"/>
    <w:basedOn w:val="Normal"/>
    <w:link w:val="Char3"/>
    <w:autoRedefine/>
    <w:uiPriority w:val="99"/>
    <w:pPr>
      <w:widowControl w:val="0"/>
      <w:pBdr>
        <w:top w:val="none" w:sz="0" w:space="0" w:color="auto"/>
        <w:left w:val="none" w:sz="0" w:space="0" w:color="auto"/>
        <w:bottom w:val="none" w:sz="0" w:space="0" w:color="auto"/>
        <w:right w:val="none" w:sz="0" w:space="0" w:color="auto"/>
        <w:between w:val="none" w:sz="0" w:space="0" w:color="auto"/>
      </w:pBdr>
      <w:spacing w:after="120"/>
      <w:jc w:val="both"/>
    </w:pPr>
    <w:rPr>
      <w:rFonts w:ascii="Calibri" w:eastAsia="宋体" w:hAnsi="Calibri" w:cs="Times New Roman"/>
      <w:color w:val="auto"/>
      <w:kern w:val="2"/>
      <w:sz w:val="21"/>
      <w:szCs w:val="21"/>
    </w:rPr>
  </w:style>
  <w:style w:type="paragraph" w:styleId="TOC5">
    <w:name w:val="toc 5"/>
    <w:basedOn w:val="Normal"/>
    <w:next w:val="Normal"/>
    <w:autoRedefine/>
    <w:uiPriority w:val="39"/>
    <w:unhideWhenUsed/>
    <w:pPr>
      <w:ind w:left="960"/>
    </w:pPr>
    <w:rPr>
      <w:rFonts w:asciiTheme="minorHAnsi" w:hAnsiTheme="minorHAnsi"/>
      <w:sz w:val="18"/>
      <w:szCs w:val="18"/>
    </w:rPr>
  </w:style>
  <w:style w:type="paragraph" w:styleId="TOC3">
    <w:name w:val="toc 3"/>
    <w:basedOn w:val="Normal"/>
    <w:next w:val="Normal"/>
    <w:autoRedefine/>
    <w:uiPriority w:val="39"/>
    <w:unhideWhenUsed/>
    <w:pPr>
      <w:ind w:left="480"/>
    </w:pPr>
    <w:rPr>
      <w:rFonts w:asciiTheme="minorHAnsi" w:hAnsiTheme="minorHAnsi"/>
      <w:i/>
      <w:iCs/>
      <w:sz w:val="20"/>
      <w:szCs w:val="20"/>
    </w:rPr>
  </w:style>
  <w:style w:type="paragraph" w:styleId="TOC8">
    <w:name w:val="toc 8"/>
    <w:basedOn w:val="Normal"/>
    <w:next w:val="Normal"/>
    <w:autoRedefine/>
    <w:uiPriority w:val="39"/>
    <w:unhideWhenUsed/>
    <w:qFormat/>
    <w:pPr>
      <w:ind w:left="1680"/>
    </w:pPr>
    <w:rPr>
      <w:rFonts w:asciiTheme="minorHAnsi" w:hAnsiTheme="minorHAnsi"/>
      <w:sz w:val="18"/>
      <w:szCs w:val="18"/>
    </w:rPr>
  </w:style>
  <w:style w:type="paragraph" w:styleId="BalloonText">
    <w:name w:val="Balloon Text"/>
    <w:basedOn w:val="Normal"/>
    <w:link w:val="Char1"/>
    <w:uiPriority w:val="99"/>
    <w:semiHidden/>
    <w:unhideWhenUsed/>
    <w:qFormat/>
    <w:rPr>
      <w:sz w:val="18"/>
      <w:szCs w:val="18"/>
    </w:rPr>
  </w:style>
  <w:style w:type="paragraph" w:styleId="Footer">
    <w:name w:val="footer"/>
    <w:link w:val="Char4"/>
    <w:uiPriority w:val="99"/>
    <w:pPr>
      <w:pBdr>
        <w:top w:val="none" w:sz="0" w:space="0" w:color="auto"/>
        <w:left w:val="none" w:sz="0" w:space="0" w:color="auto"/>
        <w:bottom w:val="none" w:sz="0" w:space="0" w:color="auto"/>
        <w:right w:val="none" w:sz="0" w:space="0" w:color="auto"/>
        <w:between w:val="none" w:sz="0" w:space="0" w:color="auto"/>
      </w:pBdr>
      <w:tabs>
        <w:tab w:val="center" w:pos="4153"/>
        <w:tab w:val="right" w:pos="8306"/>
      </w:tabs>
    </w:pPr>
    <w:rPr>
      <w:rFonts w:ascii="Times New Roman" w:eastAsia="Arial Unicode MS" w:hAnsi="Times New Roman" w:cs="Arial Unicode MS"/>
      <w:color w:val="000000"/>
      <w:sz w:val="18"/>
      <w:szCs w:val="18"/>
      <w:u w:color="000000"/>
      <w:lang w:val="en-US" w:eastAsia="zh-CN" w:bidi="ar-SA"/>
    </w:rPr>
  </w:style>
  <w:style w:type="paragraph" w:styleId="Header">
    <w:name w:val="header"/>
    <w:basedOn w:val="Normal"/>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spacing w:before="120" w:after="120"/>
    </w:pPr>
    <w:rPr>
      <w:rFonts w:asciiTheme="minorHAnsi" w:hAnsiTheme="minorHAnsi"/>
      <w:b/>
      <w:bCs/>
      <w:caps/>
      <w:sz w:val="20"/>
      <w:szCs w:val="20"/>
    </w:rPr>
  </w:style>
  <w:style w:type="paragraph" w:styleId="TOC4">
    <w:name w:val="toc 4"/>
    <w:basedOn w:val="Normal"/>
    <w:next w:val="Normal"/>
    <w:autoRedefine/>
    <w:uiPriority w:val="39"/>
    <w:unhideWhenUsed/>
    <w:qFormat/>
    <w:pPr>
      <w:ind w:left="720"/>
    </w:pPr>
    <w:rPr>
      <w:rFonts w:asciiTheme="minorHAnsi" w:hAnsiTheme="minorHAnsi"/>
      <w:sz w:val="18"/>
      <w:szCs w:val="18"/>
    </w:rPr>
  </w:style>
  <w:style w:type="paragraph" w:styleId="TOC6">
    <w:name w:val="toc 6"/>
    <w:basedOn w:val="Normal"/>
    <w:next w:val="Normal"/>
    <w:autoRedefine/>
    <w:uiPriority w:val="39"/>
    <w:unhideWhenUsed/>
    <w:qFormat/>
    <w:pPr>
      <w:ind w:left="1200"/>
    </w:pPr>
    <w:rPr>
      <w:rFonts w:asciiTheme="minorHAnsi" w:hAnsiTheme="minorHAnsi"/>
      <w:sz w:val="18"/>
      <w:szCs w:val="18"/>
    </w:rPr>
  </w:style>
  <w:style w:type="paragraph" w:styleId="TOC2">
    <w:name w:val="toc 2"/>
    <w:basedOn w:val="Normal"/>
    <w:next w:val="Normal"/>
    <w:autoRedefine/>
    <w:uiPriority w:val="39"/>
    <w:unhideWhenUsed/>
    <w:pPr>
      <w:ind w:left="240"/>
    </w:pPr>
    <w:rPr>
      <w:rFonts w:asciiTheme="minorHAnsi" w:hAnsiTheme="minorHAnsi"/>
      <w:smallCaps/>
      <w:sz w:val="20"/>
      <w:szCs w:val="20"/>
    </w:rPr>
  </w:style>
  <w:style w:type="paragraph" w:styleId="TOC9">
    <w:name w:val="toc 9"/>
    <w:basedOn w:val="Normal"/>
    <w:next w:val="Normal"/>
    <w:autoRedefine/>
    <w:uiPriority w:val="39"/>
    <w:unhideWhenUsed/>
    <w:pPr>
      <w:ind w:left="1920"/>
    </w:pPr>
    <w:rPr>
      <w:rFonts w:asciiTheme="minorHAnsi" w:hAnsiTheme="minorHAnsi"/>
      <w:sz w:val="18"/>
      <w:szCs w:val="18"/>
    </w:rPr>
  </w:style>
  <w:style w:type="paragraph" w:styleId="NormalWeb">
    <w:name w:val="Normal (Web)"/>
    <w:basedOn w:val="Normal"/>
    <w:uiPriority w:val="99"/>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pPr>
    <w:rPr>
      <w:rFonts w:ascii="宋体" w:eastAsia="宋体" w:hAnsi="宋体" w:cs="宋体"/>
      <w:color w:val="auto"/>
    </w:rPr>
  </w:style>
  <w:style w:type="paragraph" w:styleId="CommentSubject">
    <w:name w:val="annotation subject"/>
    <w:basedOn w:val="CommentText"/>
    <w:next w:val="CommentText"/>
    <w:link w:val="Char0"/>
    <w:uiPriority w:val="99"/>
    <w:semiHidden/>
    <w:unhideWhenUsed/>
    <w:rPr>
      <w:b/>
      <w:bCs/>
    </w:rPr>
  </w:style>
  <w:style w:type="table" w:styleId="TableGrid">
    <w:name w:val="Table Grid"/>
    <w:basedOn w:val="TableNormal"/>
    <w:autoRedefine/>
    <w:uiPriority w:val="59"/>
    <w:pPr>
      <w:pBdr>
        <w:top w:val="none" w:sz="0" w:space="0" w:color="auto"/>
        <w:left w:val="none" w:sz="0" w:space="0" w:color="auto"/>
        <w:bottom w:val="none" w:sz="0" w:space="0" w:color="auto"/>
        <w:right w:val="none" w:sz="0" w:space="0" w:color="auto"/>
        <w:between w:val="none" w:sz="0" w:space="0" w:color="auto"/>
      </w:pBdr>
    </w:pPr>
    <w:rPr>
      <w:rFonts w:asciiTheme="minorHAnsi"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rPr>
      <w:u w:val="single"/>
    </w:rPr>
  </w:style>
  <w:style w:type="character" w:styleId="CommentReference">
    <w:name w:val="annotation reference"/>
    <w:basedOn w:val="DefaultParagraphFont"/>
    <w:uiPriority w:val="99"/>
    <w:semiHidden/>
    <w:unhideWhenUsed/>
    <w:rPr>
      <w:sz w:val="21"/>
      <w:szCs w:val="21"/>
    </w:rPr>
  </w:style>
  <w:style w:type="table" w:customStyle="1" w:styleId="TableNormal0">
    <w:name w:val="Table Normal_0"/>
    <w:tblPr>
      <w:tblCellMar>
        <w:top w:w="0" w:type="dxa"/>
        <w:left w:w="0" w:type="dxa"/>
        <w:bottom w:w="0" w:type="dxa"/>
        <w:right w:w="0" w:type="dxa"/>
      </w:tblCellMar>
    </w:tblPr>
  </w:style>
  <w:style w:type="paragraph" w:customStyle="1" w:styleId="a">
    <w:name w:val="页眉与页脚"/>
    <w:autoRedefine/>
    <w:qFormat/>
    <w:pPr>
      <w:pBdr>
        <w:top w:val="none" w:sz="0" w:space="0" w:color="auto"/>
        <w:left w:val="none" w:sz="0" w:space="0" w:color="auto"/>
        <w:bottom w:val="none" w:sz="0" w:space="0" w:color="auto"/>
        <w:right w:val="none" w:sz="0" w:space="0" w:color="auto"/>
        <w:between w:val="none" w:sz="0" w:space="0" w:color="auto"/>
      </w:pBdr>
      <w:tabs>
        <w:tab w:val="right" w:pos="9020"/>
      </w:tabs>
    </w:pPr>
    <w:rPr>
      <w:rFonts w:ascii="Helvetica Neue" w:eastAsia="Arial Unicode MS" w:hAnsi="Helvetica Neue" w:cs="Arial Unicode MS"/>
      <w:color w:val="000000"/>
      <w:sz w:val="24"/>
      <w:szCs w:val="24"/>
      <w:lang w:val="en-US" w:eastAsia="zh-CN" w:bidi="ar-SA"/>
    </w:rPr>
  </w:style>
  <w:style w:type="paragraph" w:customStyle="1" w:styleId="a0">
    <w:name w:val="自由格式"/>
    <w:autoRedefine/>
    <w:qFormat/>
    <w:pPr>
      <w:pBdr>
        <w:top w:val="none" w:sz="0" w:space="0" w:color="auto"/>
        <w:left w:val="none" w:sz="0" w:space="0" w:color="auto"/>
        <w:bottom w:val="none" w:sz="0" w:space="0" w:color="auto"/>
        <w:right w:val="none" w:sz="0" w:space="0" w:color="auto"/>
        <w:between w:val="none" w:sz="0" w:space="0" w:color="auto"/>
      </w:pBdr>
      <w:spacing w:line="360" w:lineRule="auto"/>
      <w:ind w:firstLine="540"/>
    </w:pPr>
    <w:rPr>
      <w:rFonts w:ascii="Times New Roman" w:eastAsia="Arial Unicode MS" w:hAnsi="Times New Roman" w:cs="Arial Unicode MS"/>
      <w:color w:val="000000"/>
      <w:sz w:val="24"/>
      <w:szCs w:val="24"/>
      <w:u w:color="000000"/>
      <w:lang w:val="en-US" w:eastAsia="zh-CN" w:bidi="ar-SA"/>
    </w:rPr>
  </w:style>
  <w:style w:type="character" w:customStyle="1" w:styleId="Char">
    <w:name w:val="批注文字 Char"/>
    <w:basedOn w:val="DefaultParagraphFont"/>
    <w:link w:val="CommentText"/>
    <w:uiPriority w:val="99"/>
    <w:rPr>
      <w:rFonts w:eastAsia="Arial Unicode MS" w:cs="Arial Unicode MS"/>
      <w:color w:val="000000"/>
      <w:sz w:val="24"/>
      <w:szCs w:val="24"/>
      <w:u w:color="000000"/>
    </w:rPr>
  </w:style>
  <w:style w:type="character" w:customStyle="1" w:styleId="Char0">
    <w:name w:val="批注主题 Char"/>
    <w:basedOn w:val="Char"/>
    <w:link w:val="CommentSubject"/>
    <w:uiPriority w:val="99"/>
    <w:semiHidden/>
    <w:qFormat/>
    <w:rPr>
      <w:rFonts w:eastAsia="Arial Unicode MS" w:cs="Arial Unicode MS"/>
      <w:b/>
      <w:bCs/>
      <w:color w:val="000000"/>
      <w:sz w:val="24"/>
      <w:szCs w:val="24"/>
      <w:u w:color="000000"/>
    </w:rPr>
  </w:style>
  <w:style w:type="character" w:customStyle="1" w:styleId="Char1">
    <w:name w:val="批注框文本 Char"/>
    <w:basedOn w:val="DefaultParagraphFont"/>
    <w:link w:val="BalloonText"/>
    <w:uiPriority w:val="99"/>
    <w:semiHidden/>
    <w:rPr>
      <w:rFonts w:eastAsia="Arial Unicode MS" w:cs="Arial Unicode MS"/>
      <w:color w:val="000000"/>
      <w:sz w:val="18"/>
      <w:szCs w:val="18"/>
      <w:u w:color="000000"/>
    </w:rPr>
  </w:style>
  <w:style w:type="character" w:customStyle="1" w:styleId="Char2">
    <w:name w:val="页眉 Char"/>
    <w:basedOn w:val="DefaultParagraphFont"/>
    <w:link w:val="Header"/>
    <w:uiPriority w:val="99"/>
    <w:qFormat/>
    <w:rPr>
      <w:rFonts w:eastAsia="Arial Unicode MS" w:cs="Arial Unicode MS"/>
      <w:color w:val="000000"/>
      <w:sz w:val="18"/>
      <w:szCs w:val="18"/>
      <w:u w:color="000000"/>
    </w:rPr>
  </w:style>
  <w:style w:type="character" w:customStyle="1" w:styleId="1Char">
    <w:name w:val="标题 1 Char"/>
    <w:basedOn w:val="DefaultParagraphFont"/>
    <w:link w:val="Heading1"/>
    <w:uiPriority w:val="9"/>
    <w:qFormat/>
    <w:rPr>
      <w:b/>
      <w:bCs/>
      <w:spacing w:val="8"/>
      <w:kern w:val="44"/>
      <w:sz w:val="28"/>
      <w:szCs w:val="32"/>
      <w:u w:color="000000"/>
    </w:rPr>
  </w:style>
  <w:style w:type="character" w:customStyle="1" w:styleId="fontstyle01">
    <w:name w:val="fontstyle01"/>
    <w:basedOn w:val="DefaultParagraphFont"/>
    <w:autoRedefine/>
    <w:rPr>
      <w:rFonts w:ascii="FZSSK--GBK1-0" w:hAnsi="FZSSK--GBK1-0" w:hint="default"/>
      <w:color w:val="242021"/>
      <w:sz w:val="22"/>
      <w:szCs w:val="22"/>
    </w:rPr>
  </w:style>
  <w:style w:type="character" w:customStyle="1" w:styleId="fontstyle21">
    <w:name w:val="fontstyle21"/>
    <w:basedOn w:val="DefaultParagraphFont"/>
    <w:rPr>
      <w:rFonts w:ascii="TimesNewRomanPSMT" w:hAnsi="TimesNewRomanPSMT" w:hint="default"/>
      <w:color w:val="242021"/>
      <w:sz w:val="22"/>
      <w:szCs w:val="22"/>
    </w:rPr>
  </w:style>
  <w:style w:type="character" w:customStyle="1" w:styleId="fontstyle31">
    <w:name w:val="fontstyle31"/>
    <w:basedOn w:val="DefaultParagraphFont"/>
    <w:qFormat/>
    <w:rPr>
      <w:rFonts w:ascii="TimesNewRomanPS-ItalicMT" w:hAnsi="TimesNewRomanPS-ItalicMT" w:hint="default"/>
      <w:i/>
      <w:iCs/>
      <w:color w:val="242021"/>
      <w:sz w:val="22"/>
      <w:szCs w:val="22"/>
    </w:rPr>
  </w:style>
  <w:style w:type="character" w:customStyle="1" w:styleId="Char3">
    <w:name w:val="正文文本 Char"/>
    <w:basedOn w:val="DefaultParagraphFont"/>
    <w:link w:val="BodyText"/>
    <w:uiPriority w:val="99"/>
    <w:rPr>
      <w:rFonts w:ascii="Calibri" w:eastAsia="宋体" w:hAnsi="Calibri"/>
      <w:kern w:val="2"/>
      <w:sz w:val="21"/>
      <w:szCs w:val="21"/>
      <w:u w:color="000000"/>
    </w:rPr>
  </w:style>
  <w:style w:type="paragraph" w:styleId="ListParagraph">
    <w:name w:val="List Paragraph"/>
    <w:basedOn w:val="Normal"/>
    <w:qFormat/>
    <w:pPr>
      <w:widowControl w:val="0"/>
      <w:pBdr>
        <w:top w:val="none" w:sz="0" w:space="0" w:color="auto"/>
        <w:left w:val="none" w:sz="0" w:space="0" w:color="auto"/>
        <w:bottom w:val="none" w:sz="0" w:space="0" w:color="auto"/>
        <w:right w:val="none" w:sz="0" w:space="0" w:color="auto"/>
        <w:between w:val="none" w:sz="0" w:space="0" w:color="auto"/>
      </w:pBdr>
      <w:ind w:firstLine="420" w:firstLineChars="200"/>
      <w:jc w:val="both"/>
    </w:pPr>
    <w:rPr>
      <w:rFonts w:asciiTheme="minorHAnsi" w:eastAsiaTheme="minorEastAsia" w:hAnsiTheme="minorHAnsi" w:cstheme="minorBidi"/>
      <w:color w:val="auto"/>
      <w:kern w:val="2"/>
      <w:sz w:val="21"/>
      <w:szCs w:val="22"/>
    </w:rPr>
  </w:style>
  <w:style w:type="character" w:customStyle="1" w:styleId="3Char">
    <w:name w:val="标题 3 Char"/>
    <w:basedOn w:val="DefaultParagraphFont"/>
    <w:link w:val="Heading3"/>
    <w:uiPriority w:val="9"/>
    <w:rPr>
      <w:rFonts w:eastAsia="Arial Unicode MS" w:cs="Arial Unicode MS"/>
      <w:b/>
      <w:bCs/>
      <w:color w:val="000000"/>
      <w:sz w:val="32"/>
      <w:szCs w:val="32"/>
      <w:u w:color="000000"/>
    </w:rPr>
  </w:style>
  <w:style w:type="character" w:customStyle="1" w:styleId="Char4">
    <w:name w:val="页脚 Char"/>
    <w:basedOn w:val="DefaultParagraphFont"/>
    <w:link w:val="Footer"/>
    <w:autoRedefine/>
    <w:uiPriority w:val="99"/>
    <w:rPr>
      <w:rFonts w:eastAsia="Arial Unicode MS" w:cs="Arial Unicode MS"/>
      <w:color w:val="000000"/>
      <w:sz w:val="18"/>
      <w:szCs w:val="18"/>
      <w:u w:color="000000"/>
    </w:rPr>
  </w:style>
  <w:style w:type="paragraph" w:customStyle="1" w:styleId="TOCHeading">
    <w:name w:val="TOC Heading"/>
    <w:basedOn w:val="Heading1"/>
    <w:next w:val="Normal"/>
    <w:autoRedefine/>
    <w:uiPriority w:val="39"/>
    <w:semiHidden/>
    <w:unhideWhenUsed/>
    <w:qFormat/>
    <w:pPr>
      <w:widowControl/>
      <w:spacing w:before="480" w:line="276" w:lineRule="auto"/>
      <w:jc w:val="left"/>
      <w:outlineLvl w:val="9"/>
    </w:pPr>
    <w:rPr>
      <w:rFonts w:asciiTheme="majorHAnsi" w:eastAsiaTheme="majorEastAsia" w:hAnsiTheme="majorHAnsi" w:cstheme="majorBidi"/>
      <w:color w:val="698BAE" w:themeColor="accent1" w:themeShade="BF"/>
      <w:spacing w:val="0"/>
      <w:kern w:val="0"/>
      <w:szCs w:val="28"/>
    </w:rPr>
  </w:style>
  <w:style w:type="paragraph" w:customStyle="1" w:styleId="06">
    <w:name w:val="样式06：术语和条的编号"/>
    <w:basedOn w:val="Normal"/>
    <w:link w:val="06Char"/>
    <w:uiPriority w:val="99"/>
    <w:qFormat/>
    <w:pPr>
      <w:widowControl w:val="0"/>
      <w:pBdr>
        <w:top w:val="none" w:sz="0" w:space="0" w:color="auto"/>
        <w:left w:val="none" w:sz="0" w:space="0" w:color="auto"/>
        <w:bottom w:val="none" w:sz="0" w:space="0" w:color="auto"/>
        <w:right w:val="none" w:sz="0" w:space="0" w:color="auto"/>
        <w:between w:val="none" w:sz="0" w:space="0" w:color="auto"/>
      </w:pBdr>
      <w:spacing w:line="360" w:lineRule="auto"/>
      <w:jc w:val="both"/>
    </w:pPr>
    <w:rPr>
      <w:rFonts w:ascii="黑体" w:eastAsia="黑体" w:hAnsi="宋体" w:cs="Times New Roman"/>
      <w:color w:val="auto"/>
      <w:kern w:val="2"/>
      <w:sz w:val="21"/>
      <w:szCs w:val="21"/>
    </w:rPr>
  </w:style>
  <w:style w:type="character" w:customStyle="1" w:styleId="06Char">
    <w:name w:val="样式06：术语和条的编号 Char"/>
    <w:link w:val="06"/>
    <w:autoRedefine/>
    <w:uiPriority w:val="99"/>
    <w:qFormat/>
    <w:locked/>
    <w:rPr>
      <w:rFonts w:ascii="黑体" w:eastAsia="黑体" w:hAnsi="宋体"/>
      <w:kern w:val="2"/>
      <w:sz w:val="21"/>
      <w:szCs w:val="21"/>
    </w:rPr>
  </w:style>
  <w:style w:type="paragraph" w:customStyle="1" w:styleId="Revision">
    <w:name w:val="Revision"/>
    <w:autoRedefine/>
    <w:hidden/>
    <w:uiPriority w:val="99"/>
    <w:semiHidden/>
    <w:pPr>
      <w:pBdr>
        <w:top w:val="none" w:sz="0" w:space="0" w:color="auto"/>
        <w:left w:val="none" w:sz="0" w:space="0" w:color="auto"/>
        <w:bottom w:val="none" w:sz="0" w:space="0" w:color="auto"/>
        <w:right w:val="none" w:sz="0" w:space="0" w:color="auto"/>
        <w:between w:val="none" w:sz="0" w:space="0" w:color="auto"/>
      </w:pBdr>
    </w:pPr>
    <w:rPr>
      <w:rFonts w:ascii="Times New Roman" w:eastAsia="Arial Unicode MS" w:hAnsi="Times New Roman" w:cs="Arial Unicode MS"/>
      <w:color w:val="000000"/>
      <w:sz w:val="24"/>
      <w:szCs w:val="24"/>
      <w:u w:color="000000"/>
      <w:lang w:val="en-US" w:eastAsia="zh-CN" w:bidi="ar-SA"/>
    </w:rPr>
  </w:style>
  <w:style w:type="paragraph" w:customStyle="1" w:styleId="A1">
    <w:name w:val="正文 A"/>
    <w:autoRedefine/>
    <w:pPr>
      <w:widowControl w:val="0"/>
      <w:pBdr>
        <w:top w:val="none" w:sz="0" w:space="0" w:color="auto"/>
        <w:left w:val="none" w:sz="0" w:space="0" w:color="auto"/>
        <w:bottom w:val="none" w:sz="0" w:space="0" w:color="auto"/>
        <w:right w:val="none" w:sz="0" w:space="0" w:color="auto"/>
        <w:between w:val="none" w:sz="0" w:space="0" w:color="auto"/>
      </w:pBdr>
      <w:jc w:val="both"/>
    </w:pPr>
    <w:rPr>
      <w:rFonts w:ascii="Calibri" w:eastAsia="Calibri" w:hAnsi="Calibri" w:cs="Calibri"/>
      <w:color w:val="000000"/>
      <w:kern w:val="2"/>
      <w:sz w:val="21"/>
      <w:szCs w:val="21"/>
      <w:u w:color="000000"/>
      <w:lang w:val="en-US" w:eastAsia="zh-CN" w:bidi="ar-SA"/>
    </w:rPr>
  </w:style>
  <w:style w:type="paragraph" w:customStyle="1" w:styleId="a2">
    <w:name w:val="段"/>
    <w:pPr>
      <w:widowControl w:val="0"/>
      <w:pBdr>
        <w:top w:val="none" w:sz="0" w:space="0" w:color="auto"/>
        <w:left w:val="none" w:sz="0" w:space="0" w:color="auto"/>
        <w:bottom w:val="none" w:sz="0" w:space="0" w:color="auto"/>
        <w:right w:val="none" w:sz="0" w:space="0" w:color="auto"/>
        <w:between w:val="none" w:sz="0" w:space="0" w:color="auto"/>
      </w:pBdr>
      <w:ind w:firstLine="200"/>
      <w:jc w:val="both"/>
    </w:pPr>
    <w:rPr>
      <w:rFonts w:ascii="宋体" w:eastAsia="宋体" w:hAnsi="宋体" w:cs="宋体"/>
      <w:color w:val="000000"/>
      <w:sz w:val="21"/>
      <w:szCs w:val="21"/>
      <w:u w:color="000000"/>
      <w:lang w:val="en-US" w:eastAsia="zh-CN" w:bidi="ar-SA"/>
    </w:rPr>
  </w:style>
  <w:style w:type="table" w:customStyle="1" w:styleId="TableGrid0">
    <w:name w:val="Table Grid_0"/>
    <w:basedOn w:val="TableNormal"/>
    <w:autoRedefine/>
    <w:uiPriority w:val="59"/>
    <w:rPr>
      <w:rFonts w:asciiTheme="minorHAnsi"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autoRedefine/>
    <w:uiPriority w:val="59"/>
    <w:rPr>
      <w:rFonts w:asciiTheme="minorHAnsi"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autoRedefine/>
    <w:uiPriority w:val="59"/>
    <w:rPr>
      <w:rFonts w:asciiTheme="minorHAnsi"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autoRedefine/>
    <w:uiPriority w:val="59"/>
    <w:rPr>
      <w:rFonts w:asciiTheme="minorHAnsi"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hyperlink" Target="https://d.book118.com/948030126140006023" TargetMode="External" /><Relationship Id="rId18" Type="http://schemas.openxmlformats.org/officeDocument/2006/relationships/footer" Target="footer12.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04_Essay">
  <a:themeElements>
    <a:clrScheme name="04_Essay">
      <a:dk1>
        <a:srgbClr val="000000"/>
      </a:dk1>
      <a:lt1>
        <a:srgbClr val="FFFFFF"/>
      </a:lt1>
      <a:dk2>
        <a:srgbClr val="A7A7A7"/>
      </a:dk2>
      <a:lt2>
        <a:srgbClr val="535353"/>
      </a:lt2>
      <a:accent1>
        <a:srgbClr val="A6BACF"/>
      </a:accent1>
      <a:accent2>
        <a:srgbClr val="98A68D"/>
      </a:accent2>
      <a:accent3>
        <a:srgbClr val="E2C07E"/>
      </a:accent3>
      <a:accent4>
        <a:srgbClr val="EA8B60"/>
      </a:accent4>
      <a:accent5>
        <a:srgbClr val="B93E40"/>
      </a:accent5>
      <a:accent6>
        <a:srgbClr val="807898"/>
      </a:accent6>
      <a:hlink>
        <a:srgbClr val="0000FF"/>
      </a:hlink>
      <a:folHlink>
        <a:srgbClr val="FF00FF"/>
      </a:folHlink>
    </a:clrScheme>
    <a:fontScheme name="04_Essay">
      <a:majorFont>
        <a:latin typeface="Helvetica Neue"/>
        <a:ea typeface="黑体"/>
        <a:cs typeface="Helvetica Neue"/>
      </a:majorFont>
      <a:minorFont>
        <a:latin typeface="Helvetica Neue"/>
        <a:ea typeface="宋体"/>
        <a:cs typeface="Helvetica Neue"/>
      </a:minorFont>
    </a:fontScheme>
    <a:fmtScheme name="04_Essay">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50800" tIns="50800" rIns="50800" bIns="50800" numCol="1" spcCol="38100" rtlCol="0" anchor="ctr">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50800" tIns="50800" rIns="50800" bIns="50800" numCol="1" spcCol="38100" rtlCol="0" anchor="t">
        <a:spAutoFit/>
      </a:bodyPr>
      <a:lstStyle/>
      <a:style>
        <a:lnRef idx="0">
          <a:scrgbClr r="0" g="0" b="0"/>
        </a:lnRef>
        <a:fillRef idx="0">
          <a:scrgbClr r="0" g="0" b="0"/>
        </a:fillRef>
        <a:effectRef idx="0">
          <a:scrgbClr r="0" g="0" b="0"/>
        </a:effectRef>
        <a:fontRef idx="none"/>
      </a:style>
    </a:txDef>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5B6053-7F29-4D4E-9A64-F60F0CFBFA8E}">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Pages>
  <Words>2412</Words>
  <Characters>13752</Characters>
  <Application>Microsoft Office Word</Application>
  <DocSecurity>0</DocSecurity>
  <Lines>114</Lines>
  <Paragraphs>32</Paragraphs>
  <ScaleCrop>false</ScaleCrop>
  <Company>Sinopec</Company>
  <LinksUpToDate>false</LinksUpToDate>
  <CharactersWithSpaces>16132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sunpq</dc:creator>
  <cp:lastModifiedBy>xwbjl</cp:lastModifiedBy>
  <cp:revision>4</cp:revision>
  <cp:lastPrinted>2022-02-25T08:34:00Z</cp:lastPrinted>
  <dcterms:created xsi:type="dcterms:W3CDTF">2022-03-22T07:08:00Z</dcterms:created>
  <dcterms:modified xsi:type="dcterms:W3CDTF">2024-01-05T07:17:56Z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C3E63BBA593F4621B33740FEF39F448B_12</vt:lpwstr>
  </property>
  <property fmtid="{D5CDD505-2E9C-101B-9397-08002B2CF9AE}" pid="3" name="KSOProductBuildVer">
    <vt:lpwstr>2052-12.1.0.16120</vt:lpwstr>
  </property>
</Properties>
</file>