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"/>
        </w:rPr>
        <w:t>虚拟变量在企业投资决策模型中的应用</w:t>
      </w: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spacing w:before="11"/>
        <w:ind w:left="0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ind w:left="0"/>
        <w:rPr>
          <w:rFonts w:ascii="Microsoft JhengHei"/>
          <w:b/>
          <w:sz w:val="14"/>
        </w:rPr>
      </w:pPr>
    </w:p>
    <w:sdt>
      <w:sdtPr>
        <w:id w:val="1187131912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7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虚拟变量的定义与性</w:t>
            </w:r>
            <w:r>
              <w:rPr>
                <w:spacing w:val="-10"/>
              </w:rPr>
              <w:t>质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bookmark1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企业投资决策理论基</w:t>
            </w:r>
            <w:r>
              <w:rPr>
                <w:spacing w:val="-10"/>
              </w:rPr>
              <w:t>础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5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虚拟变量在回归分析中的作</w:t>
            </w:r>
            <w:r>
              <w:rPr>
                <w:spacing w:val="-10"/>
              </w:rPr>
              <w:t>用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4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4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虚拟变量的选择与设定原</w:t>
            </w:r>
            <w:r>
              <w:rPr>
                <w:spacing w:val="-10"/>
              </w:rPr>
              <w:t>则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6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3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虚拟变量与企业投资决策模型构</w:t>
            </w:r>
            <w:r>
              <w:rPr>
                <w:spacing w:val="-10"/>
              </w:rPr>
              <w:t>建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10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2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模型估计方法与参数解</w:t>
            </w:r>
            <w:r>
              <w:rPr>
                <w:spacing w:val="-10"/>
              </w:rPr>
              <w:t>释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13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Times New Roman" w:eastAsia="Times New Roman"/>
            </w:rPr>
          </w:pPr>
          <w:hyperlink w:anchor="_TOC_250001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实证分析结果及其解</w:t>
            </w:r>
            <w:r>
              <w:rPr>
                <w:spacing w:val="-10"/>
              </w:rPr>
              <w:t>读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15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0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结论与政策建</w:t>
            </w:r>
            <w:r>
              <w:rPr>
                <w:spacing w:val="-10"/>
              </w:rPr>
              <w:t>议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20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420" w:bottom="1380" w:left="1680" w:header="0" w:footer="1198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before="0" w:line="514" w:lineRule="exac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虚</w:t>
      </w:r>
      <w:r>
        <w:t>拟</w:t>
      </w:r>
      <w:r>
        <w:t>变</w:t>
      </w:r>
      <w:r>
        <w:t>量</w:t>
      </w:r>
      <w:r>
        <w:t>的</w:t>
      </w:r>
      <w:r>
        <w:t>定</w:t>
      </w:r>
      <w:r>
        <w:t>义</w:t>
      </w:r>
      <w:r>
        <w:t>与</w:t>
      </w:r>
      <w:r>
        <w:t>性</w:t>
      </w:r>
      <w:r>
        <w:rPr>
          <w:spacing w:val="-10"/>
        </w:rPr>
        <w:t>质</w:t>
      </w:r>
    </w:p>
    <w:p>
      <w:pPr>
        <w:pStyle w:val="BodyText"/>
        <w:ind w:left="0"/>
        <w:rPr>
          <w:rFonts w:ascii="Microsoft JhengHei"/>
          <w:b/>
          <w:sz w:val="32"/>
        </w:rPr>
      </w:pPr>
    </w:p>
    <w:p>
      <w:pPr>
        <w:pStyle w:val="BodyText"/>
        <w:ind w:left="0"/>
        <w:rPr>
          <w:rFonts w:ascii="Microsoft JhengHei"/>
          <w:b/>
          <w:sz w:val="32"/>
        </w:rPr>
      </w:pPr>
    </w:p>
    <w:p>
      <w:pPr>
        <w:pStyle w:val="BodyText"/>
        <w:spacing w:before="10"/>
        <w:ind w:left="0"/>
        <w:rPr>
          <w:rFonts w:ascii="Microsoft JhengHei"/>
          <w:b/>
          <w:sz w:val="25"/>
        </w:rPr>
      </w:pPr>
    </w:p>
    <w:p>
      <w:pPr>
        <w:pStyle w:val="Heading1"/>
        <w:tabs>
          <w:tab w:val="left" w:pos="1725"/>
        </w:tabs>
        <w:spacing w:before="1"/>
      </w:pPr>
      <w:bookmarkStart w:id="1" w:name="_bookmark1"/>
      <w:bookmarkEnd w:id="1"/>
      <w:r>
        <w:t>第</w:t>
      </w:r>
      <w:r>
        <w:t>二</w:t>
      </w:r>
      <w:r>
        <w:t>部</w:t>
      </w:r>
      <w:r>
        <w:rPr>
          <w:spacing w:val="-10"/>
        </w:rPr>
        <w:t>分</w:t>
      </w:r>
      <w:r>
        <w:tab/>
        <w:t>企</w:t>
      </w:r>
      <w:r>
        <w:t>业</w:t>
      </w:r>
      <w:r>
        <w:t>投</w:t>
      </w:r>
      <w:r>
        <w:t>资</w:t>
      </w:r>
      <w:r>
        <w:t>决</w:t>
      </w:r>
      <w:r>
        <w:t>策</w:t>
      </w:r>
      <w:r>
        <w:t>理</w:t>
      </w:r>
      <w:r>
        <w:t>论</w:t>
      </w:r>
      <w:r>
        <w:t>基</w:t>
      </w:r>
      <w:r>
        <w:rPr>
          <w:spacing w:val="-10"/>
        </w:rPr>
        <w:t>础</w:t>
      </w:r>
    </w:p>
    <w:p>
      <w:pPr>
        <w:pStyle w:val="BodyText"/>
        <w:spacing w:before="15" w:after="1"/>
        <w:ind w:left="0"/>
        <w:rPr>
          <w:rFonts w:ascii="Microsoft JhengHei"/>
          <w:b/>
          <w:sz w:val="15"/>
        </w:rPr>
      </w:pPr>
    </w:p>
    <w:tbl>
      <w:tblPr>
        <w:tblStyle w:val="TableNormal0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1"/>
        <w:gridCol w:w="5525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1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5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367"/>
          <w:jc w:val="left"/>
        </w:trPr>
        <w:tc>
          <w:tcPr>
            <w:tcW w:w="2771" w:type="dxa"/>
          </w:tcPr>
          <w:p>
            <w:pPr>
              <w:pStyle w:val="TableParagraph"/>
              <w:spacing w:before="23"/>
              <w:ind w:right="-29"/>
              <w:rPr>
                <w:sz w:val="21"/>
              </w:rPr>
            </w:pPr>
            <w:r>
              <w:rPr>
                <w:spacing w:val="-6"/>
                <w:sz w:val="21"/>
              </w:rPr>
              <w:t>【企业投资决策理论基础】：</w:t>
            </w:r>
          </w:p>
        </w:tc>
        <w:tc>
          <w:tcPr>
            <w:tcW w:w="5525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2"/>
              </w:numPr>
              <w:tabs>
                <w:tab w:val="left" w:pos="321"/>
              </w:tabs>
              <w:spacing w:before="0" w:after="0" w:line="278" w:lineRule="auto"/>
              <w:ind w:left="108" w:right="-15" w:firstLine="0"/>
              <w:jc w:val="both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**</w:t>
            </w:r>
            <w:r>
              <w:rPr>
                <w:spacing w:val="2"/>
                <w:sz w:val="21"/>
              </w:rPr>
              <w:t>投资决策的重要性</w:t>
            </w:r>
            <w:r>
              <w:rPr>
                <w:rFonts w:ascii="Times New Roman" w:eastAsia="Times New Roman"/>
                <w:sz w:val="21"/>
              </w:rPr>
              <w:t>**</w:t>
            </w:r>
            <w:r>
              <w:rPr>
                <w:spacing w:val="1"/>
                <w:sz w:val="21"/>
              </w:rPr>
              <w:t>：企业投资决策是公司战略规划的核心，它决定了资源的配置方向、企业的成长路径以及市场竞争力的构建。正确的投资决策能够为企业带来长远</w:t>
            </w:r>
            <w:r>
              <w:rPr>
                <w:spacing w:val="-8"/>
                <w:sz w:val="21"/>
              </w:rPr>
              <w:t>的收益，而错误的投资则可能导致资源浪费甚至企业破产。</w:t>
            </w:r>
          </w:p>
          <w:p>
            <w:pPr>
              <w:pStyle w:val="TableParagraph"/>
              <w:numPr>
                <w:ilvl w:val="0"/>
                <w:numId w:val="22"/>
              </w:numPr>
              <w:tabs>
                <w:tab w:val="left" w:pos="321"/>
              </w:tabs>
              <w:spacing w:before="0" w:after="0" w:line="278" w:lineRule="auto"/>
              <w:ind w:left="108" w:right="95" w:firstLine="0"/>
              <w:jc w:val="both"/>
              <w:rPr>
                <w:sz w:val="21"/>
              </w:rPr>
            </w:pPr>
            <w:r>
              <w:rPr>
                <w:rFonts w:ascii="Times New Roman" w:eastAsia="Times New Roman"/>
                <w:spacing w:val="-2"/>
                <w:sz w:val="21"/>
              </w:rPr>
              <w:t>**</w:t>
            </w:r>
            <w:r>
              <w:rPr>
                <w:spacing w:val="-2"/>
                <w:sz w:val="21"/>
              </w:rPr>
              <w:t>风险与回报权衡</w:t>
            </w:r>
            <w:r>
              <w:rPr>
                <w:rFonts w:ascii="Times New Roman" w:eastAsia="Times New Roman"/>
                <w:spacing w:val="-2"/>
                <w:sz w:val="21"/>
              </w:rPr>
              <w:t>**</w:t>
            </w:r>
            <w:r>
              <w:rPr>
                <w:spacing w:val="-2"/>
                <w:sz w:val="21"/>
              </w:rPr>
              <w:t>：在投资决策过程中，企业需要评估潜在项目的预期回报与其伴随的风险。这涉及到对不同</w:t>
            </w:r>
            <w:r>
              <w:rPr>
                <w:spacing w:val="-6"/>
                <w:sz w:val="21"/>
              </w:rPr>
              <w:t>投资机会进行财务分析，包括净现值</w:t>
            </w:r>
            <w:r>
              <w:rPr>
                <w:spacing w:val="15"/>
                <w:sz w:val="21"/>
              </w:rPr>
              <w:t>（</w:t>
            </w:r>
            <w:r>
              <w:rPr>
                <w:rFonts w:ascii="Times New Roman" w:eastAsia="Times New Roman"/>
                <w:spacing w:val="14"/>
                <w:sz w:val="21"/>
              </w:rPr>
              <w:t>NPV</w:t>
            </w:r>
            <w:r>
              <w:rPr>
                <w:spacing w:val="-90"/>
                <w:sz w:val="21"/>
              </w:rPr>
              <w:t>）</w:t>
            </w:r>
            <w:r>
              <w:rPr>
                <w:spacing w:val="-6"/>
                <w:sz w:val="21"/>
              </w:rPr>
              <w:t>、内部收益率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z w:val="21"/>
              </w:rPr>
              <w:t>（</w:t>
            </w:r>
            <w:r>
              <w:rPr>
                <w:rFonts w:ascii="Times New Roman" w:eastAsia="Times New Roman"/>
                <w:sz w:val="21"/>
              </w:rPr>
              <w:t>IRR</w:t>
            </w:r>
            <w:r>
              <w:rPr>
                <w:sz w:val="21"/>
              </w:rPr>
              <w:t>）和投资回收期（</w:t>
            </w:r>
            <w:r>
              <w:rPr>
                <w:rFonts w:ascii="Times New Roman" w:eastAsia="Times New Roman"/>
                <w:sz w:val="21"/>
              </w:rPr>
              <w:t>Payback</w:t>
            </w:r>
            <w:r>
              <w:rPr>
                <w:rFonts w:ascii="Times New Roman" w:eastAsia="Times New Roman"/>
                <w:spacing w:val="-15"/>
                <w:sz w:val="21"/>
              </w:rPr>
              <w:t xml:space="preserve"> </w:t>
            </w:r>
            <w:r>
              <w:rPr>
                <w:rFonts w:ascii="Times New Roman" w:eastAsia="Times New Roman"/>
                <w:sz w:val="21"/>
              </w:rPr>
              <w:t>Period</w:t>
            </w:r>
            <w:r>
              <w:rPr>
                <w:sz w:val="21"/>
              </w:rPr>
              <w:t>）</w:t>
            </w:r>
            <w:r>
              <w:rPr>
                <w:spacing w:val="-3"/>
                <w:sz w:val="21"/>
              </w:rPr>
              <w:t>的计算。</w:t>
            </w:r>
          </w:p>
          <w:p>
            <w:pPr>
              <w:pStyle w:val="TableParagraph"/>
              <w:numPr>
                <w:ilvl w:val="0"/>
                <w:numId w:val="22"/>
              </w:numPr>
              <w:tabs>
                <w:tab w:val="left" w:pos="321"/>
              </w:tabs>
              <w:spacing w:before="42" w:after="0" w:line="278" w:lineRule="auto"/>
              <w:ind w:left="108" w:right="-15" w:firstLine="0"/>
              <w:jc w:val="both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**</w:t>
            </w:r>
            <w:r>
              <w:rPr>
                <w:spacing w:val="2"/>
                <w:sz w:val="21"/>
              </w:rPr>
              <w:t>市场环境分析</w:t>
            </w:r>
            <w:r>
              <w:rPr>
                <w:rFonts w:ascii="Times New Roman" w:eastAsia="Times New Roman"/>
                <w:sz w:val="21"/>
              </w:rPr>
              <w:t>**</w:t>
            </w:r>
            <w:r>
              <w:rPr>
                <w:spacing w:val="1"/>
                <w:sz w:val="21"/>
              </w:rPr>
              <w:t>：企业投资决策必须考虑宏观和微观经济因素，如利率、税率、通货膨胀率、行业趋势、竞争</w:t>
            </w:r>
            <w:r>
              <w:rPr>
                <w:spacing w:val="-8"/>
                <w:sz w:val="21"/>
              </w:rPr>
              <w:t>态势等。这些因素都可能影响投资的盈利能力和风险水平。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【资本预算方法】：</w:t>
            </w:r>
          </w:p>
        </w:tc>
      </w:tr>
    </w:tbl>
    <w:p>
      <w:pPr>
        <w:pStyle w:val="BodyText"/>
        <w:spacing w:before="1"/>
        <w:ind w:left="0"/>
        <w:rPr>
          <w:rFonts w:ascii="Microsoft JhengHei"/>
          <w:b/>
          <w:sz w:val="4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企业投资决策理论基础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BodyText"/>
        <w:spacing w:line="417" w:lineRule="auto"/>
        <w:ind w:right="145"/>
      </w:pPr>
      <w:r>
        <w:rPr>
          <w:spacing w:val="-8"/>
        </w:rPr>
        <w:t>企业投资决策是公司财务管理的核心内容之一，它涉及到资源的配置、风险的控制以及收益的优化。本文将简要介绍企业投资决策的理论基</w:t>
      </w:r>
      <w:r>
        <w:rPr>
          <w:spacing w:val="-7"/>
        </w:rPr>
        <w:t>础，包括净现值</w:t>
      </w:r>
      <w:r>
        <w:t>(NPV)</w:t>
      </w:r>
      <w:r>
        <w:rPr>
          <w:spacing w:val="-6"/>
        </w:rPr>
        <w:t>法则、内部收益率</w:t>
      </w:r>
      <w:r>
        <w:t>(IRR)</w:t>
      </w:r>
      <w:r>
        <w:rPr>
          <w:spacing w:val="-6"/>
        </w:rPr>
        <w:t>法则、资本资产定价模型(CAPM)以及多项目决策模型。</w:t>
      </w:r>
    </w:p>
    <w:p>
      <w:pPr>
        <w:pStyle w:val="BodyText"/>
        <w:spacing w:line="358" w:lineRule="exact"/>
      </w:pPr>
      <w:r>
        <w:t>一、净现值(NPV)</w:t>
      </w:r>
      <w:r>
        <w:rPr>
          <w:spacing w:val="-5"/>
        </w:rPr>
        <w:t>法则</w:t>
      </w:r>
    </w:p>
    <w:p>
      <w:pPr>
        <w:pStyle w:val="BodyText"/>
        <w:spacing w:before="4" w:line="620" w:lineRule="atLeast"/>
        <w:ind w:right="104"/>
      </w:pPr>
      <w:r>
        <w:rPr>
          <w:spacing w:val="-7"/>
        </w:rPr>
        <w:t>净现值法则是一种评估投资项目经济效益的方法，其基本原理是将未</w:t>
      </w:r>
      <w:r>
        <w:rPr>
          <w:spacing w:val="-2"/>
        </w:rPr>
        <w:t xml:space="preserve"> </w:t>
      </w:r>
      <w:r>
        <w:rPr>
          <w:spacing w:val="-2"/>
        </w:rPr>
        <w:t xml:space="preserve">来现金流的折现值与初始投资成本进行比较。如果净现值大于零，则 </w:t>
      </w:r>
      <w:r>
        <w:rPr>
          <w:spacing w:val="-2"/>
        </w:rPr>
        <w:t xml:space="preserve">该项目具有投资价值；反之，则不建议投资。净现值的计算公式为： </w:t>
      </w:r>
      <w:r>
        <w:t>NPV = Σ (CFt / (1 + i)^t) - C0</w:t>
      </w:r>
    </w:p>
    <w:p>
      <w:pPr>
        <w:spacing w:after="0" w:line="620" w:lineRule="atLeast"/>
        <w:sectPr>
          <w:footerReference w:type="default" r:id="rId6"/>
          <w:pgSz w:w="11910" w:h="16840"/>
          <w:pgMar w:top="1500" w:right="1420" w:bottom="1380" w:left="1680" w:header="0" w:footer="1198"/>
          <w:pgNumType w:start="2"/>
          <w:cols w:space="708"/>
        </w:sectPr>
      </w:pPr>
    </w:p>
    <w:p>
      <w:pPr>
        <w:pStyle w:val="BodyText"/>
        <w:spacing w:before="37" w:line="417" w:lineRule="auto"/>
        <w:ind w:right="378"/>
      </w:pPr>
      <w:r>
        <w:rPr>
          <w:spacing w:val="-2"/>
        </w:rPr>
        <w:t>其中，CFt</w:t>
      </w:r>
      <w:r>
        <w:rPr>
          <w:spacing w:val="-30"/>
        </w:rPr>
        <w:t xml:space="preserve"> 表示第 </w:t>
      </w:r>
      <w:r>
        <w:rPr>
          <w:spacing w:val="-2"/>
        </w:rPr>
        <w:t>t</w:t>
      </w:r>
      <w:r>
        <w:rPr>
          <w:spacing w:val="-13"/>
        </w:rPr>
        <w:t xml:space="preserve"> 期的现金流量，</w:t>
      </w:r>
      <w:r>
        <w:rPr>
          <w:spacing w:val="-2"/>
        </w:rPr>
        <w:t>i</w:t>
      </w:r>
      <w:r>
        <w:rPr>
          <w:spacing w:val="-14"/>
        </w:rPr>
        <w:t xml:space="preserve"> 表示折现率，</w:t>
      </w:r>
      <w:r>
        <w:rPr>
          <w:spacing w:val="-2"/>
        </w:rPr>
        <w:t>C0</w:t>
      </w:r>
      <w:r>
        <w:rPr>
          <w:spacing w:val="-14"/>
        </w:rPr>
        <w:t xml:space="preserve"> 表示初始投资</w:t>
      </w:r>
      <w:r>
        <w:rPr>
          <w:spacing w:val="-4"/>
        </w:rPr>
        <w:t>成本。</w:t>
      </w:r>
    </w:p>
    <w:p>
      <w:pPr>
        <w:pStyle w:val="BodyText"/>
        <w:spacing w:line="358" w:lineRule="exact"/>
      </w:pPr>
      <w:r>
        <w:t>二、内部收益率(IRR)</w:t>
      </w:r>
      <w:r>
        <w:rPr>
          <w:spacing w:val="-5"/>
        </w:rPr>
        <w:t>法则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</w:pPr>
      <w:r>
        <w:rPr>
          <w:spacing w:val="-7"/>
        </w:rPr>
        <w:t>内部收益率法则是一种衡量项目盈利能力的指标，它表示使项目净现</w:t>
      </w:r>
      <w:r>
        <w:t>值为零的折现率。IRR</w:t>
      </w:r>
      <w:r>
        <w:rPr>
          <w:spacing w:val="-7"/>
        </w:rPr>
        <w:t xml:space="preserve"> 的计算通常通过迭代法求解以下方程：</w:t>
      </w:r>
      <w:r>
        <w:t xml:space="preserve"> NPV(IRR) = 0</w:t>
      </w:r>
    </w:p>
    <w:p>
      <w:pPr>
        <w:pStyle w:val="BodyText"/>
        <w:spacing w:line="417" w:lineRule="auto"/>
        <w:ind w:right="378"/>
      </w:pPr>
      <w:r>
        <w:rPr>
          <w:spacing w:val="-2"/>
        </w:rPr>
        <w:t>IRR</w:t>
      </w:r>
      <w:r>
        <w:rPr>
          <w:spacing w:val="-11"/>
        </w:rPr>
        <w:t xml:space="preserve"> 法则简单易行，但存在一个缺点，即无法直接反映项目的绝对收</w:t>
      </w:r>
      <w:r>
        <w:rPr>
          <w:spacing w:val="-4"/>
        </w:rPr>
        <w:t>益水平。</w:t>
      </w:r>
    </w:p>
    <w:p>
      <w:pPr>
        <w:pStyle w:val="BodyText"/>
        <w:spacing w:line="358" w:lineRule="exact"/>
      </w:pPr>
      <w:r>
        <w:t>三、资本资产定价模型</w:t>
      </w:r>
      <w:r>
        <w:rPr>
          <w:spacing w:val="-2"/>
        </w:rPr>
        <w:t>(CAPM)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line="417" w:lineRule="auto"/>
        <w:ind w:right="378"/>
        <w:jc w:val="both"/>
      </w:pPr>
      <w:r>
        <w:rPr>
          <w:spacing w:val="-6"/>
        </w:rPr>
        <w:t>资本资产定价模型是一种评估项目投资风险和预期收益的方法。该模</w:t>
      </w:r>
      <w:r>
        <w:t>型认为，投资者应获得与其承担风险相对应的预期收益。CAPM 的基</w:t>
      </w:r>
      <w:r>
        <w:rPr>
          <w:spacing w:val="-2"/>
        </w:rPr>
        <w:t>本公式为：</w:t>
      </w:r>
    </w:p>
    <w:p>
      <w:pPr>
        <w:pStyle w:val="BodyText"/>
        <w:spacing w:line="358" w:lineRule="exact"/>
        <w:jc w:val="both"/>
      </w:pPr>
      <w:r>
        <w:t xml:space="preserve">E(Ri) = Rf + β * (E(Rm) - </w:t>
      </w:r>
      <w:r>
        <w:rPr>
          <w:spacing w:val="-5"/>
        </w:rPr>
        <w:t>Rf)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BodyText"/>
        <w:spacing w:line="417" w:lineRule="auto"/>
        <w:ind w:right="448"/>
      </w:pPr>
      <w:r>
        <w:rPr>
          <w:spacing w:val="-11"/>
        </w:rPr>
        <w:t>其中，</w:t>
      </w:r>
      <w:r>
        <w:t>E(Ri)</w:t>
      </w:r>
      <w:r>
        <w:rPr>
          <w:spacing w:val="-3"/>
        </w:rPr>
        <w:t>表示投资项目的预期收益率，</w:t>
      </w:r>
      <w:r>
        <w:t>Rf</w:t>
      </w:r>
      <w:r>
        <w:rPr>
          <w:spacing w:val="-13"/>
        </w:rPr>
        <w:t xml:space="preserve"> 表示无风险收益率，</w:t>
      </w:r>
      <w:r>
        <w:rPr>
          <w:spacing w:val="-8"/>
        </w:rPr>
        <w:t>β</w:t>
      </w:r>
      <w:r>
        <w:t>表示项目相对于市场的风险系数，E(Rm)表示市场的预期收益率。四、多项目决策模型</w:t>
      </w:r>
    </w:p>
    <w:p>
      <w:pPr>
        <w:pStyle w:val="BodyText"/>
        <w:spacing w:line="417" w:lineRule="auto"/>
        <w:ind w:right="378"/>
        <w:jc w:val="both"/>
      </w:pPr>
      <w:r>
        <w:rPr>
          <w:spacing w:val="-4"/>
        </w:rPr>
        <w:t>在实际经营过程中，企业往往面临多个投资项目的选择问题。在这种</w:t>
      </w:r>
      <w:r>
        <w:rPr>
          <w:spacing w:val="-4"/>
        </w:rPr>
        <w:t>情况下，需要运用多项目决策模型来优化资源配置。常见的多项目决</w:t>
      </w:r>
      <w:r>
        <w:rPr>
          <w:spacing w:val="-2"/>
        </w:rPr>
        <w:t>策模型包括加权平均成本资本(WACC)模型、投资组合模型等。</w:t>
      </w:r>
    </w:p>
    <w:p>
      <w:pPr>
        <w:pStyle w:val="BodyText"/>
        <w:spacing w:line="358" w:lineRule="exact"/>
      </w:pPr>
      <w:r>
        <w:rPr>
          <w:spacing w:val="-2"/>
        </w:rPr>
        <w:t>五、虚拟变量的应用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line="417" w:lineRule="auto"/>
        <w:ind w:right="378"/>
      </w:pPr>
      <w:r>
        <w:rPr>
          <w:spacing w:val="-4"/>
        </w:rPr>
        <w:t>在投资决策模型中，虚拟变量常用于反映项目的某些特征，如行业类</w:t>
      </w:r>
      <w:r>
        <w:rPr>
          <w:spacing w:val="-5"/>
        </w:rPr>
        <w:t>型、项目规模等。通过引入虚拟变量，可以更准确地描述项目的风险</w:t>
      </w:r>
    </w:p>
    <w:p>
      <w:pPr>
        <w:spacing w:after="0" w:line="417" w:lineRule="auto"/>
        <w:sectPr>
          <w:footerReference w:type="default" r:id="rId7"/>
          <w:pgSz w:w="11910" w:h="16840"/>
          <w:pgMar w:top="1520" w:right="1420" w:bottom="1380" w:left="1680" w:header="0" w:footer="1198"/>
          <w:pgNumType w:start="3"/>
          <w:cols w:space="708"/>
        </w:sectPr>
      </w:pPr>
    </w:p>
    <w:p>
      <w:pPr>
        <w:pStyle w:val="BodyText"/>
        <w:spacing w:before="37"/>
      </w:pPr>
      <w:r>
        <w:rPr>
          <w:spacing w:val="-1"/>
        </w:rPr>
        <w:t>和收益特性，从而提高投资决策的准确性。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4"/>
        </w:rPr>
        <w:t>综上所述，企业投资决策的理论基础主要包括净现值法则、内部收益</w:t>
      </w:r>
      <w:r>
        <w:rPr>
          <w:spacing w:val="-4"/>
        </w:rPr>
        <w:t>率法则、资本资产定价模型以及多项目决策模型。这些理论和方法为</w:t>
      </w:r>
      <w:r>
        <w:rPr>
          <w:spacing w:val="-7"/>
        </w:rPr>
        <w:t>企业提供了评估投资项目价值和风险的科学依据，有助于企业做出更</w:t>
      </w:r>
      <w:r>
        <w:rPr>
          <w:spacing w:val="-2"/>
        </w:rPr>
        <w:t>加明智的投资决策。</w:t>
      </w:r>
    </w:p>
    <w:p>
      <w:pPr>
        <w:pStyle w:val="BodyText"/>
        <w:ind w:left="0"/>
      </w:pPr>
    </w:p>
    <w:p>
      <w:pPr>
        <w:pStyle w:val="Heading1"/>
        <w:spacing w:before="237"/>
        <w:jc w:val="both"/>
      </w:pPr>
      <w:bookmarkStart w:id="2" w:name="_TOC_250005"/>
      <w:r>
        <w:t>第三部分</w:t>
      </w:r>
      <w:r>
        <w:rPr>
          <w:spacing w:val="216"/>
          <w:w w:val="150"/>
        </w:rPr>
        <w:t xml:space="preserve"> </w:t>
      </w:r>
      <w:bookmarkEnd w:id="2"/>
      <w:r>
        <w:rPr>
          <w:spacing w:val="-1"/>
        </w:rPr>
        <w:t>虚拟变量在回归分析中的作用</w:t>
      </w:r>
    </w:p>
    <w:p>
      <w:pPr>
        <w:pStyle w:val="BodyText"/>
        <w:spacing w:before="16"/>
        <w:ind w:left="0"/>
        <w:rPr>
          <w:rFonts w:ascii="Microsoft JhengHei"/>
          <w:b/>
          <w:sz w:val="15"/>
        </w:rPr>
      </w:pPr>
    </w:p>
    <w:tbl>
      <w:tblPr>
        <w:tblStyle w:val="TableNormal1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5"/>
        <w:gridCol w:w="5521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5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1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367"/>
          <w:jc w:val="left"/>
        </w:trPr>
        <w:tc>
          <w:tcPr>
            <w:tcW w:w="2775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【虚拟变量在回归分析中的</w:t>
            </w:r>
            <w:r>
              <w:rPr>
                <w:spacing w:val="-4"/>
                <w:sz w:val="21"/>
              </w:rPr>
              <w:t>作用】</w:t>
            </w:r>
          </w:p>
        </w:tc>
        <w:tc>
          <w:tcPr>
            <w:tcW w:w="5521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1"/>
              </w:numPr>
              <w:tabs>
                <w:tab w:val="left" w:pos="371"/>
              </w:tabs>
              <w:spacing w:before="0" w:after="0" w:line="278" w:lineRule="auto"/>
              <w:ind w:left="108" w:right="-15" w:firstLine="0"/>
              <w:jc w:val="left"/>
              <w:rPr>
                <w:sz w:val="21"/>
              </w:rPr>
            </w:pPr>
            <w:r>
              <w:rPr>
                <w:sz w:val="21"/>
              </w:rPr>
              <w:t>分类变量的量化表示：虚拟变量是用于量化分类变量的</w:t>
            </w:r>
            <w:r>
              <w:rPr>
                <w:spacing w:val="-9"/>
                <w:sz w:val="21"/>
              </w:rPr>
              <w:t>工具，它通过创建一系列的二进制变量来代表不同的类别。</w:t>
            </w:r>
            <w:r>
              <w:rPr>
                <w:spacing w:val="1"/>
                <w:sz w:val="21"/>
              </w:rPr>
              <w:t>例如，一个企业可能面临多种市场环境，这些环境可以用多个虚拟变量来表示。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模型的扩展与解释：引入虚拟变量可以扩展线性回归模</w:t>
            </w:r>
            <w:r>
              <w:rPr>
                <w:spacing w:val="-2"/>
                <w:sz w:val="21"/>
              </w:rPr>
              <w:t>型以包括非数值型变量，从而提高模型的解释能力和预测</w:t>
            </w:r>
            <w:r>
              <w:rPr>
                <w:spacing w:val="-2"/>
                <w:sz w:val="21"/>
              </w:rPr>
              <w:t>精度。每个虚拟变量的引入都能为模型增加一个截距项，</w:t>
            </w:r>
            <w:r>
              <w:rPr>
                <w:spacing w:val="-2"/>
                <w:sz w:val="21"/>
              </w:rPr>
              <w:t>有助于理解不同类别对结果的影响。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交互效应的考量：虚拟变量可以用来检验不同类别之间</w:t>
            </w:r>
            <w:r>
              <w:rPr>
                <w:spacing w:val="-2"/>
                <w:sz w:val="21"/>
              </w:rPr>
              <w:t>的交互效应，这对于理解复杂现象如企业投资行为在不同</w:t>
            </w:r>
            <w:r>
              <w:rPr>
                <w:spacing w:val="-2"/>
                <w:sz w:val="21"/>
              </w:rPr>
              <w:t>市场条件下的变化尤为重要。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1"/>
                <w:sz w:val="21"/>
              </w:rPr>
              <w:t>【虚拟变量的设置原则】</w:t>
            </w:r>
          </w:p>
        </w:tc>
      </w:tr>
    </w:tbl>
    <w:p>
      <w:pPr>
        <w:pStyle w:val="BodyText"/>
        <w:spacing w:before="1"/>
        <w:ind w:left="0"/>
        <w:rPr>
          <w:rFonts w:ascii="Microsoft JhengHei"/>
          <w:b/>
          <w:sz w:val="4"/>
        </w:rPr>
      </w:pPr>
    </w:p>
    <w:p>
      <w:pPr>
        <w:pStyle w:val="BodyText"/>
        <w:spacing w:before="61" w:line="417" w:lineRule="auto"/>
        <w:ind w:right="145" w:firstLine="560"/>
      </w:pPr>
      <w:r>
        <w:t>虚拟变量（Dummy Variable）在回归分析中扮演着重要角色，特</w:t>
      </w:r>
      <w:r>
        <w:rPr>
          <w:spacing w:val="-13"/>
        </w:rPr>
        <w:t>别是在企业投资决策模型中。它允许模型区分不同类别或组别的个体，</w:t>
      </w:r>
      <w:r>
        <w:rPr>
          <w:spacing w:val="-2"/>
        </w:rPr>
        <w:t>从而更准确地捕捉并解释自变量对因变量的影响。</w:t>
      </w:r>
    </w:p>
    <w:p>
      <w:pPr>
        <w:pStyle w:val="BodyText"/>
        <w:spacing w:line="417" w:lineRule="auto"/>
        <w:ind w:right="378"/>
        <w:jc w:val="both"/>
      </w:pPr>
      <w:r>
        <w:rPr>
          <w:spacing w:val="-4"/>
        </w:rPr>
        <w:t>首先，虚拟变量的引入是为了解决线性回归模型中的非线性问题。当</w:t>
      </w:r>
      <w:r>
        <w:rPr>
          <w:spacing w:val="-12"/>
        </w:rPr>
        <w:t>因变量是分类变量时，直接使用连续型变量作为自变量会导致模型无</w:t>
      </w:r>
      <w:r>
        <w:rPr>
          <w:spacing w:val="-4"/>
        </w:rPr>
        <w:t>法正确反映变量间的真实关系。通过引入虚拟变量，可以将分类变量</w:t>
      </w:r>
      <w:r>
        <w:rPr>
          <w:spacing w:val="-5"/>
        </w:rPr>
        <w:t>转化为多个二进制变量，每个变量代表一个类别，这样就能使模型更</w:t>
      </w:r>
    </w:p>
    <w:p>
      <w:pPr>
        <w:spacing w:after="0" w:line="417" w:lineRule="auto"/>
        <w:jc w:val="both"/>
        <w:sectPr>
          <w:footerReference w:type="default" r:id="rId8"/>
          <w:pgSz w:w="11910" w:h="16840"/>
          <w:pgMar w:top="1520" w:right="1420" w:bottom="1380" w:left="1680" w:header="0" w:footer="1198"/>
          <w:pgNumType w:start="4"/>
          <w:cols w:space="708"/>
        </w:sectPr>
      </w:pPr>
    </w:p>
    <w:p>
      <w:pPr>
        <w:pStyle w:val="BodyText"/>
        <w:spacing w:before="37"/>
      </w:pPr>
      <w:r>
        <w:rPr>
          <w:spacing w:val="-2"/>
        </w:rPr>
        <w:t>好地拟合数据。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238"/>
      </w:pPr>
      <w:r>
        <w:rPr>
          <w:spacing w:val="-20"/>
        </w:rPr>
        <w:t>其次，虚拟变量有助于控制定性因素的影响。在企业投资决策模型中，</w:t>
      </w:r>
      <w:r>
        <w:rPr>
          <w:spacing w:val="-2"/>
        </w:rPr>
        <w:t>可能存在许多不可量化的因素，如政策环境、市场情绪等，这些因素</w:t>
      </w:r>
      <w:r>
        <w:rPr>
          <w:spacing w:val="-12"/>
        </w:rPr>
        <w:t>难以用数值直接表示，但可以通过设置相应的虚拟变量来间接控制其</w:t>
      </w:r>
      <w:r>
        <w:rPr>
          <w:spacing w:val="-2"/>
        </w:rPr>
        <w:t>影响。例如，可以设立一个虚拟变量来表示某项政策的实施与否，该</w:t>
      </w:r>
      <w:r>
        <w:rPr>
          <w:spacing w:val="-12"/>
        </w:rPr>
        <w:t xml:space="preserve">变量取值为 </w:t>
      </w:r>
      <w:r>
        <w:t>1</w:t>
      </w:r>
      <w:r>
        <w:rPr>
          <w:spacing w:val="-14"/>
        </w:rPr>
        <w:t xml:space="preserve"> 时表示政策实施，取值为 </w:t>
      </w:r>
      <w:r>
        <w:t>0</w:t>
      </w:r>
      <w:r>
        <w:rPr>
          <w:spacing w:val="-9"/>
        </w:rPr>
        <w:t xml:space="preserve"> 时表示政策未实施。通过这</w:t>
      </w:r>
      <w:r>
        <w:rPr>
          <w:spacing w:val="-2"/>
        </w:rPr>
        <w:t>种方式，可以在模型中考虑这些定性因素对投资决策的潜在影响。</w:t>
      </w:r>
      <w:r>
        <w:rPr>
          <w:spacing w:val="40"/>
        </w:rPr>
        <w:t xml:space="preserve"> </w:t>
      </w:r>
      <w:r>
        <w:rPr>
          <w:spacing w:val="-2"/>
        </w:rPr>
        <w:t>此外，虚拟变量还能帮助识别和处理多重共线性问题。在多元线性回</w:t>
      </w:r>
      <w:r>
        <w:rPr>
          <w:spacing w:val="-2"/>
        </w:rPr>
        <w:t>归模型中，如果某些自变量高度相关，可能会导致模型不稳定和参数</w:t>
      </w:r>
      <w:r>
        <w:rPr>
          <w:spacing w:val="-2"/>
        </w:rPr>
        <w:t>估计不准确。通过引入与这些自变量相关的虚拟变量，可以有效地降</w:t>
      </w:r>
      <w:r>
        <w:rPr>
          <w:spacing w:val="-2"/>
        </w:rPr>
        <w:t>低共线性的影响，提高模型的预测精度和稳定性。</w:t>
      </w:r>
    </w:p>
    <w:p>
      <w:pPr>
        <w:pStyle w:val="BodyText"/>
        <w:spacing w:line="357" w:lineRule="exact"/>
      </w:pPr>
      <w:r>
        <w:rPr>
          <w:spacing w:val="-1"/>
        </w:rPr>
        <w:t>在实际应用中，虚拟变量的设置需要遵循一定的原则：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20"/>
        </w:numPr>
        <w:tabs>
          <w:tab w:val="left" w:pos="540"/>
        </w:tabs>
        <w:spacing w:before="1" w:after="0" w:line="417" w:lineRule="auto"/>
        <w:ind w:left="120" w:right="378" w:firstLine="0"/>
        <w:jc w:val="both"/>
        <w:rPr>
          <w:sz w:val="28"/>
        </w:rPr>
      </w:pPr>
      <w:r>
        <w:rPr>
          <w:spacing w:val="-15"/>
          <w:sz w:val="28"/>
        </w:rPr>
        <w:t xml:space="preserve">虚拟变量通常取值为 </w:t>
      </w:r>
      <w:r>
        <w:rPr>
          <w:spacing w:val="-14"/>
          <w:sz w:val="28"/>
        </w:rPr>
        <w:t>0</w:t>
      </w:r>
      <w:r>
        <w:rPr>
          <w:spacing w:val="-19"/>
          <w:sz w:val="28"/>
        </w:rPr>
        <w:t xml:space="preserve"> 和 </w:t>
      </w:r>
      <w:r>
        <w:rPr>
          <w:spacing w:val="-14"/>
          <w:sz w:val="28"/>
        </w:rPr>
        <w:t>1</w:t>
      </w:r>
      <w:r>
        <w:rPr>
          <w:spacing w:val="-16"/>
          <w:sz w:val="28"/>
        </w:rPr>
        <w:t xml:space="preserve">，其中 </w:t>
      </w:r>
      <w:r>
        <w:rPr>
          <w:spacing w:val="-14"/>
          <w:sz w:val="28"/>
        </w:rPr>
        <w:t>1</w:t>
      </w:r>
      <w:r>
        <w:rPr>
          <w:spacing w:val="-17"/>
          <w:sz w:val="28"/>
        </w:rPr>
        <w:t xml:space="preserve"> 代表所代表的类别，</w:t>
      </w:r>
      <w:r>
        <w:rPr>
          <w:spacing w:val="-14"/>
          <w:sz w:val="28"/>
        </w:rPr>
        <w:t>0</w:t>
      </w:r>
      <w:r>
        <w:rPr>
          <w:spacing w:val="-17"/>
          <w:sz w:val="28"/>
        </w:rPr>
        <w:t xml:space="preserve"> 代表其</w:t>
      </w:r>
      <w:r>
        <w:rPr>
          <w:spacing w:val="-4"/>
          <w:sz w:val="28"/>
        </w:rPr>
        <w:t>他类别。为了避免多重共线性，同一组内的虚拟变量不应同时出现在</w:t>
      </w:r>
      <w:r>
        <w:rPr>
          <w:spacing w:val="-2"/>
          <w:sz w:val="28"/>
        </w:rPr>
        <w:t>模型中，通常只保留一个作为参照组。</w:t>
      </w:r>
    </w:p>
    <w:p>
      <w:pPr>
        <w:pStyle w:val="ListParagraph"/>
        <w:numPr>
          <w:ilvl w:val="0"/>
          <w:numId w:val="20"/>
        </w:numPr>
        <w:tabs>
          <w:tab w:val="left" w:pos="545"/>
        </w:tabs>
        <w:spacing w:before="0" w:after="0" w:line="417" w:lineRule="auto"/>
        <w:ind w:left="120" w:right="98" w:firstLine="0"/>
        <w:jc w:val="left"/>
        <w:rPr>
          <w:sz w:val="28"/>
        </w:rPr>
      </w:pPr>
      <w:r>
        <w:rPr>
          <w:spacing w:val="-3"/>
          <w:sz w:val="28"/>
        </w:rPr>
        <w:t xml:space="preserve">虚拟变量的数量应该等于类别数减去 </w:t>
      </w:r>
      <w:r>
        <w:rPr>
          <w:sz w:val="28"/>
        </w:rPr>
        <w:t>1。例如，如果有三个类别，</w:t>
      </w:r>
      <w:r>
        <w:rPr>
          <w:spacing w:val="-2"/>
          <w:sz w:val="28"/>
        </w:rPr>
        <w:t>那么应该设置两个虚拟变量。</w:t>
      </w:r>
    </w:p>
    <w:p>
      <w:pPr>
        <w:pStyle w:val="ListParagraph"/>
        <w:numPr>
          <w:ilvl w:val="0"/>
          <w:numId w:val="20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虚拟变量的参照组选择应基于理论背景或实际经验，以确保模型</w:t>
      </w:r>
      <w:r>
        <w:rPr>
          <w:spacing w:val="-2"/>
          <w:sz w:val="28"/>
        </w:rPr>
        <w:t>的解释性。</w:t>
      </w:r>
    </w:p>
    <w:p>
      <w:pPr>
        <w:pStyle w:val="ListParagraph"/>
        <w:numPr>
          <w:ilvl w:val="0"/>
          <w:numId w:val="20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在进行回归分析时，需要注意虚拟变量的系数解释。由于虚拟变</w:t>
      </w:r>
      <w:r>
        <w:rPr>
          <w:spacing w:val="-2"/>
          <w:sz w:val="28"/>
        </w:rPr>
        <w:t>量自身没有变化量，因此其系数表示的是相对于参照组的差异。</w:t>
      </w:r>
    </w:p>
    <w:p>
      <w:pPr>
        <w:pStyle w:val="BodyText"/>
        <w:spacing w:line="358" w:lineRule="exact"/>
      </w:pPr>
      <w:r>
        <w:rPr>
          <w:spacing w:val="-10"/>
        </w:rPr>
        <w:t>以企业投资决策为例，假设我们关注的是行业类型对企业投资规模的</w:t>
      </w:r>
    </w:p>
    <w:p>
      <w:pPr>
        <w:spacing w:after="0" w:line="358" w:lineRule="exact"/>
        <w:sectPr>
          <w:footerReference w:type="default" r:id="rId9"/>
          <w:pgSz w:w="11910" w:h="16840"/>
          <w:pgMar w:top="1520" w:right="1420" w:bottom="1380" w:left="1680" w:header="0" w:footer="1198"/>
          <w:pgNumType w:start="5"/>
          <w:cols w:space="708"/>
        </w:sectPr>
      </w:pPr>
    </w:p>
    <w:p>
      <w:pPr>
        <w:pStyle w:val="BodyText"/>
        <w:spacing w:before="37" w:line="417" w:lineRule="auto"/>
        <w:ind w:right="378"/>
        <w:jc w:val="both"/>
      </w:pPr>
      <w:r>
        <w:rPr>
          <w:spacing w:val="-4"/>
        </w:rPr>
        <w:t>影响。我们可以为不同的行业类型设定虚拟变量，比如制造业设为参</w:t>
      </w:r>
      <w:r>
        <w:rPr>
          <w:spacing w:val="-6"/>
        </w:rPr>
        <w:t>照组（</w:t>
      </w:r>
      <w:r>
        <w:rPr>
          <w:spacing w:val="-10"/>
        </w:rPr>
        <w:t xml:space="preserve">即虚拟变量为 </w:t>
      </w:r>
      <w:r>
        <w:t>0</w:t>
      </w:r>
      <w:r>
        <w:rPr>
          <w:spacing w:val="-140"/>
        </w:rPr>
        <w:t>）</w:t>
      </w:r>
      <w:r>
        <w:rPr>
          <w:spacing w:val="-12"/>
        </w:rPr>
        <w:t xml:space="preserve">，而服务业和建筑业分别设为 </w:t>
      </w:r>
      <w:r>
        <w:rPr>
          <w:spacing w:val="-6"/>
        </w:rPr>
        <w:t>1。这样，当我</w:t>
      </w:r>
      <w:r>
        <w:rPr>
          <w:spacing w:val="-12"/>
        </w:rPr>
        <w:t>们观察回归结果时，可以清楚地看到服务业和建筑业相对于制造业的</w:t>
      </w:r>
      <w:r>
        <w:rPr>
          <w:spacing w:val="-2"/>
        </w:rPr>
        <w:t>投资规模差异。</w:t>
      </w:r>
    </w:p>
    <w:p>
      <w:pPr>
        <w:pStyle w:val="BodyText"/>
        <w:spacing w:line="417" w:lineRule="auto"/>
        <w:ind w:right="378"/>
        <w:jc w:val="both"/>
      </w:pPr>
      <w:r>
        <w:rPr>
          <w:spacing w:val="-4"/>
        </w:rPr>
        <w:t>总之，虚拟变量在企业投资决策模型中的应用，不仅增强了模型对非</w:t>
      </w:r>
      <w:r>
        <w:rPr>
          <w:spacing w:val="-4"/>
        </w:rPr>
        <w:t>线性关系的处理能力，还提高了模型对定性因素的控制精度，同时也</w:t>
      </w:r>
      <w:r>
        <w:rPr>
          <w:spacing w:val="-4"/>
        </w:rPr>
        <w:t>优化了模型的多重共线性问题。通过合理设计和运用虚拟变量，可以</w:t>
      </w:r>
      <w:r>
        <w:rPr>
          <w:spacing w:val="-2"/>
        </w:rPr>
        <w:t>为企业投资决策提供更准确、更有针对性的参考依据。</w:t>
      </w:r>
    </w:p>
    <w:p>
      <w:pPr>
        <w:pStyle w:val="BodyText"/>
        <w:ind w:left="0"/>
      </w:pPr>
    </w:p>
    <w:p>
      <w:pPr>
        <w:pStyle w:val="Heading1"/>
        <w:jc w:val="both"/>
      </w:pPr>
      <w:bookmarkStart w:id="3" w:name="_TOC_250004"/>
      <w:r>
        <w:t>第四部分</w:t>
      </w:r>
      <w:r>
        <w:rPr>
          <w:spacing w:val="215"/>
          <w:w w:val="150"/>
        </w:rPr>
        <w:t xml:space="preserve"> </w:t>
      </w:r>
      <w:bookmarkEnd w:id="3"/>
      <w:r>
        <w:rPr>
          <w:spacing w:val="-1"/>
        </w:rPr>
        <w:t>虚拟变量的选择与设定原则</w:t>
      </w:r>
    </w:p>
    <w:p>
      <w:pPr>
        <w:pStyle w:val="BodyText"/>
        <w:spacing w:before="16"/>
        <w:ind w:left="0"/>
        <w:rPr>
          <w:rFonts w:ascii="Microsoft JhengHei"/>
          <w:b/>
          <w:sz w:val="15"/>
        </w:rPr>
      </w:pPr>
    </w:p>
    <w:tbl>
      <w:tblPr>
        <w:tblStyle w:val="TableNormal2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1"/>
        <w:gridCol w:w="5535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1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35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744"/>
          <w:jc w:val="left"/>
        </w:trPr>
        <w:tc>
          <w:tcPr>
            <w:tcW w:w="2761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虚拟变量的定义与作用</w:t>
            </w:r>
          </w:p>
        </w:tc>
        <w:tc>
          <w:tcPr>
            <w:tcW w:w="5535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19"/>
              </w:numPr>
              <w:tabs>
                <w:tab w:val="left" w:pos="372"/>
              </w:tabs>
              <w:spacing w:before="0" w:after="0" w:line="278" w:lineRule="auto"/>
              <w:ind w:left="108" w:right="95" w:firstLine="0"/>
              <w:jc w:val="both"/>
              <w:rPr>
                <w:sz w:val="21"/>
              </w:rPr>
            </w:pPr>
            <w:r>
              <w:rPr>
                <w:sz w:val="21"/>
              </w:rPr>
              <w:t>虚拟变量的概念：虚拟变量（</w:t>
            </w:r>
            <w:r>
              <w:rPr>
                <w:rFonts w:ascii="Times New Roman" w:eastAsia="Times New Roman"/>
                <w:sz w:val="21"/>
              </w:rPr>
              <w:t>Dummy</w:t>
            </w:r>
            <w:r>
              <w:rPr>
                <w:rFonts w:ascii="Times New Roman" w:eastAsia="Times New Roman"/>
                <w:spacing w:val="-14"/>
                <w:sz w:val="21"/>
              </w:rPr>
              <w:t xml:space="preserve"> </w:t>
            </w:r>
            <w:r>
              <w:rPr>
                <w:rFonts w:ascii="Times New Roman" w:eastAsia="Times New Roman"/>
                <w:sz w:val="21"/>
              </w:rPr>
              <w:t>Variable</w:t>
            </w:r>
            <w:r>
              <w:rPr>
                <w:sz w:val="21"/>
              </w:rPr>
              <w:t>）是用于</w:t>
            </w:r>
            <w:r>
              <w:rPr>
                <w:spacing w:val="-2"/>
                <w:sz w:val="21"/>
              </w:rPr>
              <w:t>量化非数值型特征的一种方法，通常用于表示分类变量或</w:t>
            </w:r>
            <w:r>
              <w:rPr>
                <w:spacing w:val="-7"/>
                <w:sz w:val="21"/>
              </w:rPr>
              <w:t xml:space="preserve">名义变量。它通过赋予一个基准类别为 </w:t>
            </w:r>
            <w:r>
              <w:rPr>
                <w:rFonts w:ascii="Times New Roman" w:eastAsia="Times New Roman"/>
                <w:spacing w:val="-6"/>
                <w:sz w:val="21"/>
              </w:rPr>
              <w:t>0</w:t>
            </w:r>
            <w:r>
              <w:rPr>
                <w:spacing w:val="-8"/>
                <w:sz w:val="21"/>
              </w:rPr>
              <w:t xml:space="preserve">，其他类别为 </w:t>
            </w:r>
            <w:r>
              <w:rPr>
                <w:rFonts w:ascii="Times New Roman" w:eastAsia="Times New Roman"/>
                <w:spacing w:val="-6"/>
                <w:sz w:val="21"/>
              </w:rPr>
              <w:t>1</w:t>
            </w:r>
            <w:r>
              <w:rPr>
                <w:rFonts w:ascii="Times New Roman" w:eastAsia="Times New Roman"/>
                <w:spacing w:val="-7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>的</w:t>
            </w:r>
            <w:r>
              <w:rPr>
                <w:spacing w:val="-2"/>
                <w:sz w:val="21"/>
              </w:rPr>
              <w:t>数值形式来表示不同类别。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虚拟变量的必要性：在统计分析中，虚拟变量使得原本</w:t>
            </w:r>
            <w:r>
              <w:rPr>
                <w:spacing w:val="-2"/>
                <w:sz w:val="21"/>
              </w:rPr>
              <w:t>无法直接进行数学运算的定性变量得以量化，从而能够被</w:t>
            </w:r>
            <w:r>
              <w:rPr>
                <w:spacing w:val="-2"/>
                <w:sz w:val="21"/>
              </w:rPr>
              <w:t>纳入回归模型中进行分析和预测。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虚拟变量的应用范围：虚拟变量广泛应用于经济学、金</w:t>
            </w:r>
            <w:r>
              <w:rPr>
                <w:spacing w:val="-2"/>
                <w:sz w:val="21"/>
              </w:rPr>
              <w:t>融学、市场营销学等领域的企业投资决策模型中，以反映</w:t>
            </w:r>
            <w:r>
              <w:rPr>
                <w:spacing w:val="-2"/>
                <w:sz w:val="21"/>
              </w:rPr>
              <w:t>企业投资决策中的各种定性因素对投资效果的影响。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9"/>
          <w:jc w:val="left"/>
        </w:trPr>
        <w:tc>
          <w:tcPr>
            <w:tcW w:w="2761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虚拟变量的选择标准</w:t>
            </w:r>
          </w:p>
        </w:tc>
        <w:tc>
          <w:tcPr>
            <w:tcW w:w="5535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18"/>
              </w:numPr>
              <w:tabs>
                <w:tab w:val="left" w:pos="372"/>
              </w:tabs>
              <w:spacing w:before="0" w:after="0" w:line="278" w:lineRule="auto"/>
              <w:ind w:left="108" w:right="-15" w:firstLine="0"/>
              <w:jc w:val="left"/>
              <w:rPr>
                <w:sz w:val="21"/>
              </w:rPr>
            </w:pPr>
            <w:r>
              <w:rPr>
                <w:sz w:val="21"/>
              </w:rPr>
              <w:t>明确区分度：在选择虚拟变量时，应确保其能准确反映</w:t>
            </w:r>
            <w:r>
              <w:rPr>
                <w:spacing w:val="1"/>
                <w:sz w:val="21"/>
              </w:rPr>
              <w:t>所代表的类别之间的差异。例如，在分析企业的投资决策</w:t>
            </w:r>
            <w:r>
              <w:rPr>
                <w:spacing w:val="-4"/>
                <w:sz w:val="21"/>
              </w:rPr>
              <w:t>时，需要根据不同的投资类型</w:t>
            </w:r>
            <w:r>
              <w:rPr>
                <w:sz w:val="21"/>
              </w:rPr>
              <w:t>（</w:t>
            </w:r>
            <w:r>
              <w:rPr>
                <w:spacing w:val="-2"/>
                <w:sz w:val="21"/>
              </w:rPr>
              <w:t>如研发投资、市场投资等</w:t>
            </w:r>
            <w:r>
              <w:rPr>
                <w:spacing w:val="-12"/>
                <w:sz w:val="21"/>
              </w:rPr>
              <w:t>）</w:t>
            </w:r>
            <w:r>
              <w:rPr>
                <w:sz w:val="21"/>
              </w:rPr>
              <w:t>设置不同的虚拟变量。</w:t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避免多重共线性：由于虚拟变量的引入可能会增加模型</w:t>
            </w:r>
            <w:r>
              <w:rPr>
                <w:spacing w:val="-2"/>
                <w:sz w:val="21"/>
              </w:rPr>
              <w:t>的多重共线性问题，因此在选择时需要考虑各虚拟变量之</w:t>
            </w:r>
            <w:r>
              <w:rPr>
                <w:spacing w:val="-2"/>
                <w:sz w:val="21"/>
              </w:rPr>
              <w:t>间的相关性，并尽量降低它们的共线性程度。</w:t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val="left" w:pos="371"/>
              </w:tabs>
              <w:spacing w:before="0" w:after="0" w:line="269" w:lineRule="exact"/>
              <w:ind w:left="370" w:right="0" w:hanging="263"/>
              <w:jc w:val="both"/>
              <w:rPr>
                <w:sz w:val="21"/>
              </w:rPr>
            </w:pPr>
            <w:r>
              <w:rPr>
                <w:spacing w:val="-5"/>
                <w:sz w:val="21"/>
              </w:rPr>
              <w:t>控制数量：过多的虚拟变量可能会导致模型复杂度过高，</w:t>
            </w:r>
          </w:p>
          <w:p>
            <w:pPr>
              <w:pStyle w:val="TableParagraph"/>
              <w:spacing w:before="42"/>
              <w:rPr>
                <w:sz w:val="21"/>
              </w:rPr>
            </w:pPr>
            <w:r>
              <w:rPr>
                <w:spacing w:val="-1"/>
                <w:sz w:val="21"/>
              </w:rPr>
              <w:t>影响模型的稳定性和解释力。因此，在实际操作中，应合</w:t>
            </w:r>
          </w:p>
        </w:tc>
      </w:tr>
    </w:tbl>
    <w:p>
      <w:pPr>
        <w:spacing w:after="0"/>
        <w:rPr>
          <w:sz w:val="21"/>
        </w:rPr>
        <w:sectPr>
          <w:footerReference w:type="default" r:id="rId10"/>
          <w:pgSz w:w="11910" w:h="16840"/>
          <w:pgMar w:top="1520" w:right="1420" w:bottom="1380" w:left="1680" w:header="0" w:footer="1198"/>
          <w:pgNumType w:start="6"/>
          <w:cols w:space="708"/>
        </w:sectPr>
      </w:pPr>
    </w:p>
    <w:tbl>
      <w:tblPr>
        <w:tblStyle w:val="TableNormal3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1"/>
        <w:gridCol w:w="5535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276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535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理控制虚拟变量的数量。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9"/>
          <w:jc w:val="left"/>
        </w:trPr>
        <w:tc>
          <w:tcPr>
            <w:tcW w:w="2761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虚拟变量的设定原则</w:t>
            </w:r>
          </w:p>
        </w:tc>
        <w:tc>
          <w:tcPr>
            <w:tcW w:w="5535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17"/>
              </w:numPr>
              <w:tabs>
                <w:tab w:val="left" w:pos="372"/>
              </w:tabs>
              <w:spacing w:before="0" w:after="0" w:line="278" w:lineRule="auto"/>
              <w:ind w:left="108" w:right="95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基准类别的选择：在设定虚拟变量时，需要选择一个基</w:t>
            </w:r>
            <w:r>
              <w:rPr>
                <w:spacing w:val="-7"/>
                <w:sz w:val="21"/>
              </w:rPr>
              <w:t xml:space="preserve">准类别，并将其对应的虚拟变量值设为 </w:t>
            </w:r>
            <w:r>
              <w:rPr>
                <w:rFonts w:ascii="Times New Roman" w:eastAsia="Times New Roman"/>
                <w:spacing w:val="-6"/>
                <w:sz w:val="21"/>
              </w:rPr>
              <w:t>0</w:t>
            </w:r>
            <w:r>
              <w:rPr>
                <w:spacing w:val="-6"/>
                <w:sz w:val="21"/>
              </w:rPr>
              <w:t>，其他类别则对应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rFonts w:ascii="Times New Roman" w:eastAsia="Times New Roman"/>
                <w:spacing w:val="-2"/>
                <w:sz w:val="21"/>
              </w:rPr>
              <w:t>1</w:t>
            </w:r>
            <w:r>
              <w:rPr>
                <w:spacing w:val="-2"/>
                <w:sz w:val="21"/>
              </w:rPr>
              <w:t>。基准类别的选择应根据研究目的和数据特点来确定。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互斥性原则：对于同一分类变量，不应同时设置多个虚</w:t>
            </w:r>
            <w:r>
              <w:rPr>
                <w:spacing w:val="-2"/>
                <w:sz w:val="21"/>
              </w:rPr>
              <w:t>拟变量来代表同一个类别，以避免信息的重复和模型的不</w:t>
            </w:r>
            <w:r>
              <w:rPr>
                <w:spacing w:val="-4"/>
                <w:sz w:val="21"/>
              </w:rPr>
              <w:t>稳定。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val="left" w:pos="372"/>
              </w:tabs>
              <w:spacing w:before="0" w:after="0" w:line="278" w:lineRule="auto"/>
              <w:ind w:left="108" w:right="-44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完整性原则：虚拟变量的设定应覆盖所有可能的类别，</w:t>
            </w:r>
            <w:r>
              <w:rPr>
                <w:spacing w:val="-2"/>
                <w:sz w:val="21"/>
              </w:rPr>
              <w:t>以确保模型能够全面地反映各类别对企业投资决策的影响。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431"/>
          <w:jc w:val="left"/>
        </w:trPr>
        <w:tc>
          <w:tcPr>
            <w:tcW w:w="2761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虚拟变量与企业投资决策模</w:t>
            </w:r>
            <w:r>
              <w:rPr>
                <w:spacing w:val="-4"/>
                <w:sz w:val="21"/>
              </w:rPr>
              <w:t>型的结合</w:t>
            </w:r>
          </w:p>
        </w:tc>
        <w:tc>
          <w:tcPr>
            <w:tcW w:w="5535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16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模型构建：在构建企业投资决策模型时，可以将虚拟变</w:t>
            </w:r>
            <w:r>
              <w:rPr>
                <w:spacing w:val="-2"/>
                <w:sz w:val="21"/>
              </w:rPr>
              <w:t>量与其他定量变量一起纳入模型，以考察不同类别对企业</w:t>
            </w:r>
            <w:r>
              <w:rPr>
                <w:spacing w:val="-2"/>
                <w:sz w:val="21"/>
              </w:rPr>
              <w:t>投资行为的影响。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模型检验：引入虚拟变量后，需要对模型进行检验，包</w:t>
            </w:r>
            <w:r>
              <w:rPr>
                <w:spacing w:val="-2"/>
                <w:sz w:val="21"/>
              </w:rPr>
              <w:t>括拟合优度检验、显著性检验和多重共线性检验等，以确</w:t>
            </w:r>
            <w:r>
              <w:rPr>
                <w:spacing w:val="-2"/>
                <w:sz w:val="21"/>
              </w:rPr>
              <w:t>保模型的有效性和稳定性。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模型应用：通过分析虚拟变量在模型中的系数和显著性</w:t>
            </w:r>
            <w:r>
              <w:rPr>
                <w:spacing w:val="-2"/>
                <w:sz w:val="21"/>
              </w:rPr>
              <w:t>水平，可以得出不同类别对企业投资决策的具体影响，为</w:t>
            </w:r>
            <w:r>
              <w:rPr>
                <w:spacing w:val="-2"/>
                <w:sz w:val="21"/>
              </w:rPr>
              <w:t>企业制定投资策略提供依据。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61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虚拟变量应用的案例分析</w:t>
            </w:r>
          </w:p>
        </w:tc>
        <w:tc>
          <w:tcPr>
            <w:tcW w:w="5535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15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案例选取：通过具体的企业投资案例，展示如何运用虚</w:t>
            </w:r>
            <w:r>
              <w:rPr>
                <w:spacing w:val="-2"/>
                <w:sz w:val="21"/>
              </w:rPr>
              <w:t>拟变量来分析不同类型投资决策的影响因素及其效果。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结果解读：详细解读虚拟变量在案例中的表现，包括其</w:t>
            </w:r>
            <w:r>
              <w:rPr>
                <w:spacing w:val="-2"/>
                <w:sz w:val="21"/>
              </w:rPr>
              <w:t>在统计模型中的系数、显著性以及与其他变量的关系，从</w:t>
            </w:r>
            <w:r>
              <w:rPr>
                <w:spacing w:val="-2"/>
                <w:sz w:val="21"/>
              </w:rPr>
              <w:t>而揭示不同类型投资决策的特点和规律。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实践启示：基于案例分析的结果，提出对企业投资决策</w:t>
            </w:r>
            <w:r>
              <w:rPr>
                <w:spacing w:val="-2"/>
                <w:sz w:val="21"/>
              </w:rPr>
              <w:t>的启示和建议，帮助企业更好地利用虚拟变量进行投资决</w:t>
            </w:r>
            <w:r>
              <w:rPr>
                <w:spacing w:val="-4"/>
                <w:sz w:val="21"/>
              </w:rPr>
              <w:t>策分析。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61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虚拟变量应用的趋势与前沿</w:t>
            </w:r>
          </w:p>
        </w:tc>
        <w:tc>
          <w:tcPr>
            <w:tcW w:w="5535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14"/>
              </w:numPr>
              <w:tabs>
                <w:tab w:val="left" w:pos="372"/>
              </w:tabs>
              <w:spacing w:before="0" w:after="0" w:line="278" w:lineRule="auto"/>
              <w:ind w:left="108" w:right="-15" w:firstLine="0"/>
              <w:jc w:val="both"/>
              <w:rPr>
                <w:sz w:val="21"/>
              </w:rPr>
            </w:pPr>
            <w:r>
              <w:rPr>
                <w:sz w:val="21"/>
              </w:rPr>
              <w:t>大数据环境下的虚拟变量：随着大数据技术的发展，虚</w:t>
            </w:r>
            <w:r>
              <w:rPr>
                <w:spacing w:val="1"/>
                <w:sz w:val="21"/>
              </w:rPr>
              <w:t>拟变量在处理大规模、多源、异构数据方面展现出新的应</w:t>
            </w:r>
            <w:r>
              <w:rPr>
                <w:spacing w:val="-7"/>
                <w:sz w:val="21"/>
              </w:rPr>
              <w:t>用前景，例如在文本挖掘、图像识别等领域的分类问题中。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机器学习与虚拟变量：机器学习方法，如支持向量机、</w:t>
            </w:r>
            <w:r>
              <w:rPr>
                <w:spacing w:val="-2"/>
                <w:sz w:val="21"/>
              </w:rPr>
              <w:t>随机森林等，在处理具有虚拟变量的分类问题时表现出优</w:t>
            </w:r>
            <w:r>
              <w:rPr>
                <w:spacing w:val="-2"/>
                <w:sz w:val="21"/>
              </w:rPr>
              <w:t>越的性能，成为当前研究的热点。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val="left" w:pos="372"/>
              </w:tabs>
              <w:spacing w:before="0" w:after="0" w:line="269" w:lineRule="exact"/>
              <w:ind w:left="371" w:right="0" w:hanging="264"/>
              <w:jc w:val="both"/>
              <w:rPr>
                <w:sz w:val="21"/>
              </w:rPr>
            </w:pPr>
            <w:r>
              <w:rPr>
                <w:spacing w:val="-1"/>
                <w:sz w:val="21"/>
              </w:rPr>
              <w:t>虚拟变量的未来方向：未来的研究可能更加关注虚拟变</w:t>
            </w:r>
          </w:p>
          <w:p>
            <w:pPr>
              <w:pStyle w:val="TableParagraph"/>
              <w:spacing w:before="1" w:line="310" w:lineRule="atLeast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量在不同领域、不同场景下的应用拓展，以及如何提高虚</w:t>
            </w:r>
            <w:r>
              <w:rPr>
                <w:spacing w:val="-2"/>
                <w:sz w:val="21"/>
              </w:rPr>
              <w:t>拟变量在复杂模型中的解释力和预测精度。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76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535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footerReference w:type="default" r:id="rId11"/>
          <w:type w:val="continuous"/>
          <w:pgSz w:w="11910" w:h="16840"/>
          <w:pgMar w:top="1400" w:right="1420" w:bottom="1380" w:left="1680" w:header="0" w:footer="1198"/>
          <w:pgNumType w:start="7"/>
          <w:cols w:space="708"/>
        </w:sectPr>
      </w:pPr>
    </w:p>
    <w:p>
      <w:pPr>
        <w:pStyle w:val="BodyText"/>
        <w:spacing w:before="37" w:line="417" w:lineRule="auto"/>
        <w:ind w:right="378" w:firstLine="560"/>
        <w:jc w:val="both"/>
      </w:pPr>
      <w:r>
        <w:t>虚拟变量（Dummy Variables）是计量经济学和企业投资决策分</w:t>
      </w:r>
      <w:r>
        <w:rPr>
          <w:spacing w:val="-4"/>
        </w:rPr>
        <w:t>析中常用的工具，用于量化非数值型因素的影响。在选择和设定虚拟</w:t>
      </w:r>
      <w:r>
        <w:rPr>
          <w:spacing w:val="-2"/>
        </w:rPr>
        <w:t>变量时，需要遵循以下原则：</w:t>
      </w:r>
    </w:p>
    <w:p>
      <w:pPr>
        <w:pStyle w:val="BodyText"/>
        <w:spacing w:line="358" w:lineRule="exact"/>
        <w:jc w:val="both"/>
      </w:pPr>
      <w:r>
        <w:t>### 1.</w:t>
      </w:r>
      <w:r>
        <w:rPr>
          <w:spacing w:val="-2"/>
        </w:rPr>
        <w:t xml:space="preserve"> 虚拟变量的选择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/>
        <w:jc w:val="both"/>
      </w:pPr>
      <w:r>
        <w:t>#### (1)</w:t>
      </w:r>
      <w:r>
        <w:rPr>
          <w:spacing w:val="-2"/>
        </w:rPr>
        <w:t xml:space="preserve"> 反映类别差异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4"/>
        </w:rPr>
        <w:t>虚拟变量应代表不同的类别或组群，如不同行业的企业、不同规模的</w:t>
      </w:r>
      <w:r>
        <w:rPr>
          <w:spacing w:val="-4"/>
        </w:rPr>
        <w:t>企业、不同地区的企业等。这些类别通常基于企业特征或市场环境进</w:t>
      </w:r>
      <w:r>
        <w:rPr>
          <w:spacing w:val="-4"/>
        </w:rPr>
        <w:t>行划分。</w:t>
      </w:r>
    </w:p>
    <w:p>
      <w:pPr>
        <w:pStyle w:val="BodyText"/>
        <w:spacing w:line="358" w:lineRule="exact"/>
        <w:jc w:val="both"/>
      </w:pPr>
      <w:r>
        <w:t>#### (2)</w:t>
      </w:r>
      <w:r>
        <w:rPr>
          <w:spacing w:val="-2"/>
        </w:rPr>
        <w:t xml:space="preserve"> 避免多重共线性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104"/>
      </w:pPr>
      <w:r>
        <w:rPr>
          <w:spacing w:val="-2"/>
        </w:rPr>
        <w:t>虚拟变量之间不应高度相关，否则会导致多重共线性问题，影响模型</w:t>
      </w:r>
      <w:r>
        <w:rPr>
          <w:spacing w:val="-2"/>
        </w:rPr>
        <w:t xml:space="preserve"> </w:t>
      </w:r>
      <w:r>
        <w:rPr>
          <w:spacing w:val="-2"/>
        </w:rPr>
        <w:t xml:space="preserve">的估计效果。因此，在选择虚拟变量时，应考虑其独立性和代表性。 </w:t>
      </w:r>
      <w:r>
        <w:t>### 2. 虚拟变量的设定</w:t>
      </w:r>
    </w:p>
    <w:p>
      <w:pPr>
        <w:pStyle w:val="BodyText"/>
        <w:spacing w:line="358" w:lineRule="exact"/>
      </w:pPr>
      <w:r>
        <w:t>#### (1)</w:t>
      </w:r>
      <w:r>
        <w:rPr>
          <w:spacing w:val="-2"/>
        </w:rPr>
        <w:t xml:space="preserve"> 基准组的确定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4"/>
        </w:rPr>
        <w:t xml:space="preserve">在设定虚拟变量时，需要选择一个基准组，该组对应的虚拟变量值为 </w:t>
      </w:r>
      <w:r>
        <w:t>0，其他组对应的虚拟变量值为 1。基准组的选取应具有合理性，例</w:t>
      </w:r>
      <w:r>
        <w:rPr>
          <w:spacing w:val="-2"/>
        </w:rPr>
        <w:t>如可以选取样本均值或最常见的类别作为基准。</w:t>
      </w:r>
    </w:p>
    <w:p>
      <w:pPr>
        <w:pStyle w:val="BodyText"/>
        <w:spacing w:line="358" w:lineRule="exact"/>
        <w:jc w:val="both"/>
      </w:pPr>
      <w:r>
        <w:t>#### (2)</w:t>
      </w:r>
      <w:r>
        <w:rPr>
          <w:spacing w:val="-2"/>
        </w:rPr>
        <w:t xml:space="preserve"> 虚拟变量的数量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4"/>
        </w:rPr>
        <w:t>对于每个类别，通常设定一个虚拟变量。如果类别过多，可以考虑使</w:t>
      </w:r>
      <w:r>
        <w:rPr>
          <w:spacing w:val="-9"/>
        </w:rPr>
        <w:t>用交互项来减少虚拟变量的数量。过多的虚拟变量可能导致模型复杂</w:t>
      </w:r>
      <w:r>
        <w:rPr>
          <w:spacing w:val="-2"/>
        </w:rPr>
        <w:t>度增加，从而降低估计的准确性。</w:t>
      </w:r>
    </w:p>
    <w:p>
      <w:pPr>
        <w:pStyle w:val="BodyText"/>
        <w:spacing w:line="358" w:lineRule="exact"/>
        <w:jc w:val="both"/>
      </w:pPr>
      <w:r>
        <w:t>#### (3)</w:t>
      </w:r>
      <w:r>
        <w:rPr>
          <w:spacing w:val="-2"/>
        </w:rPr>
        <w:t xml:space="preserve"> 虚拟变量的交互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/>
      </w:pPr>
      <w:r>
        <w:rPr>
          <w:spacing w:val="-6"/>
        </w:rPr>
        <w:t>当考察两个或多个类别变量之间的相互作用时，可以通过设置交互项</w:t>
      </w:r>
    </w:p>
    <w:p>
      <w:pPr>
        <w:spacing w:after="0"/>
        <w:sectPr>
          <w:footerReference w:type="default" r:id="rId12"/>
          <w:pgSz w:w="11910" w:h="16840"/>
          <w:pgMar w:top="1520" w:right="1420" w:bottom="1380" w:left="1680" w:header="0" w:footer="1198"/>
          <w:pgNumType w:start="8"/>
          <w:cols w:space="708"/>
        </w:sectPr>
      </w:pPr>
    </w:p>
    <w:p>
      <w:pPr>
        <w:pStyle w:val="BodyText"/>
        <w:spacing w:before="37" w:line="417" w:lineRule="auto"/>
        <w:ind w:right="378"/>
        <w:jc w:val="both"/>
      </w:pPr>
      <w:r>
        <w:rPr>
          <w:spacing w:val="-4"/>
        </w:rPr>
        <w:t>来实现。例如，研究行业类型（制造业与非制造业）与企业规模（</w:t>
      </w:r>
      <w:r>
        <w:rPr>
          <w:spacing w:val="-4"/>
        </w:rPr>
        <w:t>大</w:t>
      </w:r>
      <w:r>
        <w:rPr>
          <w:spacing w:val="-4"/>
        </w:rPr>
        <w:t>企业与中小企业）如何共同影响企业投资决策时，可以设置“行业类</w:t>
      </w:r>
      <w:r>
        <w:rPr>
          <w:spacing w:val="-2"/>
        </w:rPr>
        <w:t>型*企业规模”的交互项。</w:t>
      </w:r>
    </w:p>
    <w:p>
      <w:pPr>
        <w:pStyle w:val="BodyText"/>
        <w:spacing w:line="358" w:lineRule="exact"/>
        <w:jc w:val="both"/>
      </w:pPr>
      <w:r>
        <w:t>### 3.</w:t>
      </w:r>
      <w:r>
        <w:rPr>
          <w:spacing w:val="-2"/>
        </w:rPr>
        <w:t xml:space="preserve"> 虚拟变量的应用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/>
        <w:jc w:val="both"/>
      </w:pPr>
      <w:r>
        <w:t>#### (1) 线性概率模型</w:t>
      </w:r>
      <w:r>
        <w:rPr>
          <w:spacing w:val="-2"/>
        </w:rPr>
        <w:t>（LPM）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7"/>
        </w:rPr>
        <w:t>线性概率模型是最简单的虚拟变量回归模型，它将因变量的期望值表</w:t>
      </w:r>
      <w:r>
        <w:rPr>
          <w:spacing w:val="-4"/>
        </w:rPr>
        <w:t>示为自变量（包括虚拟变量）的线性函数。这种模型适用于预测分类</w:t>
      </w:r>
      <w:r>
        <w:rPr>
          <w:spacing w:val="-2"/>
        </w:rPr>
        <w:t>结果，但可能无法很好地捕捉类别间的过渡区域。</w:t>
      </w:r>
    </w:p>
    <w:p>
      <w:pPr>
        <w:pStyle w:val="BodyText"/>
        <w:spacing w:line="358" w:lineRule="exact"/>
        <w:jc w:val="both"/>
      </w:pPr>
      <w:r>
        <w:t xml:space="preserve">#### (2) 逻辑斯蒂回归模型（Logit </w:t>
      </w:r>
      <w:r>
        <w:rPr>
          <w:spacing w:val="-2"/>
        </w:rPr>
        <w:t>Model）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6"/>
        </w:rPr>
        <w:t>逻辑斯蒂回归模型通过将线性概率模型的结果代入逻辑函数，得到介</w:t>
      </w:r>
      <w:r>
        <w:rPr>
          <w:spacing w:val="-18"/>
        </w:rPr>
        <w:t xml:space="preserve">于 </w:t>
      </w:r>
      <w:r>
        <w:rPr>
          <w:spacing w:val="-10"/>
        </w:rPr>
        <w:t>0</w:t>
      </w:r>
      <w:r>
        <w:rPr>
          <w:spacing w:val="-21"/>
        </w:rPr>
        <w:t xml:space="preserve"> 和 </w:t>
      </w:r>
      <w:r>
        <w:rPr>
          <w:spacing w:val="-10"/>
        </w:rPr>
        <w:t>1</w:t>
      </w:r>
      <w:r>
        <w:rPr>
          <w:spacing w:val="-14"/>
        </w:rPr>
        <w:t xml:space="preserve"> 之间的概率值。这种模型适用于处理二元选择问题，如企业</w:t>
      </w:r>
      <w:r>
        <w:rPr>
          <w:spacing w:val="-2"/>
        </w:rPr>
        <w:t>是否进行投资。</w:t>
      </w:r>
    </w:p>
    <w:p>
      <w:pPr>
        <w:pStyle w:val="BodyText"/>
        <w:spacing w:line="358" w:lineRule="exact"/>
        <w:jc w:val="both"/>
      </w:pPr>
      <w:r>
        <w:t xml:space="preserve">#### (3) 多元逻辑斯蒂回归模型（Multinomial Logit </w:t>
      </w:r>
      <w:r>
        <w:rPr>
          <w:spacing w:val="-2"/>
        </w:rPr>
        <w:t>Model）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7"/>
        </w:rPr>
        <w:t>多元逻辑斯蒂回归模型用于处理多类选择问题，如企业投资于不同类</w:t>
      </w:r>
      <w:r>
        <w:rPr>
          <w:spacing w:val="-4"/>
        </w:rPr>
        <w:t>型的项目。在这种模型中，每个类别都有一个虚拟变量，且所有虚拟</w:t>
      </w:r>
      <w:r>
        <w:rPr>
          <w:spacing w:val="-2"/>
        </w:rPr>
        <w:t>变量之间相互独立。</w:t>
      </w:r>
    </w:p>
    <w:p>
      <w:pPr>
        <w:pStyle w:val="BodyText"/>
        <w:spacing w:line="358" w:lineRule="exact"/>
        <w:jc w:val="both"/>
      </w:pPr>
      <w:r>
        <w:t xml:space="preserve">#### (4) 概率比例模型（Probit </w:t>
      </w:r>
      <w:r>
        <w:rPr>
          <w:spacing w:val="-2"/>
        </w:rPr>
        <w:t>Model）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</w:pPr>
      <w:r>
        <w:rPr>
          <w:spacing w:val="-8"/>
        </w:rPr>
        <w:t>概率比例模型与逻辑斯蒂回归模型类似，但使用的是正态分布而非逻</w:t>
      </w:r>
      <w:r>
        <w:rPr>
          <w:spacing w:val="-2"/>
        </w:rPr>
        <w:t>辑分布。这种模型在处理极端值和异常值时可能更为稳健。</w:t>
      </w:r>
    </w:p>
    <w:p>
      <w:pPr>
        <w:pStyle w:val="BodyText"/>
        <w:spacing w:line="358" w:lineRule="exact"/>
      </w:pPr>
      <w:r>
        <w:t>### 4.</w:t>
      </w:r>
      <w:r>
        <w:rPr>
          <w:spacing w:val="-2"/>
        </w:rPr>
        <w:t xml:space="preserve"> 虚拟变量的检验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/>
        <w:jc w:val="both"/>
      </w:pPr>
      <w:r>
        <w:t>#### (1)</w:t>
      </w:r>
      <w:r>
        <w:rPr>
          <w:spacing w:val="-2"/>
        </w:rPr>
        <w:t xml:space="preserve"> 显著性检验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/>
      </w:pPr>
      <w:r>
        <w:rPr>
          <w:spacing w:val="-7"/>
        </w:rPr>
        <w:t>对虚拟变量的系数进行显著性检验，以判断该变量对企业投资决策是</w:t>
      </w:r>
    </w:p>
    <w:p>
      <w:pPr>
        <w:spacing w:after="0"/>
        <w:sectPr>
          <w:footerReference w:type="default" r:id="rId13"/>
          <w:pgSz w:w="11910" w:h="16840"/>
          <w:pgMar w:top="1520" w:right="1420" w:bottom="1380" w:left="1680" w:header="0" w:footer="1198"/>
          <w:pgNumType w:start="9"/>
          <w:cols w:space="708"/>
        </w:sectPr>
      </w:pPr>
    </w:p>
    <w:p>
      <w:pPr>
        <w:pStyle w:val="BodyText"/>
        <w:spacing w:before="37" w:line="417" w:lineRule="auto"/>
        <w:ind w:right="985"/>
      </w:pPr>
      <w:r>
        <w:rPr>
          <w:spacing w:val="-6"/>
        </w:rPr>
        <w:t xml:space="preserve">否有显著影响。常用的显著性检验方法有 </w:t>
      </w:r>
      <w:r>
        <w:rPr>
          <w:spacing w:val="-2"/>
        </w:rPr>
        <w:t>t</w:t>
      </w:r>
      <w:r>
        <w:rPr>
          <w:spacing w:val="-29"/>
        </w:rPr>
        <w:t xml:space="preserve"> 检验和 </w:t>
      </w:r>
      <w:r>
        <w:rPr>
          <w:spacing w:val="-2"/>
        </w:rPr>
        <w:t>Wald</w:t>
      </w:r>
      <w:r>
        <w:rPr>
          <w:spacing w:val="-19"/>
        </w:rPr>
        <w:t xml:space="preserve"> 检验。</w:t>
      </w:r>
      <w:r>
        <w:rPr>
          <w:spacing w:val="-2"/>
        </w:rPr>
        <w:t xml:space="preserve"> </w:t>
      </w:r>
      <w:r>
        <w:t>#### (2) 拟合优度检验</w:t>
      </w:r>
    </w:p>
    <w:p>
      <w:pPr>
        <w:pStyle w:val="BodyText"/>
        <w:spacing w:line="417" w:lineRule="auto"/>
        <w:ind w:right="378"/>
      </w:pPr>
      <w:r>
        <w:rPr>
          <w:spacing w:val="-3"/>
        </w:rPr>
        <w:t xml:space="preserve">评估模型的整体解释能力，常用的指标有 </w:t>
      </w:r>
      <w:r>
        <w:t>R-squared、Adjusted R- squared</w:t>
      </w:r>
      <w:r>
        <w:rPr>
          <w:spacing w:val="-21"/>
        </w:rPr>
        <w:t xml:space="preserve"> 以及 </w:t>
      </w:r>
      <w:r>
        <w:t>AIC</w:t>
      </w:r>
      <w:r>
        <w:rPr>
          <w:spacing w:val="-27"/>
        </w:rPr>
        <w:t xml:space="preserve"> 和 </w:t>
      </w:r>
      <w:r>
        <w:t>BIC</w:t>
      </w:r>
      <w:r>
        <w:rPr>
          <w:spacing w:val="-7"/>
        </w:rPr>
        <w:t xml:space="preserve"> 等信息标准。</w:t>
      </w:r>
    </w:p>
    <w:p>
      <w:pPr>
        <w:pStyle w:val="BodyText"/>
        <w:spacing w:line="358" w:lineRule="exact"/>
      </w:pPr>
      <w:r>
        <w:t>#### (3)</w:t>
      </w:r>
      <w:r>
        <w:rPr>
          <w:spacing w:val="-2"/>
        </w:rPr>
        <w:t xml:space="preserve"> 多重共线性检验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line="417" w:lineRule="auto"/>
        <w:ind w:right="378"/>
      </w:pPr>
      <w:r>
        <w:rPr>
          <w:spacing w:val="-21"/>
        </w:rPr>
        <w:t>通过方差膨胀因子</w:t>
      </w:r>
      <w:r>
        <w:rPr>
          <w:spacing w:val="19"/>
        </w:rPr>
        <w:t>（VIF</w:t>
      </w:r>
      <w:r>
        <w:rPr>
          <w:spacing w:val="-106"/>
        </w:rPr>
        <w:t>）</w:t>
      </w:r>
      <w:r>
        <w:rPr>
          <w:spacing w:val="-13"/>
        </w:rPr>
        <w:t>检验虚拟变量之间是否存在多重共线性。</w:t>
      </w:r>
      <w:r>
        <w:rPr>
          <w:spacing w:val="-6"/>
        </w:rPr>
        <w:t xml:space="preserve">VIF值大于 </w:t>
      </w:r>
      <w:r>
        <w:t>10</w:t>
      </w:r>
      <w:r>
        <w:rPr>
          <w:spacing w:val="-5"/>
        </w:rPr>
        <w:t xml:space="preserve"> 通常被认为是存在严重共线性的标志。</w:t>
      </w:r>
    </w:p>
    <w:p>
      <w:pPr>
        <w:pStyle w:val="BodyText"/>
        <w:spacing w:line="417" w:lineRule="auto"/>
        <w:ind w:right="238"/>
      </w:pPr>
      <w:r>
        <w:rPr>
          <w:spacing w:val="-12"/>
        </w:rPr>
        <w:t>综上所述，虚拟变量在企业投资决策模型中的应用需综合考虑类别差</w:t>
      </w:r>
      <w:r>
        <w:rPr>
          <w:spacing w:val="-19"/>
        </w:rPr>
        <w:t>异、独立性、基准组的选择、交互作用、模型选择及检验等多个方面。</w:t>
      </w:r>
      <w:r>
        <w:rPr>
          <w:spacing w:val="-6"/>
        </w:rPr>
        <w:t>合理选择和设定虚拟变量有助于提高模型的解释能力和预测精度，为</w:t>
      </w:r>
      <w:r>
        <w:rPr>
          <w:spacing w:val="-2"/>
        </w:rPr>
        <w:t>企业投资决策提供有力支持。</w:t>
      </w:r>
    </w:p>
    <w:p>
      <w:pPr>
        <w:pStyle w:val="BodyText"/>
        <w:ind w:left="0"/>
      </w:pPr>
    </w:p>
    <w:p>
      <w:pPr>
        <w:pStyle w:val="Heading1"/>
        <w:tabs>
          <w:tab w:val="left" w:pos="1725"/>
        </w:tabs>
        <w:spacing w:before="237"/>
      </w:pPr>
      <w:bookmarkStart w:id="4" w:name="_TOC_250003"/>
      <w:r>
        <w:t>第</w:t>
      </w:r>
      <w:r>
        <w:t>五</w:t>
      </w:r>
      <w:r>
        <w:t>部</w:t>
      </w:r>
      <w:r>
        <w:rPr>
          <w:spacing w:val="-10"/>
        </w:rPr>
        <w:t>分</w:t>
      </w:r>
      <w:r>
        <w:tab/>
        <w:t>虚</w:t>
      </w:r>
      <w:r>
        <w:t>拟</w:t>
      </w:r>
      <w:r>
        <w:t>变</w:t>
      </w:r>
      <w:r>
        <w:t>量</w:t>
      </w:r>
      <w:r>
        <w:t>与</w:t>
      </w:r>
      <w:r>
        <w:t>企</w:t>
      </w:r>
      <w:r>
        <w:t>业</w:t>
      </w:r>
      <w:r>
        <w:t>投</w:t>
      </w:r>
      <w:r>
        <w:t>资</w:t>
      </w:r>
      <w:r>
        <w:t>决</w:t>
      </w:r>
      <w:r>
        <w:t>策</w:t>
      </w:r>
      <w:r>
        <w:t>模</w:t>
      </w:r>
      <w:r>
        <w:t>型</w:t>
      </w:r>
      <w:r>
        <w:t>构</w:t>
      </w:r>
      <w:bookmarkEnd w:id="4"/>
      <w:r>
        <w:rPr>
          <w:spacing w:val="-10"/>
        </w:rPr>
        <w:t>建</w:t>
      </w:r>
    </w:p>
    <w:p>
      <w:pPr>
        <w:pStyle w:val="BodyText"/>
        <w:spacing w:before="16"/>
        <w:ind w:left="0"/>
        <w:rPr>
          <w:rFonts w:ascii="Microsoft JhengHei"/>
          <w:b/>
          <w:sz w:val="15"/>
        </w:rPr>
      </w:pPr>
    </w:p>
    <w:tbl>
      <w:tblPr>
        <w:tblStyle w:val="TableNormal4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8"/>
        <w:gridCol w:w="5528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8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8" w:type="dxa"/>
          </w:tcPr>
          <w:p>
            <w:pPr>
              <w:pStyle w:val="TableParagraph"/>
              <w:spacing w:before="23"/>
              <w:ind w:left="107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367"/>
          <w:jc w:val="left"/>
        </w:trPr>
        <w:tc>
          <w:tcPr>
            <w:tcW w:w="2768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【虚拟变量的定义与作用】</w:t>
            </w:r>
          </w:p>
        </w:tc>
        <w:tc>
          <w:tcPr>
            <w:tcW w:w="5528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13"/>
              </w:numPr>
              <w:tabs>
                <w:tab w:val="left" w:pos="372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z w:val="21"/>
              </w:rPr>
              <w:t>虚拟变量（</w:t>
            </w:r>
            <w:r>
              <w:rPr>
                <w:rFonts w:ascii="Times New Roman" w:eastAsia="Times New Roman"/>
                <w:sz w:val="21"/>
              </w:rPr>
              <w:t>Dummy</w:t>
            </w:r>
            <w:r>
              <w:rPr>
                <w:rFonts w:ascii="Times New Roman" w:eastAsia="Times New Roman"/>
                <w:spacing w:val="-14"/>
                <w:sz w:val="21"/>
              </w:rPr>
              <w:t xml:space="preserve"> </w:t>
            </w:r>
            <w:r>
              <w:rPr>
                <w:rFonts w:ascii="Times New Roman" w:eastAsia="Times New Roman"/>
                <w:sz w:val="21"/>
              </w:rPr>
              <w:t>Variable</w:t>
            </w:r>
            <w:r>
              <w:rPr>
                <w:sz w:val="21"/>
              </w:rPr>
              <w:t>）是一种用于量化非数值型</w:t>
            </w:r>
            <w:r>
              <w:rPr>
                <w:spacing w:val="-3"/>
                <w:sz w:val="21"/>
              </w:rPr>
              <w:t xml:space="preserve">数据的统计方法，通常用 </w:t>
            </w:r>
            <w:r>
              <w:rPr>
                <w:rFonts w:ascii="Times New Roman" w:eastAsia="Times New Roman"/>
                <w:sz w:val="21"/>
              </w:rPr>
              <w:t>1</w:t>
            </w:r>
            <w:r>
              <w:rPr>
                <w:rFonts w:ascii="Times New Roman" w:eastAsia="Times New Roman"/>
                <w:spacing w:val="-13"/>
                <w:sz w:val="21"/>
              </w:rPr>
              <w:t xml:space="preserve"> </w:t>
            </w:r>
            <w:r>
              <w:rPr>
                <w:spacing w:val="-13"/>
                <w:sz w:val="21"/>
              </w:rPr>
              <w:t xml:space="preserve">和 </w:t>
            </w:r>
            <w:r>
              <w:rPr>
                <w:rFonts w:ascii="Times New Roman" w:eastAsia="Times New Roman"/>
                <w:sz w:val="21"/>
              </w:rPr>
              <w:t>0</w:t>
            </w:r>
            <w:r>
              <w:rPr>
                <w:rFonts w:ascii="Times New Roman" w:eastAsia="Times New Roman"/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表示不同的类别或状态。</w:t>
            </w:r>
            <w:r>
              <w:rPr>
                <w:spacing w:val="-2"/>
                <w:sz w:val="21"/>
              </w:rPr>
              <w:t>在企业投资决策模型中，虚拟变量被用来反映企业是否进行了某项投资活动，或者企业的某些特征如行业类型、所</w:t>
            </w:r>
            <w:r>
              <w:rPr>
                <w:spacing w:val="-2"/>
                <w:sz w:val="21"/>
              </w:rPr>
              <w:t>有制形式等。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引入虚拟变量可以增强模型的解释能力，使得回归分析</w:t>
            </w:r>
            <w:r>
              <w:rPr>
                <w:spacing w:val="-2"/>
                <w:sz w:val="21"/>
              </w:rPr>
              <w:t>的结果更加直观易懂。例如，通过比较不同虚拟变量系数</w:t>
            </w:r>
            <w:r>
              <w:rPr>
                <w:spacing w:val="-2"/>
                <w:sz w:val="21"/>
              </w:rPr>
              <w:t>的大小，可以判断不同因素对企业投资行为的影响程度。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虚拟变量的使用还可以解决多重共线性问题，当两个或</w:t>
            </w:r>
            <w:r>
              <w:rPr>
                <w:spacing w:val="-2"/>
                <w:sz w:val="21"/>
              </w:rPr>
              <w:t>多个连续变量高度相关时，可以通过引入一个或多个虚拟</w:t>
            </w:r>
            <w:r>
              <w:rPr>
                <w:spacing w:val="-2"/>
                <w:sz w:val="21"/>
              </w:rPr>
              <w:t>变量来替代这些连续变量，从而提高模型的稳定性。</w:t>
            </w:r>
          </w:p>
          <w:p>
            <w:pPr>
              <w:pStyle w:val="TableParagraph"/>
              <w:spacing w:line="269" w:lineRule="exact"/>
              <w:ind w:left="107"/>
              <w:rPr>
                <w:sz w:val="21"/>
              </w:rPr>
            </w:pPr>
            <w:r>
              <w:rPr>
                <w:spacing w:val="-1"/>
                <w:sz w:val="21"/>
              </w:rPr>
              <w:t>【企业投资决策模型的基本结构】</w:t>
            </w:r>
          </w:p>
        </w:tc>
      </w:tr>
    </w:tbl>
    <w:p>
      <w:pPr>
        <w:pStyle w:val="BodyText"/>
        <w:spacing w:before="1"/>
        <w:ind w:left="0"/>
        <w:rPr>
          <w:rFonts w:ascii="Microsoft JhengHei"/>
          <w:b/>
          <w:sz w:val="4"/>
        </w:rPr>
      </w:pPr>
    </w:p>
    <w:p>
      <w:pPr>
        <w:pStyle w:val="BodyText"/>
        <w:spacing w:before="61"/>
        <w:ind w:left="680"/>
      </w:pPr>
      <w:r>
        <w:t>虚拟变量（Dummy Variables）</w:t>
      </w:r>
      <w:r>
        <w:rPr>
          <w:spacing w:val="-1"/>
        </w:rPr>
        <w:t>在企业投资决策模型中的运用</w:t>
      </w:r>
    </w:p>
    <w:p>
      <w:pPr>
        <w:spacing w:after="0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https://d.book118.com/948046045064006043</w:t>
        </w:r>
      </w:hyperlink>
    </w:p>
    <w:p>
      <w:pPr>
        <w:spacing w:after="0"/>
      </w:pPr>
    </w:p>
    <w:sectPr>
      <w:footerReference w:type="default" r:id="rId15"/>
      <w:pgSz w:w="11910" w:h="16840"/>
      <w:pgMar w:top="1520" w:right="1420" w:bottom="1380" w:left="1680" w:header="0" w:footer="1198"/>
      <w:pgNumType w:start="1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05pt;height:12pt;margin-top:770.98pt;margin-left:284.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05pt;height:12pt;margin-top:770.98pt;margin-left:284.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05pt;height:12pt;margin-top:770.98pt;margin-left:284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05pt;height:12pt;margin-top:770.98pt;margin-left:284.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05pt;height:12pt;margin-top:770.98pt;margin-left:284.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5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05pt;height:12pt;margin-top:770.98pt;margin-left:284.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6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05pt;height:12pt;margin-top:770.98pt;margin-left:284.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7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05pt;height:12pt;margin-top:770.98pt;margin-left:284.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8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05pt;height:12pt;margin-top:770.98pt;margin-left:284.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05pt;height:12pt;margin-top:770.98pt;margin-left:284.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6A8D6C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5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6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7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8" w:hanging="263"/>
      </w:pPr>
      <w:rPr>
        <w:rFonts w:hint="default"/>
        <w:lang w:val="en-US" w:eastAsia="zh-CN" w:bidi="ar-SA"/>
      </w:rPr>
    </w:lvl>
  </w:abstractNum>
  <w:abstractNum w:abstractNumId="1">
    <w:nsid w:val="09DE001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">
    <w:nsid w:val="0A6ED47C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-"/>
      <w:lvlJc w:val="left"/>
      <w:pPr>
        <w:ind w:left="120" w:hanging="285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58" w:hanging="285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376" w:hanging="285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295" w:hanging="285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213" w:hanging="285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132" w:hanging="285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050" w:hanging="285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969" w:hanging="285"/>
      </w:pPr>
      <w:rPr>
        <w:rFonts w:hint="default"/>
        <w:lang w:val="en-US" w:eastAsia="zh-CN" w:bidi="ar-SA"/>
      </w:rPr>
    </w:lvl>
  </w:abstractNum>
  <w:abstractNum w:abstractNumId="3">
    <w:nsid w:val="0B0BB72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">
    <w:nsid w:val="10EDDE9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1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1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1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4" w:hanging="21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1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7" w:hanging="21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9" w:hanging="21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0" w:hanging="21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2" w:hanging="213"/>
      </w:pPr>
      <w:rPr>
        <w:rFonts w:hint="default"/>
        <w:lang w:val="en-US" w:eastAsia="zh-CN" w:bidi="ar-SA"/>
      </w:rPr>
    </w:lvl>
  </w:abstractNum>
  <w:abstractNum w:abstractNumId="5">
    <w:nsid w:val="13234D3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2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4" w:hanging="264"/>
      </w:pPr>
      <w:rPr>
        <w:rFonts w:hint="default"/>
        <w:lang w:val="en-US" w:eastAsia="zh-CN" w:bidi="ar-SA"/>
      </w:rPr>
    </w:lvl>
  </w:abstractNum>
  <w:abstractNum w:abstractNumId="6">
    <w:nsid w:val="1F79E532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0"/>
      </w:pPr>
      <w:rPr>
        <w:rFonts w:hint="default"/>
        <w:lang w:val="en-US" w:eastAsia="zh-CN" w:bidi="ar-SA"/>
      </w:rPr>
    </w:lvl>
  </w:abstractNum>
  <w:abstractNum w:abstractNumId="7">
    <w:nsid w:val="21432DB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8">
    <w:nsid w:val="21C37E3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9">
    <w:nsid w:val="294A3B3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2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5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7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0" w:hanging="264"/>
      </w:pPr>
      <w:rPr>
        <w:rFonts w:hint="default"/>
        <w:lang w:val="en-US" w:eastAsia="zh-CN" w:bidi="ar-SA"/>
      </w:rPr>
    </w:lvl>
  </w:abstractNum>
  <w:abstractNum w:abstractNumId="10">
    <w:nsid w:val="379B75C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1">
    <w:nsid w:val="3BFA723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2">
    <w:nsid w:val="3E2FA95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2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5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7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0" w:hanging="264"/>
      </w:pPr>
      <w:rPr>
        <w:rFonts w:hint="default"/>
        <w:lang w:val="en-US" w:eastAsia="zh-CN" w:bidi="ar-SA"/>
      </w:rPr>
    </w:lvl>
  </w:abstractNum>
  <w:abstractNum w:abstractNumId="13">
    <w:nsid w:val="3E8CDB5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2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5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7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0" w:hanging="264"/>
      </w:pPr>
      <w:rPr>
        <w:rFonts w:hint="default"/>
        <w:lang w:val="en-US" w:eastAsia="zh-CN" w:bidi="ar-SA"/>
      </w:rPr>
    </w:lvl>
  </w:abstractNum>
  <w:abstractNum w:abstractNumId="14">
    <w:nsid w:val="4210B8C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2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5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7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0" w:hanging="264"/>
      </w:pPr>
      <w:rPr>
        <w:rFonts w:hint="default"/>
        <w:lang w:val="en-US" w:eastAsia="zh-CN" w:bidi="ar-SA"/>
      </w:rPr>
    </w:lvl>
  </w:abstractNum>
  <w:abstractNum w:abstractNumId="15">
    <w:nsid w:val="4DF8AA8E"/>
    <w:multiLevelType w:val="hybridMultilevel"/>
    <w:tmpl w:val="00000000"/>
    <w:lvl w:ilvl="0">
      <w:start w:val="0"/>
      <w:numFmt w:val="bullet"/>
      <w:lvlText w:val="-"/>
      <w:lvlJc w:val="left"/>
      <w:pPr>
        <w:ind w:left="120" w:hanging="280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28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28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28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28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28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28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28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280"/>
      </w:pPr>
      <w:rPr>
        <w:rFonts w:hint="default"/>
        <w:lang w:val="en-US" w:eastAsia="zh-CN" w:bidi="ar-SA"/>
      </w:rPr>
    </w:lvl>
  </w:abstractNum>
  <w:abstractNum w:abstractNumId="16">
    <w:nsid w:val="56AF1838"/>
    <w:multiLevelType w:val="hybridMultilevel"/>
    <w:tmpl w:val="00000000"/>
    <w:lvl w:ilvl="0">
      <w:start w:val="0"/>
      <w:numFmt w:val="bullet"/>
      <w:lvlText w:val="-"/>
      <w:lvlJc w:val="left"/>
      <w:pPr>
        <w:ind w:left="120" w:hanging="282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28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28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28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28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28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28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28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282"/>
      </w:pPr>
      <w:rPr>
        <w:rFonts w:hint="default"/>
        <w:lang w:val="en-US" w:eastAsia="zh-CN" w:bidi="ar-SA"/>
      </w:rPr>
    </w:lvl>
  </w:abstractNum>
  <w:abstractNum w:abstractNumId="17">
    <w:nsid w:val="57C4B20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2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5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7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0" w:hanging="264"/>
      </w:pPr>
      <w:rPr>
        <w:rFonts w:hint="default"/>
        <w:lang w:val="en-US" w:eastAsia="zh-CN" w:bidi="ar-SA"/>
      </w:rPr>
    </w:lvl>
  </w:abstractNum>
  <w:abstractNum w:abstractNumId="18">
    <w:nsid w:val="5B17A7F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9">
    <w:nsid w:val="60E5947C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20">
    <w:nsid w:val="63B3317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1">
    <w:nsid w:val="75A7F83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2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5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7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0" w:hanging="264"/>
      </w:pPr>
      <w:rPr>
        <w:rFonts w:hint="default"/>
        <w:lang w:val="en-US" w:eastAsia="zh-CN" w:bidi="ar-SA"/>
      </w:rPr>
    </w:lvl>
  </w:abstractNum>
  <w:num w:numId="1">
    <w:abstractNumId w:val="19"/>
  </w:num>
  <w:num w:numId="2">
    <w:abstractNumId w:val="20"/>
  </w:num>
  <w:num w:numId="3">
    <w:abstractNumId w:val="15"/>
  </w:num>
  <w:num w:numId="4">
    <w:abstractNumId w:val="10"/>
  </w:num>
  <w:num w:numId="5">
    <w:abstractNumId w:val="1"/>
  </w:num>
  <w:num w:numId="6">
    <w:abstractNumId w:val="11"/>
  </w:num>
  <w:num w:numId="7">
    <w:abstractNumId w:val="18"/>
  </w:num>
  <w:num w:numId="8">
    <w:abstractNumId w:val="8"/>
  </w:num>
  <w:num w:numId="9">
    <w:abstractNumId w:val="3"/>
  </w:num>
  <w:num w:numId="10">
    <w:abstractNumId w:val="16"/>
  </w:num>
  <w:num w:numId="11">
    <w:abstractNumId w:val="7"/>
  </w:num>
  <w:num w:numId="12">
    <w:abstractNumId w:val="2"/>
  </w:num>
  <w:num w:numId="13">
    <w:abstractNumId w:val="5"/>
  </w:num>
  <w:num w:numId="14">
    <w:abstractNumId w:val="17"/>
  </w:num>
  <w:num w:numId="15">
    <w:abstractNumId w:val="21"/>
  </w:num>
  <w:num w:numId="16">
    <w:abstractNumId w:val="14"/>
  </w:num>
  <w:num w:numId="17">
    <w:abstractNumId w:val="12"/>
  </w:num>
  <w:num w:numId="18">
    <w:abstractNumId w:val="9"/>
  </w:num>
  <w:num w:numId="19">
    <w:abstractNumId w:val="13"/>
  </w:num>
  <w:num w:numId="20">
    <w:abstractNumId w:val="6"/>
  </w:num>
  <w:num w:numId="21">
    <w:abstractNumId w:val="0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zh-CN" w:bidi="ar-SA"/>
    </w:rPr>
  </w:style>
  <w:style w:type="paragraph" w:styleId="Heading1">
    <w:name w:val="heading 1"/>
    <w:basedOn w:val="Normal"/>
    <w:uiPriority w:val="1"/>
    <w:qFormat/>
    <w:pPr>
      <w:spacing w:before="236"/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仿宋" w:eastAsia="仿宋" w:hAnsi="仿宋" w:cs="仿宋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pPr>
      <w:ind w:left="120"/>
    </w:pPr>
    <w:rPr>
      <w:rFonts w:ascii="仿宋" w:eastAsia="仿宋" w:hAnsi="仿宋" w:cs="仿宋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1204" w:right="1463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 w:right="378"/>
    </w:pPr>
    <w:rPr>
      <w:rFonts w:ascii="仿宋" w:eastAsia="仿宋" w:hAnsi="仿宋" w:cs="仿宋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ind w:left="108"/>
    </w:pPr>
    <w:rPr>
      <w:rFonts w:ascii="仿宋" w:eastAsia="仿宋" w:hAnsi="仿宋" w:cs="仿宋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hyperlink" Target="https://d.book118.com/948046045064006043" TargetMode="External" /><Relationship Id="rId15" Type="http://schemas.openxmlformats.org/officeDocument/2006/relationships/footer" Target="footer10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2024-03-05T04:31:12Z</dcterms:created>
  <dcterms:modified xsi:type="dcterms:W3CDTF">2024-03-05T04:31:12Z</dcterms:modified>
</cp:coreProperties>
</file>