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C5C">
      <w:pPr>
        <w:spacing w:line="360" w:lineRule="auto"/>
        <w:ind w:firstLine="561"/>
        <w:jc w:val="center"/>
        <w:rPr>
          <w:rFonts w:ascii="仿宋" w:eastAsia="仿宋" w:hAnsi="仿宋" w:cs="仿宋" w:hint="eastAsia"/>
          <w:sz w:val="52"/>
          <w:szCs w:val="52"/>
        </w:rPr>
      </w:pPr>
      <w:r>
        <w:rPr>
          <w:rFonts w:ascii="仿宋" w:eastAsia="仿宋" w:hAnsi="仿宋" w:cs="仿宋" w:hint="eastAsia"/>
          <w:sz w:val="52"/>
          <w:szCs w:val="52"/>
        </w:rPr>
        <w:t>沙湾路工程</w:t>
      </w:r>
    </w:p>
    <w:p w:rsidR="00786C5C">
      <w:pPr>
        <w:spacing w:line="360" w:lineRule="auto"/>
        <w:ind w:firstLine="561"/>
        <w:jc w:val="center"/>
        <w:rPr>
          <w:rFonts w:ascii="仿宋" w:eastAsia="仿宋" w:hAnsi="仿宋" w:cs="仿宋" w:hint="eastAsia"/>
          <w:sz w:val="52"/>
          <w:szCs w:val="52"/>
        </w:rPr>
      </w:pPr>
      <w:r>
        <w:rPr>
          <w:rFonts w:ascii="仿宋" w:eastAsia="仿宋" w:hAnsi="仿宋" w:cs="仿宋" w:hint="eastAsia"/>
          <w:sz w:val="52"/>
          <w:szCs w:val="52"/>
        </w:rPr>
        <w:t>——</w:t>
      </w:r>
      <w:r>
        <w:rPr>
          <w:rFonts w:ascii="仿宋" w:eastAsia="仿宋" w:hAnsi="仿宋" w:cs="仿宋" w:hint="eastAsia"/>
          <w:sz w:val="52"/>
          <w:szCs w:val="52"/>
        </w:rPr>
        <w:t>交通工程施工图设计说明</w:t>
      </w:r>
    </w:p>
    <w:p w:rsidR="00786C5C">
      <w:pPr>
        <w:sectPr>
          <w:headerReference w:type="default" r:id="rId4"/>
          <w:footerReference w:type="default" r:id="rId5"/>
          <w:pgSz w:w="23814" w:h="16840" w:orient="landscape"/>
          <w:pgMar w:top="0" w:right="1440" w:bottom="1797" w:left="1814" w:header="851" w:footer="992" w:gutter="0"/>
          <w:pgNumType w:start="1"/>
          <w:cols w:space="720"/>
          <w:docGrid w:type="lines" w:linePitch="312"/>
        </w:sectPr>
      </w:pPr>
    </w:p>
    <w:p w:rsidR="00786C5C">
      <w:pPr>
        <w:pStyle w:val="Heading1"/>
        <w:keepLines w:val="0"/>
        <w:numPr>
          <w:ilvl w:val="0"/>
          <w:numId w:val="2"/>
        </w:numPr>
        <w:tabs>
          <w:tab w:val="left" w:pos="-2120"/>
        </w:tabs>
        <w:spacing w:before="0" w:after="0" w:line="360" w:lineRule="auto"/>
        <w:ind w:left="640" w:firstLine="0"/>
        <w:rPr>
          <w:rFonts w:ascii="仿宋" w:eastAsia="仿宋" w:hAnsi="仿宋" w:cs="仿宋" w:hint="eastAsia"/>
          <w:kern w:val="2"/>
          <w:sz w:val="32"/>
          <w:szCs w:val="32"/>
        </w:rPr>
      </w:pPr>
      <w:r>
        <w:rPr>
          <w:rFonts w:ascii="仿宋" w:eastAsia="仿宋" w:hAnsi="仿宋" w:cs="仿宋" w:hint="eastAsia"/>
          <w:kern w:val="2"/>
          <w:sz w:val="32"/>
          <w:szCs w:val="32"/>
        </w:rPr>
        <w:t>工程概况</w:t>
      </w:r>
    </w:p>
    <w:p w:rsidR="00786C5C">
      <w:pPr>
        <w:pStyle w:val="Heading2"/>
        <w:numPr>
          <w:ilvl w:val="1"/>
          <w:numId w:val="2"/>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 xml:space="preserve">项目区位 </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大渡口区是</w:t>
      </w:r>
      <w:hyperlink r:id="rId6" w:tgtFrame="https://baike.so.com/doc/_blank" w:history="1">
        <w:r>
          <w:rPr>
            <w:rFonts w:ascii="仿宋" w:eastAsia="仿宋" w:hAnsi="仿宋" w:cs="仿宋" w:hint="eastAsia"/>
            <w:sz w:val="28"/>
            <w:szCs w:val="28"/>
          </w:rPr>
          <w:t>重庆主城区</w:t>
        </w:r>
      </w:hyperlink>
      <w:r>
        <w:rPr>
          <w:rFonts w:ascii="仿宋" w:eastAsia="仿宋" w:hAnsi="仿宋" w:cs="仿宋" w:hint="eastAsia"/>
          <w:sz w:val="28"/>
          <w:szCs w:val="28"/>
        </w:rPr>
        <w:t>，重庆</w:t>
      </w:r>
      <w:hyperlink r:id="rId7" w:tgtFrame="https://baike.so.com/doc/_blank" w:history="1">
        <w:r>
          <w:rPr>
            <w:rFonts w:ascii="仿宋" w:eastAsia="仿宋" w:hAnsi="仿宋" w:cs="仿宋" w:hint="eastAsia"/>
            <w:sz w:val="28"/>
            <w:szCs w:val="28"/>
          </w:rPr>
          <w:t>大都市区</w:t>
        </w:r>
      </w:hyperlink>
      <w:r>
        <w:rPr>
          <w:rFonts w:ascii="仿宋" w:eastAsia="仿宋" w:hAnsi="仿宋" w:cs="仿宋" w:hint="eastAsia"/>
          <w:sz w:val="28"/>
          <w:szCs w:val="28"/>
        </w:rPr>
        <w:t>之一，处在重庆市西南部，是重庆都市圈重要组成部分，也是重庆市</w:t>
      </w:r>
      <w:hyperlink r:id="rId8" w:tgtFrame="https://baike.so.com/doc/_blank" w:history="1">
        <w:r>
          <w:rPr>
            <w:rFonts w:ascii="仿宋" w:eastAsia="仿宋" w:hAnsi="仿宋" w:cs="仿宋" w:hint="eastAsia"/>
            <w:sz w:val="28"/>
            <w:szCs w:val="28"/>
          </w:rPr>
          <w:t>中心城区</w:t>
        </w:r>
      </w:hyperlink>
      <w:r>
        <w:rPr>
          <w:rFonts w:ascii="仿宋" w:eastAsia="仿宋" w:hAnsi="仿宋" w:cs="仿宋" w:hint="eastAsia"/>
          <w:sz w:val="28"/>
          <w:szCs w:val="28"/>
        </w:rPr>
        <w:t>十二个组团之一，于1965年建区。本项目位于大渡口区西南部建桥工业园区C区，共涉及一条市政道路。</w:t>
      </w:r>
    </w:p>
    <w:p w:rsidR="00786C5C">
      <w:pPr>
        <w:pStyle w:val="Heading2"/>
        <w:numPr>
          <w:ilvl w:val="1"/>
          <w:numId w:val="2"/>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工程规模</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本次沙湾路位于建桥工业园C区中部，道路北侧为现状污水处理厂。沙湾路起点接规划道路，终点顺接现状南海大道。建成后将为周边地块提供便捷的交通出行服务，具有较大的社会价值。</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本项目为沙湾路新建道路工程，道路设计全长209.241米，双向两车道，城市支路，设计速度30km/h，道路标准路幅宽16m；本次设计范围为K0+045.000～K0+189.490，长144.49m；</w:t>
      </w:r>
    </w:p>
    <w:p w:rsidR="00786C5C">
      <w:pPr>
        <w:pStyle w:val="Heading2"/>
        <w:numPr>
          <w:ilvl w:val="1"/>
          <w:numId w:val="2"/>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工程设计范围及主要设计内容</w:t>
      </w:r>
    </w:p>
    <w:p w:rsidR="00786C5C">
      <w:pPr>
        <w:pStyle w:val="Heading3"/>
        <w:numPr>
          <w:ilvl w:val="2"/>
          <w:numId w:val="2"/>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设计内容</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本次设计内容包含道路工程、照明工程、综合管网工程、交通工程、海绵城市专篇等相关内容。</w:t>
      </w:r>
    </w:p>
    <w:p w:rsidR="00786C5C">
      <w:pPr>
        <w:pStyle w:val="Heading3"/>
        <w:numPr>
          <w:ilvl w:val="2"/>
          <w:numId w:val="2"/>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分册情况</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本次施工图设计为全一册，包含道路工程、综合管网工程、照明工程、交通工程、海绵城市专篇。</w:t>
      </w:r>
    </w:p>
    <w:p w:rsidR="00786C5C">
      <w:pPr>
        <w:spacing w:line="360" w:lineRule="auto"/>
        <w:ind w:firstLine="560"/>
        <w:rPr>
          <w:rFonts w:ascii="仿宋" w:eastAsia="仿宋" w:hAnsi="仿宋" w:cs="仿宋" w:hint="eastAsia"/>
          <w:b/>
          <w:bCs/>
          <w:sz w:val="28"/>
          <w:szCs w:val="28"/>
        </w:rPr>
      </w:pPr>
      <w:r>
        <w:rPr>
          <w:rFonts w:ascii="仿宋" w:eastAsia="仿宋" w:hAnsi="仿宋" w:cs="仿宋" w:hint="eastAsia"/>
          <w:b/>
          <w:bCs/>
          <w:sz w:val="28"/>
          <w:szCs w:val="28"/>
        </w:rPr>
        <w:t>本说明为交通工程施工图设计说明。</w:t>
      </w:r>
    </w:p>
    <w:p w:rsidR="00786C5C">
      <w:pPr>
        <w:pStyle w:val="Heading1"/>
        <w:keepLines w:val="0"/>
        <w:numPr>
          <w:ilvl w:val="0"/>
          <w:numId w:val="2"/>
        </w:numPr>
        <w:tabs>
          <w:tab w:val="left" w:pos="-2120"/>
        </w:tabs>
        <w:spacing w:before="0" w:after="0" w:line="360" w:lineRule="auto"/>
        <w:ind w:left="640" w:firstLine="0"/>
        <w:rPr>
          <w:rFonts w:ascii="仿宋" w:eastAsia="仿宋" w:hAnsi="仿宋" w:cs="仿宋" w:hint="eastAsia"/>
          <w:kern w:val="2"/>
          <w:sz w:val="32"/>
          <w:szCs w:val="32"/>
        </w:rPr>
      </w:pPr>
      <w:r>
        <w:rPr>
          <w:rFonts w:ascii="仿宋" w:eastAsia="仿宋" w:hAnsi="仿宋" w:cs="仿宋" w:hint="eastAsia"/>
          <w:kern w:val="2"/>
          <w:sz w:val="32"/>
          <w:szCs w:val="32"/>
        </w:rPr>
        <w:t>设计依据及采用标准规范</w:t>
      </w:r>
    </w:p>
    <w:p w:rsidR="00786C5C">
      <w:pPr>
        <w:pStyle w:val="Heading2"/>
        <w:numPr>
          <w:ilvl w:val="1"/>
          <w:numId w:val="2"/>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设计依据</w:t>
      </w:r>
    </w:p>
    <w:p w:rsidR="00786C5C">
      <w:pPr>
        <w:tabs>
          <w:tab w:val="left" w:pos="0"/>
        </w:tabs>
        <w:spacing w:line="360" w:lineRule="auto"/>
        <w:ind w:left="403"/>
        <w:rPr>
          <w:rFonts w:ascii="仿宋" w:eastAsia="仿宋" w:hAnsi="仿宋" w:cs="仿宋" w:hint="eastAsia"/>
          <w:sz w:val="28"/>
          <w:szCs w:val="28"/>
        </w:rPr>
      </w:pPr>
      <w:r>
        <w:rPr>
          <w:rFonts w:ascii="仿宋" w:eastAsia="仿宋" w:hAnsi="仿宋" w:cs="仿宋" w:hint="eastAsia"/>
          <w:sz w:val="28"/>
          <w:szCs w:val="28"/>
        </w:rPr>
        <w:t>（1）市政公用工程设计文件编制深度规定（2013年版）》（住建部工程质量安全监管司）；</w:t>
      </w:r>
    </w:p>
    <w:p w:rsidR="00786C5C">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《重庆市城乡总体规划（2018-2035）》；</w:t>
      </w:r>
    </w:p>
    <w:p w:rsidR="00786C5C">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《重庆建桥工业园C区控制性详细规划》；</w:t>
      </w:r>
    </w:p>
    <w:p w:rsidR="00786C5C">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我公司实测的项目建设区1:500地形图；</w:t>
      </w:r>
    </w:p>
    <w:p w:rsidR="00786C5C">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业主提供的项目区现状管网物探资料；</w:t>
      </w:r>
    </w:p>
    <w:p w:rsidR="00786C5C">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有关工程技术法规、规范等资料；</w:t>
      </w:r>
    </w:p>
    <w:p w:rsidR="00786C5C">
      <w:pPr>
        <w:numPr>
          <w:ilvl w:val="0"/>
          <w:numId w:val="3"/>
        </w:numPr>
        <w:tabs>
          <w:tab w:val="left" w:pos="0"/>
        </w:tabs>
        <w:spacing w:line="360" w:lineRule="auto"/>
        <w:rPr>
          <w:rFonts w:ascii="仿宋" w:eastAsia="仿宋" w:hAnsi="仿宋" w:cs="仿宋" w:hint="eastAsia"/>
          <w:sz w:val="28"/>
          <w:szCs w:val="28"/>
        </w:rPr>
      </w:pPr>
      <w:r>
        <w:rPr>
          <w:rFonts w:ascii="仿宋" w:eastAsia="仿宋" w:hAnsi="仿宋" w:cs="仿宋" w:hint="eastAsia"/>
          <w:sz w:val="28"/>
          <w:szCs w:val="28"/>
        </w:rPr>
        <w:t>业主提供的项目区建设的选址、自然条件、建设条件和技术工艺等资料。</w:t>
      </w:r>
    </w:p>
    <w:p w:rsidR="00786C5C">
      <w:pPr>
        <w:pStyle w:val="Heading2"/>
        <w:numPr>
          <w:ilvl w:val="1"/>
          <w:numId w:val="2"/>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设计规范</w:t>
      </w:r>
    </w:p>
    <w:p w:rsidR="00786C5C">
      <w:pPr>
        <w:spacing w:line="360" w:lineRule="auto"/>
        <w:ind w:firstLine="561"/>
        <w:rPr>
          <w:rFonts w:ascii="仿宋" w:eastAsia="仿宋" w:hAnsi="仿宋" w:cs="仿宋" w:hint="eastAsia"/>
          <w:color w:val="000000"/>
          <w:sz w:val="28"/>
          <w:szCs w:val="28"/>
        </w:rPr>
      </w:pPr>
      <w:r>
        <w:rPr>
          <w:rFonts w:ascii="仿宋" w:eastAsia="仿宋" w:hAnsi="仿宋" w:cs="仿宋" w:hint="eastAsia"/>
          <w:color w:val="000000"/>
          <w:sz w:val="28"/>
          <w:szCs w:val="28"/>
        </w:rPr>
        <w:t>《道路交通标志和标线》（第一部分：总则）(GB5768.1-2009)</w:t>
      </w:r>
    </w:p>
    <w:p w:rsidR="00786C5C">
      <w:pPr>
        <w:spacing w:line="360" w:lineRule="auto"/>
        <w:ind w:firstLine="561"/>
        <w:rPr>
          <w:rFonts w:ascii="仿宋" w:eastAsia="仿宋" w:hAnsi="仿宋" w:cs="仿宋" w:hint="eastAsia"/>
          <w:color w:val="000000"/>
          <w:sz w:val="28"/>
          <w:szCs w:val="28"/>
        </w:rPr>
      </w:pPr>
      <w:r>
        <w:rPr>
          <w:rFonts w:ascii="仿宋" w:eastAsia="仿宋" w:hAnsi="仿宋" w:cs="仿宋" w:hint="eastAsia"/>
          <w:color w:val="000000"/>
          <w:sz w:val="28"/>
          <w:szCs w:val="28"/>
        </w:rPr>
        <w:t>《道路交通标志和标线》（第二部分：道路交通标志）(GB5768.2-2022)</w:t>
      </w:r>
    </w:p>
    <w:p w:rsidR="00786C5C">
      <w:pPr>
        <w:spacing w:line="360" w:lineRule="auto"/>
        <w:ind w:firstLine="561"/>
        <w:rPr>
          <w:rFonts w:ascii="仿宋" w:eastAsia="仿宋" w:hAnsi="仿宋" w:cs="仿宋" w:hint="eastAsia"/>
          <w:sz w:val="28"/>
          <w:szCs w:val="28"/>
        </w:rPr>
      </w:pPr>
      <w:r>
        <w:rPr>
          <w:rFonts w:ascii="仿宋" w:eastAsia="仿宋" w:hAnsi="仿宋" w:cs="仿宋" w:hint="eastAsia"/>
          <w:color w:val="000000"/>
          <w:sz w:val="28"/>
          <w:szCs w:val="28"/>
        </w:rPr>
        <w:t>《道路交通标志和标线》（第三部分：道路交通标线）(GB5768.3-2009)</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《道路交通反光膜》（GB/T18833-2012）</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《城市道路交通设施设计规范》（2019年版）（GB50688-2011）</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《城市道路交通标志和标线设置规范》（GB 51038-2015）</w:t>
      </w:r>
    </w:p>
    <w:p w:rsidR="00786C5C">
      <w:pPr>
        <w:spacing w:line="360" w:lineRule="auto"/>
        <w:ind w:firstLine="561"/>
        <w:rPr>
          <w:rFonts w:ascii="仿宋" w:eastAsia="仿宋" w:hAnsi="仿宋" w:cs="仿宋" w:hint="eastAsia"/>
          <w:sz w:val="28"/>
          <w:szCs w:val="28"/>
        </w:rPr>
        <w:sectPr>
          <w:headerReference w:type="default" r:id="rId9"/>
          <w:footerReference w:type="default" r:id="rId10"/>
          <w:type w:val="continuous"/>
          <w:pgSz w:w="23814" w:h="16840" w:orient="landscape"/>
          <w:pgMar w:top="0" w:right="1440" w:bottom="1814" w:left="1814" w:header="851" w:footer="992" w:gutter="0"/>
          <w:pgNumType w:start="1"/>
          <w:cols w:num="2" w:space="425" w:equalWidth="0">
            <w:col w:w="10067" w:space="425"/>
            <w:col w:w="10067" w:space="0"/>
          </w:cols>
          <w:docGrid w:type="lines" w:linePitch="312"/>
        </w:sectPr>
      </w:pPr>
      <w:r>
        <w:rPr>
          <w:rFonts w:ascii="仿宋" w:eastAsia="仿宋" w:hAnsi="仿宋" w:cs="仿宋" w:hint="eastAsia"/>
          <w:sz w:val="28"/>
          <w:szCs w:val="28"/>
        </w:rPr>
        <w:t>《道路交通标线质量要求和检验方法》（GB/T 16311-2009）</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《道路交通标志板及支撑件》（GB/T 23827-2021）</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《路面标线涂料》（JT/T 280-2022）</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《公路交通安全设施设计规范》（JTGD81-2017）</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《公路交通标志反光膜》（GBT18833-2002）</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《城市道路交通组织设计规范》（BT36670-2018）</w:t>
      </w:r>
    </w:p>
    <w:p w:rsidR="00786C5C">
      <w:pPr>
        <w:spacing w:line="360" w:lineRule="auto"/>
        <w:ind w:firstLine="560"/>
        <w:rPr>
          <w:rFonts w:ascii="仿宋" w:eastAsia="仿宋" w:hAnsi="仿宋" w:cs="仿宋" w:hint="eastAsia"/>
          <w:bCs/>
          <w:sz w:val="28"/>
          <w:szCs w:val="28"/>
        </w:rPr>
      </w:pPr>
      <w:r>
        <w:rPr>
          <w:rFonts w:ascii="仿宋" w:eastAsia="仿宋" w:hAnsi="仿宋" w:cs="仿宋" w:hint="eastAsia"/>
          <w:bCs/>
          <w:sz w:val="28"/>
          <w:szCs w:val="28"/>
        </w:rPr>
        <w:t>《钢结构用高强度大六角头螺栓、大六角螺母、垫圈技术条件》（GB/T1231-2006）；</w:t>
      </w:r>
    </w:p>
    <w:p w:rsidR="00786C5C">
      <w:pPr>
        <w:spacing w:line="360" w:lineRule="auto"/>
        <w:ind w:firstLine="560"/>
        <w:rPr>
          <w:rFonts w:ascii="仿宋" w:eastAsia="仿宋" w:hAnsi="仿宋" w:cs="仿宋" w:hint="eastAsia"/>
          <w:bCs/>
          <w:sz w:val="28"/>
          <w:szCs w:val="28"/>
        </w:rPr>
      </w:pPr>
      <w:r>
        <w:rPr>
          <w:rFonts w:ascii="仿宋" w:eastAsia="仿宋" w:hAnsi="仿宋" w:cs="仿宋" w:hint="eastAsia"/>
          <w:bCs/>
          <w:sz w:val="28"/>
          <w:szCs w:val="28"/>
        </w:rPr>
        <w:t>《碳素结构钢》(GB/T 700-2006)；</w:t>
      </w:r>
    </w:p>
    <w:p w:rsidR="00786C5C">
      <w:pPr>
        <w:spacing w:line="360" w:lineRule="auto"/>
        <w:ind w:firstLine="560"/>
        <w:rPr>
          <w:rFonts w:ascii="仿宋" w:eastAsia="仿宋" w:hAnsi="仿宋" w:cs="仿宋" w:hint="eastAsia"/>
          <w:bCs/>
          <w:sz w:val="28"/>
          <w:szCs w:val="28"/>
        </w:rPr>
      </w:pPr>
      <w:r>
        <w:rPr>
          <w:rFonts w:ascii="仿宋" w:eastAsia="仿宋" w:hAnsi="仿宋" w:cs="仿宋" w:hint="eastAsia"/>
          <w:bCs/>
          <w:sz w:val="28"/>
          <w:szCs w:val="28"/>
        </w:rPr>
        <w:t>《结构用无缝钢管》（GB/T 8162-2008）；</w:t>
      </w:r>
    </w:p>
    <w:p w:rsidR="00786C5C">
      <w:pPr>
        <w:spacing w:line="360" w:lineRule="auto"/>
        <w:ind w:firstLine="560"/>
        <w:rPr>
          <w:rFonts w:ascii="仿宋" w:eastAsia="仿宋" w:hAnsi="仿宋" w:cs="仿宋" w:hint="eastAsia"/>
          <w:bCs/>
          <w:sz w:val="28"/>
          <w:szCs w:val="28"/>
        </w:rPr>
      </w:pPr>
      <w:r>
        <w:rPr>
          <w:rFonts w:ascii="仿宋" w:eastAsia="仿宋" w:hAnsi="仿宋" w:cs="仿宋" w:hint="eastAsia"/>
          <w:bCs/>
          <w:sz w:val="28"/>
          <w:szCs w:val="28"/>
        </w:rPr>
        <w:t>《视觉信号表面色》（GB/T8416-2003）；</w:t>
      </w:r>
    </w:p>
    <w:p w:rsidR="00786C5C">
      <w:pPr>
        <w:spacing w:line="360" w:lineRule="auto"/>
        <w:ind w:firstLine="560"/>
        <w:rPr>
          <w:rFonts w:ascii="仿宋" w:eastAsia="仿宋" w:hAnsi="仿宋" w:cs="仿宋" w:hint="eastAsia"/>
          <w:bCs/>
          <w:sz w:val="28"/>
          <w:szCs w:val="28"/>
        </w:rPr>
      </w:pPr>
      <w:r>
        <w:rPr>
          <w:rFonts w:ascii="仿宋" w:eastAsia="仿宋" w:hAnsi="仿宋" w:cs="仿宋" w:hint="eastAsia"/>
          <w:bCs/>
          <w:sz w:val="28"/>
          <w:szCs w:val="28"/>
        </w:rPr>
        <w:t>《公路车辆智能监测记录系统通用技术条件》（GA/T 497-2009）；</w:t>
      </w:r>
    </w:p>
    <w:p w:rsidR="00786C5C">
      <w:pPr>
        <w:spacing w:line="360" w:lineRule="auto"/>
        <w:ind w:firstLine="560"/>
        <w:rPr>
          <w:rFonts w:ascii="仿宋" w:eastAsia="仿宋" w:hAnsi="仿宋" w:cs="仿宋" w:hint="eastAsia"/>
          <w:bCs/>
          <w:sz w:val="28"/>
          <w:szCs w:val="28"/>
        </w:rPr>
      </w:pPr>
      <w:r>
        <w:rPr>
          <w:rFonts w:ascii="仿宋" w:eastAsia="仿宋" w:hAnsi="仿宋" w:cs="仿宋" w:hint="eastAsia"/>
          <w:bCs/>
          <w:sz w:val="28"/>
          <w:szCs w:val="28"/>
        </w:rPr>
        <w:t>混凝土结构工程施工质量验收规范 》GB50204-2015；</w:t>
      </w:r>
    </w:p>
    <w:p w:rsidR="00786C5C">
      <w:pPr>
        <w:spacing w:line="360" w:lineRule="auto"/>
        <w:ind w:firstLine="560"/>
        <w:rPr>
          <w:rFonts w:hint="eastAsia"/>
        </w:rPr>
      </w:pPr>
      <w:r>
        <w:rPr>
          <w:rFonts w:ascii="仿宋" w:eastAsia="仿宋" w:hAnsi="仿宋" w:cs="仿宋" w:hint="eastAsia"/>
          <w:bCs/>
          <w:sz w:val="28"/>
          <w:szCs w:val="28"/>
        </w:rPr>
        <w:t>设计风速建议取25.9m/s；</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国家现行的其它有关标准、规范、规程与规定。</w:t>
      </w:r>
    </w:p>
    <w:p w:rsidR="00786C5C">
      <w:pPr>
        <w:pStyle w:val="Heading2"/>
        <w:numPr>
          <w:ilvl w:val="1"/>
          <w:numId w:val="7"/>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对上阶段审查意见的执行情况</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（1）地面导向箭头设计不规范。地面导向箭头采6米规格。</w:t>
      </w:r>
    </w:p>
    <w:p w:rsidR="00786C5C">
      <w:pPr>
        <w:spacing w:line="360" w:lineRule="auto"/>
        <w:ind w:firstLine="561"/>
        <w:rPr>
          <w:rFonts w:ascii="仿宋" w:eastAsia="仿宋" w:hAnsi="仿宋" w:cs="仿宋"/>
          <w:b/>
          <w:bCs/>
          <w:sz w:val="28"/>
          <w:szCs w:val="28"/>
        </w:rPr>
      </w:pPr>
      <w:r>
        <w:rPr>
          <w:rFonts w:ascii="仿宋" w:eastAsia="仿宋" w:hAnsi="仿宋" w:cs="仿宋" w:hint="eastAsia"/>
          <w:b/>
          <w:bCs/>
          <w:sz w:val="28"/>
          <w:szCs w:val="28"/>
        </w:rPr>
        <w:t>回复：已调整地面导向箭头为6米规划</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（2）人行横道标志采用荧光色边框类型,具体参照样式</w:t>
      </w:r>
      <w:r>
        <w:rPr>
          <w:rFonts w:ascii="仿宋" w:eastAsia="仿宋" w:hAnsi="仿宋" w:cs="仿宋"/>
          <w:sz w:val="28"/>
          <w:szCs w:val="28"/>
        </w:rPr>
        <w:t>《道路交通标志与标线第二部分:道路交通标志》（GB5768.2-2022）的相关要求。</w:t>
      </w:r>
    </w:p>
    <w:p w:rsidR="00786C5C">
      <w:pPr>
        <w:spacing w:line="360" w:lineRule="auto"/>
        <w:ind w:firstLine="561"/>
        <w:rPr>
          <w:rFonts w:ascii="仿宋" w:eastAsia="仿宋" w:hAnsi="仿宋" w:cs="仿宋"/>
          <w:b/>
          <w:bCs/>
          <w:sz w:val="28"/>
          <w:szCs w:val="28"/>
        </w:rPr>
      </w:pPr>
      <w:r>
        <w:rPr>
          <w:rFonts w:ascii="仿宋" w:eastAsia="仿宋" w:hAnsi="仿宋" w:cs="仿宋" w:hint="eastAsia"/>
          <w:b/>
          <w:bCs/>
          <w:sz w:val="28"/>
          <w:szCs w:val="28"/>
        </w:rPr>
        <w:t>回复：补充调整行横道标志采用荧光色边框类型。</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（3）补充此路不通及允许掉头标志。取消限速标志</w:t>
      </w:r>
      <w:r>
        <w:rPr>
          <w:rFonts w:ascii="仿宋" w:eastAsia="仿宋" w:hAnsi="仿宋" w:cs="仿宋"/>
          <w:sz w:val="28"/>
          <w:szCs w:val="28"/>
        </w:rPr>
        <w:t>。</w:t>
      </w:r>
    </w:p>
    <w:p w:rsidR="00786C5C">
      <w:pPr>
        <w:spacing w:line="360" w:lineRule="auto"/>
        <w:ind w:firstLine="561"/>
        <w:rPr>
          <w:rFonts w:ascii="仿宋" w:eastAsia="仿宋" w:hAnsi="仿宋" w:cs="仿宋"/>
          <w:b/>
          <w:bCs/>
          <w:sz w:val="28"/>
          <w:szCs w:val="28"/>
        </w:rPr>
      </w:pPr>
      <w:r>
        <w:rPr>
          <w:rFonts w:ascii="仿宋" w:eastAsia="仿宋" w:hAnsi="仿宋" w:cs="仿宋" w:hint="eastAsia"/>
          <w:b/>
          <w:bCs/>
          <w:sz w:val="28"/>
          <w:szCs w:val="28"/>
        </w:rPr>
        <w:t>回复：补充允许掉头标志并取消限速标志。</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（4）路段补充中央隔离。中央隔离设置环形反光卡环</w:t>
      </w:r>
      <w:r>
        <w:rPr>
          <w:rFonts w:ascii="仿宋" w:eastAsia="仿宋" w:hAnsi="仿宋" w:cs="仿宋"/>
          <w:sz w:val="28"/>
          <w:szCs w:val="28"/>
        </w:rPr>
        <w:t>。</w:t>
      </w:r>
    </w:p>
    <w:p w:rsidR="00786C5C">
      <w:pPr>
        <w:spacing w:line="360" w:lineRule="auto"/>
        <w:ind w:firstLine="561"/>
        <w:rPr>
          <w:rFonts w:ascii="仿宋" w:eastAsia="仿宋" w:hAnsi="仿宋" w:cs="仿宋"/>
          <w:b/>
          <w:bCs/>
          <w:sz w:val="28"/>
          <w:szCs w:val="28"/>
        </w:rPr>
      </w:pPr>
      <w:r>
        <w:rPr>
          <w:rFonts w:ascii="仿宋" w:eastAsia="仿宋" w:hAnsi="仿宋" w:cs="仿宋" w:hint="eastAsia"/>
          <w:b/>
          <w:bCs/>
          <w:sz w:val="28"/>
          <w:szCs w:val="28"/>
        </w:rPr>
        <w:t>回复：详见交通标志标线平面设计图和水泥隔离墩大样图。</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（5）西侧本项目与南海大道路口补充信号控制设计</w:t>
      </w:r>
      <w:r>
        <w:rPr>
          <w:rFonts w:ascii="仿宋" w:eastAsia="仿宋" w:hAnsi="仿宋" w:cs="仿宋"/>
          <w:sz w:val="28"/>
          <w:szCs w:val="28"/>
        </w:rPr>
        <w:t>。</w:t>
      </w:r>
    </w:p>
    <w:p w:rsidR="00786C5C">
      <w:pPr>
        <w:spacing w:line="360" w:lineRule="auto"/>
        <w:ind w:firstLine="561"/>
        <w:rPr>
          <w:rFonts w:ascii="仿宋" w:eastAsia="仿宋" w:hAnsi="仿宋" w:cs="仿宋" w:hint="eastAsia"/>
          <w:b/>
          <w:bCs/>
          <w:sz w:val="28"/>
          <w:szCs w:val="28"/>
        </w:rPr>
      </w:pPr>
      <w:r>
        <w:rPr>
          <w:rFonts w:ascii="仿宋" w:eastAsia="仿宋" w:hAnsi="仿宋" w:cs="仿宋" w:hint="eastAsia"/>
          <w:b/>
          <w:bCs/>
          <w:sz w:val="28"/>
          <w:szCs w:val="28"/>
        </w:rPr>
        <w:t>回复：详见交通信号灯平面设计图。</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（6）路段补充全景监控设备1台。包括硬盘录像机,线缆,手井等配套设备。</w:t>
      </w:r>
    </w:p>
    <w:p w:rsidR="00786C5C">
      <w:pPr>
        <w:spacing w:line="360" w:lineRule="auto"/>
        <w:ind w:firstLine="561"/>
        <w:rPr>
          <w:rFonts w:ascii="仿宋" w:eastAsia="仿宋" w:hAnsi="仿宋" w:cs="仿宋" w:hint="eastAsia"/>
          <w:b/>
          <w:bCs/>
          <w:sz w:val="28"/>
          <w:szCs w:val="28"/>
        </w:rPr>
      </w:pPr>
      <w:r>
        <w:rPr>
          <w:rFonts w:ascii="仿宋" w:eastAsia="仿宋" w:hAnsi="仿宋" w:cs="仿宋" w:hint="eastAsia"/>
          <w:b/>
          <w:bCs/>
          <w:sz w:val="28"/>
          <w:szCs w:val="28"/>
        </w:rPr>
        <w:t>回复：详见交通信号灯平面设计图及相应说明和工程数量表。</w:t>
      </w:r>
    </w:p>
    <w:p w:rsidR="00786C5C">
      <w:pPr>
        <w:spacing w:line="360" w:lineRule="auto"/>
        <w:ind w:firstLine="561"/>
        <w:rPr>
          <w:rFonts w:ascii="仿宋" w:eastAsia="仿宋" w:hAnsi="仿宋" w:cs="仿宋"/>
          <w:sz w:val="28"/>
          <w:szCs w:val="28"/>
        </w:rPr>
      </w:pPr>
      <w:r>
        <w:rPr>
          <w:rFonts w:ascii="仿宋" w:eastAsia="仿宋" w:hAnsi="仿宋" w:cs="仿宋" w:hint="eastAsia"/>
          <w:sz w:val="28"/>
          <w:szCs w:val="28"/>
        </w:rPr>
        <w:t>（5）在本次设计道路增设4个400万以上全结构化AI旋镜,实现对2个路口和1条过街人行道的过往人员车辆进行识别和监控。配套企业级16T存储IOT硬盘4块,确保视频监控24小时不间断储存30天以上，图片储存180天以上，在保证网络信息安全的前提下开展建设和运维工作，并实现与当前雪亮工程系统正常对接</w:t>
      </w:r>
      <w:r>
        <w:rPr>
          <w:rFonts w:ascii="仿宋" w:eastAsia="仿宋" w:hAnsi="仿宋" w:cs="仿宋"/>
          <w:sz w:val="28"/>
          <w:szCs w:val="28"/>
        </w:rPr>
        <w:t>。</w:t>
      </w:r>
      <w:r>
        <w:rPr>
          <w:rFonts w:ascii="仿宋" w:eastAsia="仿宋" w:hAnsi="仿宋" w:cs="仿宋" w:hint="eastAsia"/>
          <w:sz w:val="28"/>
          <w:szCs w:val="28"/>
        </w:rPr>
        <w:t>将本次建设的视频监控镜头进行组网，合理规划建设网络汇聚点用于联网，在道路两侧及过街施工建设相应的管线，强电弱电备用三孔管网，并增设三孔过街公安信息管网，并配套建设手井，管线应在地面下20cm处浅埋，就近接入已建公安视频监控设备箱。</w:t>
      </w:r>
    </w:p>
    <w:p w:rsidR="00786C5C">
      <w:pPr>
        <w:spacing w:line="360" w:lineRule="auto"/>
        <w:ind w:firstLine="561"/>
        <w:rPr>
          <w:rFonts w:hint="eastAsia"/>
        </w:rPr>
      </w:pPr>
      <w:r>
        <w:rPr>
          <w:rFonts w:ascii="仿宋" w:eastAsia="仿宋" w:hAnsi="仿宋" w:cs="仿宋" w:hint="eastAsia"/>
          <w:b/>
          <w:bCs/>
          <w:sz w:val="28"/>
          <w:szCs w:val="28"/>
        </w:rPr>
        <w:t>回复：详见交通信号灯平面设计图及相应说明和工程数量表。</w:t>
      </w:r>
    </w:p>
    <w:p w:rsidR="00786C5C">
      <w:pPr>
        <w:pStyle w:val="Heading2"/>
        <w:numPr>
          <w:ilvl w:val="1"/>
          <w:numId w:val="7"/>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设计标准</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（1）道路等级：城市支路；</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（2）设计行车速度：30km/h</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（3）最小停车视距：30m</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（4）标准路幅宽度：16m</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（5）路面设计轴载：BZZ-100</w:t>
      </w:r>
    </w:p>
    <w:p w:rsidR="00786C5C">
      <w:pPr>
        <w:spacing w:line="360" w:lineRule="auto"/>
        <w:ind w:firstLine="560" w:firstLineChars="200"/>
        <w:rPr>
          <w:rFonts w:ascii="仿宋" w:eastAsia="仿宋" w:hAnsi="仿宋" w:cs="仿宋" w:hint="eastAsia"/>
          <w:sz w:val="28"/>
          <w:szCs w:val="28"/>
        </w:rPr>
        <w:sectPr>
          <w:headerReference w:type="default" r:id="rId11"/>
          <w:footerReference w:type="default" r:id="rId12"/>
          <w:type w:val="nextPage"/>
          <w:pgSz w:w="23814" w:h="16840" w:orient="landscape"/>
          <w:pgMar w:top="0" w:right="1440" w:bottom="1814" w:left="1814" w:header="851" w:footer="992" w:gutter="0"/>
          <w:pgNumType w:start="2"/>
          <w:cols w:num="2" w:space="425" w:equalWidth="0">
            <w:col w:w="10067" w:space="425"/>
            <w:col w:w="10067" w:space="0"/>
          </w:cols>
          <w:titlePg w:val="0"/>
          <w:docGrid w:type="lines" w:linePitch="312"/>
        </w:sectPr>
      </w:pPr>
      <w:r>
        <w:rPr>
          <w:rFonts w:ascii="仿宋" w:eastAsia="仿宋" w:hAnsi="仿宋" w:cs="仿宋" w:hint="eastAsia"/>
          <w:sz w:val="28"/>
          <w:szCs w:val="28"/>
        </w:rPr>
        <w:t>（6）设计年限：</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交通量饱和设计年限：15年</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沥青路面设计年限：10年</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（7）道路设计技术指标与规范技术指标对比：</w:t>
      </w:r>
    </w:p>
    <w:p w:rsidR="00786C5C">
      <w:pPr>
        <w:spacing w:line="360" w:lineRule="auto"/>
        <w:ind w:firstLine="560" w:firstLineChars="200"/>
        <w:jc w:val="center"/>
        <w:rPr>
          <w:rFonts w:ascii="仿宋" w:eastAsia="仿宋" w:hAnsi="仿宋" w:cs="仿宋" w:hint="eastAsia"/>
          <w:sz w:val="28"/>
          <w:szCs w:val="28"/>
        </w:rPr>
      </w:pPr>
      <w:r>
        <w:rPr>
          <w:rFonts w:ascii="仿宋" w:eastAsia="仿宋" w:hAnsi="仿宋" w:cs="仿宋" w:hint="eastAsia"/>
          <w:sz w:val="28"/>
          <w:szCs w:val="28"/>
        </w:rPr>
        <w:t>技术指标与规范技术指标对比表</w:t>
      </w:r>
    </w:p>
    <w:tbl>
      <w:tblPr>
        <w:tblStyle w:val="TableNormal"/>
        <w:tblW w:w="4624" w:type="pct"/>
        <w:jc w:val="center"/>
        <w:tblInd w:w="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CellMar>
          <w:left w:w="0" w:type="dxa"/>
          <w:right w:w="0" w:type="dxa"/>
        </w:tblCellMar>
        <w:tblLook w:val="0000"/>
      </w:tblPr>
      <w:tblGrid>
        <w:gridCol w:w="841"/>
        <w:gridCol w:w="4423"/>
        <w:gridCol w:w="2035"/>
        <w:gridCol w:w="2039"/>
      </w:tblGrid>
      <w:tr>
        <w:tblPrEx>
          <w:tblW w:w="4624" w:type="pct"/>
          <w:jc w:val="center"/>
          <w:tblInd w:w="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CellMar>
            <w:left w:w="0" w:type="dxa"/>
            <w:right w:w="0" w:type="dxa"/>
          </w:tblCellMar>
          <w:tblLook w:val="0000"/>
        </w:tblPrEx>
        <w:trPr>
          <w:trHeight w:val="591"/>
          <w:jc w:val="center"/>
        </w:trPr>
        <w:tc>
          <w:tcPr>
            <w:tcW w:w="450" w:type="pct"/>
            <w:tcBorders>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序号</w:t>
            </w:r>
          </w:p>
        </w:tc>
        <w:tc>
          <w:tcPr>
            <w:tcW w:w="2368" w:type="pct"/>
            <w:tcBorders>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项目名称</w:t>
            </w:r>
          </w:p>
        </w:tc>
        <w:tc>
          <w:tcPr>
            <w:tcW w:w="1089" w:type="pct"/>
            <w:tcBorders>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设计采用值</w:t>
            </w:r>
          </w:p>
        </w:tc>
        <w:tc>
          <w:tcPr>
            <w:tcW w:w="1091" w:type="pct"/>
            <w:tcBorders>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规范值</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道路等级</w:t>
            </w:r>
          </w:p>
        </w:tc>
        <w:tc>
          <w:tcPr>
            <w:tcW w:w="2181" w:type="pct"/>
            <w:gridSpan w:val="2"/>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支路</w:t>
            </w:r>
          </w:p>
        </w:tc>
      </w:tr>
      <w:tr>
        <w:tblPrEx>
          <w:tblW w:w="4624" w:type="pct"/>
          <w:jc w:val="center"/>
          <w:tblInd w:w="0" w:type="dxa"/>
          <w:tblCellMar>
            <w:left w:w="0" w:type="dxa"/>
            <w:right w:w="0" w:type="dxa"/>
          </w:tblCellMar>
          <w:tblLook w:val="0000"/>
        </w:tblPrEx>
        <w:trPr>
          <w:trHeight w:val="610"/>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2</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交通量饱和设计工作年限</w:t>
            </w:r>
          </w:p>
        </w:tc>
        <w:tc>
          <w:tcPr>
            <w:tcW w:w="1089" w:type="pct"/>
            <w:tcBorders>
              <w:top w:val="nil"/>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15年</w:t>
            </w:r>
          </w:p>
        </w:tc>
        <w:tc>
          <w:tcPr>
            <w:tcW w:w="1091" w:type="pct"/>
            <w:tcBorders>
              <w:top w:val="single" w:sz="8" w:space="0" w:color="000000"/>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15年</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3</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路面结构设计工作年限</w:t>
            </w:r>
          </w:p>
        </w:tc>
        <w:tc>
          <w:tcPr>
            <w:tcW w:w="1089" w:type="pct"/>
            <w:tcBorders>
              <w:top w:val="nil"/>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10年</w:t>
            </w:r>
          </w:p>
        </w:tc>
        <w:tc>
          <w:tcPr>
            <w:tcW w:w="1091" w:type="pct"/>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10年</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4</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设计行车速度</w:t>
            </w:r>
          </w:p>
        </w:tc>
        <w:tc>
          <w:tcPr>
            <w:tcW w:w="1089" w:type="pct"/>
            <w:tcBorders>
              <w:top w:val="nil"/>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30km/h</w:t>
            </w:r>
          </w:p>
        </w:tc>
        <w:tc>
          <w:tcPr>
            <w:tcW w:w="1091" w:type="pct"/>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20～40km/h</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4" w:space="0" w:color="auto"/>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5</w:t>
            </w:r>
          </w:p>
        </w:tc>
        <w:tc>
          <w:tcPr>
            <w:tcW w:w="2368" w:type="pct"/>
            <w:tcBorders>
              <w:top w:val="nil"/>
              <w:left w:val="nil"/>
              <w:bottom w:val="single" w:sz="4" w:space="0" w:color="auto"/>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标准路幅宽度</w:t>
            </w:r>
          </w:p>
        </w:tc>
        <w:tc>
          <w:tcPr>
            <w:tcW w:w="2181" w:type="pct"/>
            <w:gridSpan w:val="2"/>
            <w:tcBorders>
              <w:top w:val="nil"/>
              <w:left w:val="nil"/>
              <w:bottom w:val="single" w:sz="4" w:space="0" w:color="auto"/>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16m</w:t>
            </w:r>
          </w:p>
        </w:tc>
      </w:tr>
      <w:tr>
        <w:tblPrEx>
          <w:tblW w:w="4624" w:type="pct"/>
          <w:jc w:val="center"/>
          <w:tblInd w:w="0" w:type="dxa"/>
          <w:tblCellMar>
            <w:left w:w="0" w:type="dxa"/>
            <w:right w:w="0" w:type="dxa"/>
          </w:tblCellMar>
          <w:tblLook w:val="0000"/>
        </w:tblPrEx>
        <w:trPr>
          <w:trHeight w:val="591"/>
          <w:jc w:val="center"/>
        </w:trPr>
        <w:tc>
          <w:tcPr>
            <w:tcW w:w="450" w:type="pct"/>
            <w:tcBorders>
              <w:top w:val="single" w:sz="4" w:space="0" w:color="auto"/>
              <w:bottom w:val="single" w:sz="4" w:space="0" w:color="auto"/>
              <w:right w:val="single" w:sz="4" w:space="0" w:color="auto"/>
            </w:tcBorders>
            <w:tcMar>
              <w:top w:w="15" w:type="dxa"/>
              <w:left w:w="15" w:type="dxa"/>
              <w:right w:w="15" w:type="dxa"/>
            </w:tcMar>
            <w:vAlign w:val="center"/>
          </w:tcPr>
          <w:p w:rsidR="00786C5C">
            <w:pPr>
              <w:pStyle w:val="a32"/>
              <w:rPr>
                <w:rFonts w:cs="仿宋" w:hint="eastAsia"/>
              </w:rPr>
            </w:pPr>
            <w:r>
              <w:rPr>
                <w:rFonts w:cs="仿宋" w:hint="eastAsia"/>
              </w:rPr>
              <w:t>6</w:t>
            </w:r>
          </w:p>
        </w:tc>
        <w:tc>
          <w:tcPr>
            <w:tcW w:w="2368" w:type="pct"/>
            <w:tcBorders>
              <w:top w:val="single" w:sz="4" w:space="0" w:color="auto"/>
              <w:left w:val="single" w:sz="4" w:space="0" w:color="auto"/>
              <w:bottom w:val="single" w:sz="4" w:space="0" w:color="auto"/>
              <w:right w:val="single" w:sz="4" w:space="0" w:color="auto"/>
            </w:tcBorders>
            <w:noWrap/>
            <w:tcMar>
              <w:top w:w="15" w:type="dxa"/>
              <w:left w:w="15" w:type="dxa"/>
              <w:right w:w="15" w:type="dxa"/>
            </w:tcMar>
            <w:vAlign w:val="center"/>
          </w:tcPr>
          <w:p w:rsidR="00786C5C">
            <w:pPr>
              <w:pStyle w:val="a32"/>
              <w:rPr>
                <w:rFonts w:cs="仿宋" w:hint="eastAsia"/>
              </w:rPr>
            </w:pPr>
            <w:r>
              <w:rPr>
                <w:rFonts w:cs="仿宋" w:hint="eastAsia"/>
              </w:rPr>
              <w:t>最大纵坡度</w:t>
            </w:r>
          </w:p>
        </w:tc>
        <w:tc>
          <w:tcPr>
            <w:tcW w:w="1089" w:type="pc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786C5C">
            <w:pPr>
              <w:pStyle w:val="a32"/>
              <w:rPr>
                <w:rFonts w:cs="仿宋" w:hint="eastAsia"/>
              </w:rPr>
            </w:pPr>
            <w:r>
              <w:rPr>
                <w:rFonts w:cs="仿宋" w:hint="eastAsia"/>
              </w:rPr>
              <w:t>1.28%</w:t>
            </w:r>
          </w:p>
        </w:tc>
        <w:tc>
          <w:tcPr>
            <w:tcW w:w="1091" w:type="pct"/>
            <w:tcBorders>
              <w:top w:val="single" w:sz="4" w:space="0" w:color="auto"/>
              <w:left w:val="single" w:sz="4" w:space="0" w:color="auto"/>
              <w:bottom w:val="single" w:sz="4" w:space="0" w:color="auto"/>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8.0%</w:t>
            </w:r>
          </w:p>
        </w:tc>
      </w:tr>
      <w:tr>
        <w:tblPrEx>
          <w:tblW w:w="4624" w:type="pct"/>
          <w:jc w:val="center"/>
          <w:tblInd w:w="0" w:type="dxa"/>
          <w:tblCellMar>
            <w:left w:w="0" w:type="dxa"/>
            <w:right w:w="0" w:type="dxa"/>
          </w:tblCellMar>
          <w:tblLook w:val="0000"/>
        </w:tblPrEx>
        <w:trPr>
          <w:trHeight w:val="591"/>
          <w:jc w:val="center"/>
        </w:trPr>
        <w:tc>
          <w:tcPr>
            <w:tcW w:w="450" w:type="pct"/>
            <w:tcBorders>
              <w:top w:val="single" w:sz="4" w:space="0" w:color="auto"/>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7</w:t>
            </w:r>
          </w:p>
        </w:tc>
        <w:tc>
          <w:tcPr>
            <w:tcW w:w="2368" w:type="pct"/>
            <w:tcBorders>
              <w:top w:val="single" w:sz="4" w:space="0" w:color="auto"/>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最小纵坡度</w:t>
            </w:r>
          </w:p>
        </w:tc>
        <w:tc>
          <w:tcPr>
            <w:tcW w:w="1089" w:type="pct"/>
            <w:tcBorders>
              <w:top w:val="single" w:sz="4" w:space="0" w:color="auto"/>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1.28%</w:t>
            </w:r>
          </w:p>
        </w:tc>
        <w:tc>
          <w:tcPr>
            <w:tcW w:w="1091" w:type="pct"/>
            <w:tcBorders>
              <w:top w:val="single" w:sz="4" w:space="0" w:color="auto"/>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0.3%</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8</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最小圆曲线半径</w:t>
            </w:r>
          </w:p>
        </w:tc>
        <w:tc>
          <w:tcPr>
            <w:tcW w:w="1089" w:type="pct"/>
            <w:tcBorders>
              <w:top w:val="nil"/>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p>
        </w:tc>
        <w:tc>
          <w:tcPr>
            <w:tcW w:w="1091" w:type="pct"/>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40m</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9</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最小竖曲线半径</w:t>
            </w:r>
          </w:p>
        </w:tc>
        <w:tc>
          <w:tcPr>
            <w:tcW w:w="1089" w:type="pct"/>
            <w:tcBorders>
              <w:top w:val="nil"/>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p>
        </w:tc>
        <w:tc>
          <w:tcPr>
            <w:tcW w:w="1091" w:type="pct"/>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250m</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10</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停车视距</w:t>
            </w:r>
          </w:p>
        </w:tc>
        <w:tc>
          <w:tcPr>
            <w:tcW w:w="1089" w:type="pct"/>
            <w:tcBorders>
              <w:top w:val="nil"/>
              <w:left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30m</w:t>
            </w:r>
          </w:p>
        </w:tc>
        <w:tc>
          <w:tcPr>
            <w:tcW w:w="1091" w:type="pct"/>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30m</w:t>
            </w:r>
          </w:p>
        </w:tc>
      </w:tr>
      <w:tr>
        <w:tblPrEx>
          <w:tblW w:w="4624" w:type="pct"/>
          <w:jc w:val="center"/>
          <w:tblInd w:w="0" w:type="dxa"/>
          <w:tblCellMar>
            <w:left w:w="0" w:type="dxa"/>
            <w:right w:w="0" w:type="dxa"/>
          </w:tblCellMar>
          <w:tblLook w:val="0000"/>
        </w:tblPrEx>
        <w:trPr>
          <w:trHeight w:val="583"/>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11</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路面结构设计荷载</w:t>
            </w:r>
          </w:p>
        </w:tc>
        <w:tc>
          <w:tcPr>
            <w:tcW w:w="2181" w:type="pct"/>
            <w:gridSpan w:val="2"/>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BZZ-100型标准车</w:t>
            </w:r>
          </w:p>
        </w:tc>
      </w:tr>
      <w:tr>
        <w:tblPrEx>
          <w:tblW w:w="4624" w:type="pct"/>
          <w:jc w:val="center"/>
          <w:tblInd w:w="0" w:type="dxa"/>
          <w:tblCellMar>
            <w:left w:w="0" w:type="dxa"/>
            <w:right w:w="0" w:type="dxa"/>
          </w:tblCellMar>
          <w:tblLook w:val="0000"/>
        </w:tblPrEx>
        <w:trPr>
          <w:trHeight w:val="620"/>
          <w:jc w:val="center"/>
        </w:trPr>
        <w:tc>
          <w:tcPr>
            <w:tcW w:w="450" w:type="pct"/>
            <w:tcBorders>
              <w:top w:val="nil"/>
              <w:bottom w:val="single" w:sz="8" w:space="0" w:color="000000"/>
              <w:right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12</w:t>
            </w:r>
          </w:p>
        </w:tc>
        <w:tc>
          <w:tcPr>
            <w:tcW w:w="2368" w:type="pct"/>
            <w:tcBorders>
              <w:top w:val="nil"/>
              <w:left w:val="nil"/>
              <w:bottom w:val="single" w:sz="8" w:space="0" w:color="000000"/>
              <w:right w:val="single" w:sz="8" w:space="0" w:color="000000"/>
            </w:tcBorders>
            <w:noWrap/>
            <w:tcMar>
              <w:top w:w="15" w:type="dxa"/>
              <w:left w:w="15" w:type="dxa"/>
              <w:right w:w="15" w:type="dxa"/>
            </w:tcMar>
            <w:vAlign w:val="center"/>
          </w:tcPr>
          <w:p w:rsidR="00786C5C">
            <w:pPr>
              <w:pStyle w:val="a32"/>
              <w:rPr>
                <w:rFonts w:cs="仿宋" w:hint="eastAsia"/>
              </w:rPr>
            </w:pPr>
            <w:r>
              <w:rPr>
                <w:rFonts w:cs="仿宋" w:hint="eastAsia"/>
              </w:rPr>
              <w:t>最小净空高度</w:t>
            </w:r>
          </w:p>
        </w:tc>
        <w:tc>
          <w:tcPr>
            <w:tcW w:w="1089" w:type="pct"/>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4.5m</w:t>
            </w:r>
          </w:p>
        </w:tc>
        <w:tc>
          <w:tcPr>
            <w:tcW w:w="1091" w:type="pct"/>
            <w:tcBorders>
              <w:top w:val="nil"/>
              <w:left w:val="nil"/>
              <w:bottom w:val="single" w:sz="8" w:space="0" w:color="000000"/>
            </w:tcBorders>
            <w:tcMar>
              <w:top w:w="15" w:type="dxa"/>
              <w:left w:w="15" w:type="dxa"/>
              <w:right w:w="15" w:type="dxa"/>
            </w:tcMar>
            <w:vAlign w:val="center"/>
          </w:tcPr>
          <w:p w:rsidR="00786C5C">
            <w:pPr>
              <w:pStyle w:val="a32"/>
              <w:rPr>
                <w:rFonts w:cs="仿宋" w:hint="eastAsia"/>
              </w:rPr>
            </w:pPr>
            <w:r>
              <w:rPr>
                <w:rFonts w:cs="仿宋" w:hint="eastAsia"/>
              </w:rPr>
              <w:t>≥</w:t>
            </w:r>
            <w:r>
              <w:rPr>
                <w:rFonts w:cs="仿宋" w:hint="eastAsia"/>
              </w:rPr>
              <w:t>4.5m</w:t>
            </w:r>
          </w:p>
        </w:tc>
      </w:tr>
    </w:tbl>
    <w:p w:rsidR="00786C5C">
      <w:pPr>
        <w:pStyle w:val="BodyTextFirstIndent2"/>
        <w:ind w:left="420"/>
        <w:rPr>
          <w:rFonts w:hint="eastAsia"/>
        </w:rPr>
      </w:pPr>
    </w:p>
    <w:p w:rsidR="00786C5C">
      <w:pPr>
        <w:pStyle w:val="Heading1"/>
        <w:keepLines w:val="0"/>
        <w:numPr>
          <w:ilvl w:val="0"/>
          <w:numId w:val="8"/>
        </w:numPr>
        <w:tabs>
          <w:tab w:val="left" w:pos="-2120"/>
        </w:tabs>
        <w:spacing w:before="0" w:after="0" w:line="360" w:lineRule="auto"/>
        <w:ind w:left="640" w:firstLine="0"/>
        <w:rPr>
          <w:rFonts w:ascii="仿宋" w:eastAsia="仿宋" w:hAnsi="仿宋" w:cs="仿宋" w:hint="eastAsia"/>
          <w:kern w:val="2"/>
          <w:sz w:val="32"/>
          <w:szCs w:val="32"/>
        </w:rPr>
      </w:pPr>
      <w:r>
        <w:rPr>
          <w:rFonts w:ascii="仿宋" w:eastAsia="仿宋" w:hAnsi="仿宋" w:cs="仿宋" w:hint="eastAsia"/>
          <w:kern w:val="2"/>
          <w:sz w:val="32"/>
          <w:szCs w:val="32"/>
        </w:rPr>
        <w:t>交通工程设计</w:t>
      </w:r>
    </w:p>
    <w:p w:rsidR="00786C5C">
      <w:pPr>
        <w:pStyle w:val="Heading2"/>
        <w:numPr>
          <w:ilvl w:val="1"/>
          <w:numId w:val="8"/>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总体设计原则</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交通工程设计总体原则：以保障交通安全畅通、行车有序、低公害的基本设施为要求，本着</w:t>
      </w:r>
      <w:r>
        <w:rPr>
          <w:rFonts w:ascii="仿宋" w:eastAsia="仿宋" w:hAnsi="仿宋" w:cs="仿宋" w:hint="eastAsia"/>
          <w:sz w:val="28"/>
          <w:szCs w:val="28"/>
          <w:lang w:val="zh-CN"/>
        </w:rPr>
        <w:t>“</w:t>
      </w:r>
      <w:r>
        <w:rPr>
          <w:rFonts w:ascii="仿宋" w:eastAsia="仿宋" w:hAnsi="仿宋" w:cs="仿宋" w:hint="eastAsia"/>
          <w:sz w:val="28"/>
          <w:szCs w:val="28"/>
          <w:lang w:val="zh-CN"/>
        </w:rPr>
        <w:t>以人为本</w:t>
      </w:r>
      <w:r>
        <w:rPr>
          <w:rFonts w:ascii="仿宋" w:eastAsia="仿宋" w:hAnsi="仿宋" w:cs="仿宋" w:hint="eastAsia"/>
          <w:sz w:val="28"/>
          <w:szCs w:val="28"/>
          <w:lang w:val="zh-CN"/>
        </w:rPr>
        <w:t>”</w:t>
      </w:r>
      <w:r>
        <w:rPr>
          <w:rFonts w:ascii="仿宋" w:eastAsia="仿宋" w:hAnsi="仿宋" w:cs="仿宋" w:hint="eastAsia"/>
          <w:sz w:val="28"/>
          <w:szCs w:val="28"/>
          <w:lang w:val="zh-CN"/>
        </w:rPr>
        <w:t>的设计理念，按照道路交通工程的设计原则，为道路交通参与者提供正确、可靠、适时的交通信息为目的。同时结合道路沿线周边环境，对道路沿线实施各行其道，人车分离，安全防护等交通安全设施设计。</w:t>
      </w:r>
    </w:p>
    <w:p w:rsidR="00786C5C">
      <w:pPr>
        <w:pStyle w:val="Heading2"/>
        <w:numPr>
          <w:ilvl w:val="1"/>
          <w:numId w:val="8"/>
        </w:numPr>
        <w:spacing w:line="360" w:lineRule="auto"/>
        <w:ind w:firstLine="73"/>
        <w:rPr>
          <w:rFonts w:ascii="仿宋" w:eastAsia="仿宋" w:hAnsi="仿宋" w:cs="仿宋" w:hint="eastAsia"/>
          <w:bCs/>
          <w:sz w:val="30"/>
          <w:szCs w:val="30"/>
        </w:rPr>
      </w:pPr>
      <w:bookmarkStart w:id="0" w:name="_Toc496274830"/>
      <w:r>
        <w:rPr>
          <w:rFonts w:ascii="仿宋" w:eastAsia="仿宋" w:hAnsi="仿宋" w:cs="仿宋" w:hint="eastAsia"/>
          <w:bCs/>
          <w:sz w:val="30"/>
          <w:szCs w:val="30"/>
        </w:rPr>
        <w:t>相交道路概况</w:t>
      </w:r>
      <w:bookmarkEnd w:id="0"/>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与本工程相交的道路</w:t>
      </w:r>
      <w:r>
        <w:rPr>
          <w:rFonts w:ascii="仿宋" w:eastAsia="仿宋" w:hAnsi="仿宋" w:cs="仿宋" w:hint="eastAsia"/>
          <w:sz w:val="28"/>
          <w:szCs w:val="28"/>
        </w:rPr>
        <w:t>为设计起点海康路</w:t>
      </w:r>
      <w:r>
        <w:rPr>
          <w:rFonts w:ascii="仿宋" w:eastAsia="仿宋" w:hAnsi="仿宋" w:cs="仿宋" w:hint="eastAsia"/>
          <w:sz w:val="28"/>
          <w:szCs w:val="28"/>
          <w:lang w:val="zh-CN"/>
        </w:rPr>
        <w:t>。</w:t>
      </w:r>
    </w:p>
    <w:p w:rsidR="00786C5C">
      <w:pPr>
        <w:pStyle w:val="Heading2"/>
        <w:numPr>
          <w:ilvl w:val="1"/>
          <w:numId w:val="8"/>
        </w:numPr>
        <w:spacing w:line="360" w:lineRule="auto"/>
        <w:ind w:firstLine="73"/>
        <w:rPr>
          <w:rFonts w:ascii="仿宋" w:eastAsia="仿宋" w:hAnsi="仿宋" w:cs="仿宋" w:hint="eastAsia"/>
          <w:bCs/>
          <w:sz w:val="30"/>
          <w:szCs w:val="30"/>
        </w:rPr>
      </w:pPr>
      <w:bookmarkStart w:id="1" w:name="_Toc496274831"/>
      <w:r>
        <w:rPr>
          <w:rFonts w:ascii="仿宋" w:eastAsia="仿宋" w:hAnsi="仿宋" w:cs="仿宋" w:hint="eastAsia"/>
          <w:bCs/>
          <w:sz w:val="30"/>
          <w:szCs w:val="30"/>
        </w:rPr>
        <w:t>交通标志设计</w:t>
      </w:r>
      <w:bookmarkEnd w:id="1"/>
    </w:p>
    <w:p w:rsidR="00786C5C">
      <w:pPr>
        <w:pStyle w:val="Heading3"/>
        <w:numPr>
          <w:ilvl w:val="2"/>
          <w:numId w:val="8"/>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交通标志设计原则</w:t>
      </w:r>
    </w:p>
    <w:p w:rsidR="00786C5C">
      <w:pPr>
        <w:widowControl/>
        <w:spacing w:line="360" w:lineRule="auto"/>
        <w:ind w:firstLine="560" w:firstLineChars="200"/>
        <w:rPr>
          <w:rFonts w:ascii="仿宋" w:eastAsia="仿宋" w:hAnsi="仿宋" w:cs="仿宋" w:hint="eastAsia"/>
          <w:sz w:val="28"/>
        </w:rPr>
      </w:pPr>
      <w:r>
        <w:rPr>
          <w:rFonts w:ascii="仿宋" w:eastAsia="仿宋" w:hAnsi="仿宋" w:cs="仿宋" w:hint="eastAsia"/>
          <w:sz w:val="28"/>
        </w:rPr>
        <w:t>设置交通标志是在通过对驾驶员适时、准确的诱导，充分发挥其舒适、安全的效能。本项目交通标志设计主要以不熟悉该区域道路网系统的驾驶员为基本使用对象，通过适时、适量地提供交通信息，使驾驶员能够正确选择路线及方向，顺利、快捷地抵达目的地。同时，还通过禁令、指示、警告等标志来进行交通管制和保证行车安全，使道路发挥最大的作用。</w:t>
      </w:r>
    </w:p>
    <w:p w:rsidR="00786C5C">
      <w:pPr>
        <w:widowControl/>
        <w:spacing w:line="360" w:lineRule="auto"/>
        <w:ind w:firstLine="560" w:firstLineChars="200"/>
        <w:rPr>
          <w:rFonts w:ascii="仿宋" w:eastAsia="仿宋" w:hAnsi="仿宋" w:cs="仿宋" w:hint="eastAsia"/>
          <w:sz w:val="28"/>
        </w:rPr>
      </w:pPr>
      <w:r>
        <w:rPr>
          <w:rFonts w:ascii="仿宋" w:eastAsia="仿宋" w:hAnsi="仿宋" w:cs="仿宋" w:hint="eastAsia"/>
          <w:sz w:val="28"/>
        </w:rPr>
        <w:t>交通标志的颜色为：</w:t>
      </w:r>
    </w:p>
    <w:p w:rsidR="00786C5C">
      <w:pPr>
        <w:widowControl/>
        <w:spacing w:line="360" w:lineRule="auto"/>
        <w:ind w:firstLine="560" w:firstLineChars="200"/>
        <w:rPr>
          <w:rFonts w:ascii="仿宋" w:eastAsia="仿宋" w:hAnsi="仿宋" w:cs="仿宋" w:hint="eastAsia"/>
          <w:sz w:val="28"/>
        </w:rPr>
      </w:pPr>
      <w:r>
        <w:rPr>
          <w:rFonts w:ascii="仿宋" w:eastAsia="仿宋" w:hAnsi="仿宋" w:cs="仿宋" w:hint="eastAsia"/>
          <w:sz w:val="28"/>
        </w:rPr>
        <w:t>指示标志：蓝底、白图案；</w:t>
      </w:r>
    </w:p>
    <w:p w:rsidR="00786C5C">
      <w:pPr>
        <w:widowControl/>
        <w:spacing w:line="360" w:lineRule="auto"/>
        <w:ind w:firstLine="560" w:firstLineChars="200"/>
        <w:rPr>
          <w:rFonts w:ascii="仿宋" w:eastAsia="仿宋" w:hAnsi="仿宋" w:cs="仿宋" w:hint="eastAsia"/>
          <w:sz w:val="28"/>
        </w:rPr>
      </w:pPr>
      <w:r>
        <w:rPr>
          <w:rFonts w:ascii="仿宋" w:eastAsia="仿宋" w:hAnsi="仿宋" w:cs="仿宋" w:hint="eastAsia"/>
          <w:sz w:val="28"/>
        </w:rPr>
        <w:t>警告标志：黄底、黑边、黑图案；</w:t>
      </w:r>
    </w:p>
    <w:p w:rsidR="00786C5C">
      <w:pPr>
        <w:widowControl/>
        <w:spacing w:line="360" w:lineRule="auto"/>
        <w:ind w:firstLine="560" w:firstLineChars="200"/>
        <w:rPr>
          <w:rFonts w:ascii="仿宋" w:eastAsia="仿宋" w:hAnsi="仿宋" w:cs="仿宋" w:hint="eastAsia"/>
          <w:sz w:val="28"/>
        </w:rPr>
      </w:pPr>
      <w:r>
        <w:rPr>
          <w:rFonts w:ascii="仿宋" w:eastAsia="仿宋" w:hAnsi="仿宋" w:cs="仿宋" w:hint="eastAsia"/>
          <w:sz w:val="28"/>
        </w:rPr>
        <w:t>禁令标志：白底、红圈、红杠、黑图案；</w:t>
      </w:r>
    </w:p>
    <w:p w:rsidR="00786C5C">
      <w:pPr>
        <w:widowControl/>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rPr>
        <w:t>指路标志：蓝底、白图案。</w:t>
      </w:r>
    </w:p>
    <w:p w:rsidR="00786C5C">
      <w:pPr>
        <w:pStyle w:val="Heading3"/>
        <w:numPr>
          <w:ilvl w:val="2"/>
          <w:numId w:val="8"/>
        </w:numPr>
        <w:spacing w:before="0" w:after="0" w:line="360" w:lineRule="auto"/>
        <w:ind w:hanging="69"/>
        <w:jc w:val="left"/>
        <w:rPr>
          <w:rFonts w:ascii="仿宋" w:eastAsia="仿宋" w:hAnsi="仿宋" w:cs="仿宋" w:hint="eastAsia"/>
          <w:sz w:val="28"/>
          <w:szCs w:val="28"/>
        </w:rPr>
      </w:pPr>
      <w:bookmarkStart w:id="2" w:name="_Toc988"/>
      <w:r>
        <w:rPr>
          <w:rFonts w:ascii="仿宋" w:eastAsia="仿宋" w:hAnsi="仿宋" w:cs="仿宋" w:hint="eastAsia"/>
          <w:sz w:val="28"/>
          <w:szCs w:val="28"/>
        </w:rPr>
        <w:t>道路交通标志版面及材料</w:t>
      </w:r>
      <w:bookmarkEnd w:id="2"/>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交通标志设计包含标志版面设计和结构设计，版面设计根据其版面内容的不同，分为禁令、指示、指路等几种，结构设计根据版面大小，分为柱式结构、悬臂式结构和门架式结构。</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根据现行规范结合本项目特点，</w:t>
      </w:r>
      <w:r>
        <w:rPr>
          <w:rFonts w:ascii="仿宋" w:eastAsia="仿宋" w:hAnsi="仿宋" w:cs="仿宋" w:hint="eastAsia"/>
          <w:sz w:val="28"/>
          <w:szCs w:val="28"/>
        </w:rPr>
        <w:t>本次</w:t>
      </w:r>
      <w:r>
        <w:rPr>
          <w:rFonts w:ascii="仿宋" w:eastAsia="仿宋" w:hAnsi="仿宋" w:cs="仿宋" w:hint="eastAsia"/>
          <w:sz w:val="28"/>
          <w:szCs w:val="28"/>
          <w:lang w:val="zh-CN"/>
        </w:rPr>
        <w:t>主要采用以下交通标志</w:t>
      </w:r>
      <w:r>
        <w:rPr>
          <w:rFonts w:ascii="仿宋" w:eastAsia="仿宋" w:hAnsi="仿宋" w:cs="仿宋" w:hint="eastAsia"/>
          <w:sz w:val="28"/>
          <w:szCs w:val="28"/>
        </w:rPr>
        <w:t>,交通标志具体设置位置以当地交管部门意见为准</w:t>
      </w:r>
      <w:r>
        <w:rPr>
          <w:rFonts w:ascii="仿宋" w:eastAsia="仿宋" w:hAnsi="仿宋" w:cs="仿宋" w:hint="eastAsia"/>
          <w:sz w:val="28"/>
          <w:szCs w:val="28"/>
          <w:lang w:val="zh-CN"/>
        </w:rPr>
        <w:t>：</w:t>
      </w:r>
    </w:p>
    <w:p w:rsidR="00786C5C">
      <w:pPr>
        <w:spacing w:line="360" w:lineRule="auto"/>
        <w:ind w:firstLine="561"/>
        <w:rPr>
          <w:rFonts w:ascii="仿宋" w:eastAsia="仿宋" w:hAnsi="仿宋" w:cs="仿宋" w:hint="eastAsia"/>
          <w:sz w:val="28"/>
          <w:szCs w:val="28"/>
          <w:lang w:val="zh-CN"/>
        </w:rPr>
        <w:sectPr>
          <w:headerReference w:type="default" r:id="rId13"/>
          <w:footerReference w:type="default" r:id="rId14"/>
          <w:type w:val="nextPage"/>
          <w:pgSz w:w="23814" w:h="16840" w:orient="landscape"/>
          <w:pgMar w:top="0" w:right="1440" w:bottom="1814" w:left="1814" w:header="851" w:footer="992" w:gutter="0"/>
          <w:pgNumType w:start="3"/>
          <w:cols w:num="2" w:space="425" w:equalWidth="0">
            <w:col w:w="10067" w:space="425"/>
            <w:col w:w="10067" w:space="0"/>
          </w:cols>
          <w:titlePg w:val="0"/>
          <w:docGrid w:type="lines" w:linePitch="312"/>
        </w:sectPr>
      </w:pPr>
      <w:r>
        <w:rPr>
          <w:rFonts w:ascii="仿宋" w:eastAsia="仿宋" w:hAnsi="仿宋" w:cs="仿宋" w:hint="eastAsia"/>
          <w:sz w:val="28"/>
          <w:szCs w:val="28"/>
          <w:lang w:val="zh-CN"/>
        </w:rPr>
        <w:t>指路标志：</w:t>
      </w:r>
    </w:p>
    <w:p w:rsidR="00786C5C">
      <w:pPr>
        <w:spacing w:line="360" w:lineRule="auto"/>
        <w:ind w:firstLine="560" w:firstLineChars="200"/>
        <w:rPr>
          <w:rFonts w:ascii="仿宋" w:eastAsia="仿宋" w:hAnsi="仿宋" w:cs="仿宋" w:hint="eastAsia"/>
          <w:sz w:val="28"/>
          <w:szCs w:val="28"/>
          <w:lang w:val="zh-CN"/>
        </w:rPr>
      </w:pPr>
      <w:r>
        <w:rPr>
          <w:rFonts w:ascii="仿宋" w:eastAsia="仿宋" w:hAnsi="仿宋" w:cs="仿宋" w:hint="eastAsia"/>
          <w:sz w:val="28"/>
          <w:szCs w:val="28"/>
          <w:lang w:val="zh-CN"/>
        </w:rPr>
        <w:t>设置位置：交叉口进口道停止线后</w:t>
      </w:r>
      <w:r>
        <w:rPr>
          <w:rFonts w:ascii="仿宋" w:eastAsia="仿宋" w:hAnsi="仿宋" w:cs="仿宋" w:hint="eastAsia"/>
          <w:sz w:val="28"/>
          <w:szCs w:val="28"/>
        </w:rPr>
        <w:t>33</w:t>
      </w:r>
      <w:r>
        <w:rPr>
          <w:rFonts w:ascii="仿宋" w:eastAsia="仿宋" w:hAnsi="仿宋" w:cs="仿宋" w:hint="eastAsia"/>
          <w:sz w:val="28"/>
          <w:szCs w:val="28"/>
          <w:lang w:val="zh-CN"/>
        </w:rPr>
        <w:t>m；</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版面尺寸：1500mm</w:t>
      </w:r>
      <w:r>
        <w:rPr>
          <w:rFonts w:ascii="仿宋" w:eastAsia="仿宋" w:hAnsi="仿宋" w:cs="仿宋" w:hint="eastAsia"/>
          <w:sz w:val="28"/>
          <w:szCs w:val="28"/>
          <w:lang w:val="zh-CN"/>
        </w:rPr>
        <w:t>×</w:t>
      </w:r>
      <w:r>
        <w:rPr>
          <w:rFonts w:ascii="仿宋" w:eastAsia="仿宋" w:hAnsi="仿宋" w:cs="仿宋" w:hint="eastAsia"/>
          <w:sz w:val="28"/>
          <w:szCs w:val="28"/>
          <w:lang w:val="zh-CN"/>
        </w:rPr>
        <w:t>2000mm；</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支撑结构：</w:t>
      </w:r>
      <w:r>
        <w:rPr>
          <w:rFonts w:ascii="仿宋" w:eastAsia="仿宋" w:hAnsi="仿宋" w:cs="仿宋" w:hint="eastAsia"/>
          <w:sz w:val="28"/>
          <w:szCs w:val="28"/>
          <w:lang w:val="zh-CN"/>
        </w:rPr>
        <w:t>Φ</w:t>
      </w:r>
      <w:r>
        <w:rPr>
          <w:rFonts w:ascii="仿宋" w:eastAsia="仿宋" w:hAnsi="仿宋" w:cs="仿宋" w:hint="eastAsia"/>
          <w:sz w:val="28"/>
          <w:szCs w:val="28"/>
          <w:lang w:val="zh-CN"/>
        </w:rPr>
        <w:t>140单立柱；</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人行横道标志</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设置位置：无灯控人行横道两端；</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版面尺寸：800mm</w:t>
      </w:r>
      <w:r>
        <w:rPr>
          <w:rFonts w:ascii="仿宋" w:eastAsia="仿宋" w:hAnsi="仿宋" w:cs="仿宋" w:hint="eastAsia"/>
          <w:sz w:val="28"/>
          <w:szCs w:val="28"/>
          <w:lang w:val="zh-CN"/>
        </w:rPr>
        <w:t>×</w:t>
      </w:r>
      <w:r>
        <w:rPr>
          <w:rFonts w:ascii="仿宋" w:eastAsia="仿宋" w:hAnsi="仿宋" w:cs="仿宋" w:hint="eastAsia"/>
          <w:sz w:val="28"/>
          <w:szCs w:val="28"/>
          <w:lang w:val="zh-CN"/>
        </w:rPr>
        <w:t>800mm；</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支撑结构：</w:t>
      </w:r>
      <w:r>
        <w:rPr>
          <w:rFonts w:ascii="仿宋" w:eastAsia="仿宋" w:hAnsi="仿宋" w:cs="仿宋" w:hint="eastAsia"/>
          <w:sz w:val="28"/>
          <w:szCs w:val="28"/>
          <w:lang w:val="zh-CN"/>
        </w:rPr>
        <w:t>Φ</w:t>
      </w:r>
      <w:r>
        <w:rPr>
          <w:rFonts w:ascii="仿宋" w:eastAsia="仿宋" w:hAnsi="仿宋" w:cs="仿宋" w:hint="eastAsia"/>
          <w:sz w:val="28"/>
          <w:szCs w:val="28"/>
          <w:lang w:val="zh-CN"/>
        </w:rPr>
        <w:t>89单立柱；</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允许掉头标志</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设置位置：</w:t>
      </w:r>
      <w:r>
        <w:rPr>
          <w:rFonts w:ascii="仿宋" w:eastAsia="仿宋" w:hAnsi="仿宋" w:cs="仿宋" w:hint="eastAsia"/>
          <w:sz w:val="28"/>
          <w:szCs w:val="28"/>
        </w:rPr>
        <w:t>隔离墩处并附着灯杆上</w:t>
      </w:r>
      <w:r>
        <w:rPr>
          <w:rFonts w:ascii="仿宋" w:eastAsia="仿宋" w:hAnsi="仿宋" w:cs="仿宋" w:hint="eastAsia"/>
          <w:sz w:val="28"/>
          <w:szCs w:val="28"/>
          <w:lang w:val="zh-CN"/>
        </w:rPr>
        <w:t>；</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版面尺寸：</w:t>
      </w:r>
      <w:r>
        <w:rPr>
          <w:rFonts w:ascii="仿宋" w:eastAsia="仿宋" w:hAnsi="仿宋" w:cs="仿宋" w:hint="eastAsia"/>
          <w:sz w:val="28"/>
          <w:szCs w:val="28"/>
        </w:rPr>
        <w:t>800</w:t>
      </w:r>
      <w:r>
        <w:rPr>
          <w:rFonts w:ascii="仿宋" w:eastAsia="仿宋" w:hAnsi="仿宋" w:cs="仿宋" w:hint="eastAsia"/>
          <w:sz w:val="28"/>
          <w:szCs w:val="28"/>
          <w:lang w:val="zh-CN"/>
        </w:rPr>
        <w:t>mm</w:t>
      </w:r>
      <w:r>
        <w:rPr>
          <w:rFonts w:ascii="仿宋" w:eastAsia="仿宋" w:hAnsi="仿宋" w:cs="仿宋" w:hint="eastAsia"/>
          <w:sz w:val="28"/>
          <w:szCs w:val="28"/>
          <w:lang w:val="zh-CN"/>
        </w:rPr>
        <w:t>×</w:t>
      </w:r>
      <w:r>
        <w:rPr>
          <w:rFonts w:ascii="仿宋" w:eastAsia="仿宋" w:hAnsi="仿宋" w:cs="仿宋" w:hint="eastAsia"/>
          <w:sz w:val="28"/>
          <w:szCs w:val="28"/>
        </w:rPr>
        <w:t>80</w:t>
      </w:r>
      <w:r>
        <w:rPr>
          <w:rFonts w:ascii="仿宋" w:eastAsia="仿宋" w:hAnsi="仿宋" w:cs="仿宋" w:hint="eastAsia"/>
          <w:sz w:val="28"/>
          <w:szCs w:val="28"/>
          <w:lang w:val="zh-CN"/>
        </w:rPr>
        <w:t>0mm；</w:t>
      </w:r>
    </w:p>
    <w:p w:rsidR="00786C5C">
      <w:pPr>
        <w:spacing w:line="360" w:lineRule="auto"/>
        <w:ind w:firstLine="561"/>
        <w:rPr>
          <w:rFonts w:ascii="仿宋" w:eastAsia="仿宋" w:hAnsi="仿宋" w:cs="仿宋" w:hint="eastAsia"/>
          <w:sz w:val="28"/>
          <w:szCs w:val="28"/>
        </w:rPr>
      </w:pPr>
      <w:r>
        <w:rPr>
          <w:rFonts w:ascii="仿宋" w:eastAsia="仿宋" w:hAnsi="仿宋" w:cs="仿宋" w:hint="eastAsia"/>
          <w:sz w:val="28"/>
          <w:szCs w:val="28"/>
        </w:rPr>
        <w:t>此路不通标志</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设置位置：</w:t>
      </w:r>
      <w:r>
        <w:rPr>
          <w:rFonts w:ascii="仿宋" w:eastAsia="仿宋" w:hAnsi="仿宋" w:cs="仿宋" w:hint="eastAsia"/>
          <w:sz w:val="28"/>
          <w:szCs w:val="28"/>
        </w:rPr>
        <w:t>离断头路终点30</w:t>
      </w:r>
      <w:r>
        <w:rPr>
          <w:rFonts w:ascii="仿宋" w:eastAsia="仿宋" w:hAnsi="仿宋" w:cs="仿宋" w:hint="eastAsia"/>
          <w:sz w:val="28"/>
          <w:szCs w:val="28"/>
          <w:lang w:val="zh-CN"/>
        </w:rPr>
        <w:t>m</w:t>
      </w:r>
      <w:r>
        <w:rPr>
          <w:rFonts w:ascii="仿宋" w:eastAsia="仿宋" w:hAnsi="仿宋" w:cs="仿宋" w:hint="eastAsia"/>
          <w:sz w:val="28"/>
          <w:szCs w:val="28"/>
        </w:rPr>
        <w:t>并附着灯杆上</w:t>
      </w:r>
      <w:r>
        <w:rPr>
          <w:rFonts w:ascii="仿宋" w:eastAsia="仿宋" w:hAnsi="仿宋" w:cs="仿宋" w:hint="eastAsia"/>
          <w:sz w:val="28"/>
          <w:szCs w:val="28"/>
          <w:lang w:val="zh-CN"/>
        </w:rPr>
        <w:t>；</w:t>
      </w:r>
    </w:p>
    <w:p w:rsidR="00786C5C">
      <w:pPr>
        <w:spacing w:line="360" w:lineRule="auto"/>
        <w:ind w:firstLine="561"/>
        <w:rPr>
          <w:rFonts w:hint="eastAsia"/>
          <w:lang w:val="zh-CN"/>
        </w:rPr>
      </w:pPr>
      <w:r>
        <w:rPr>
          <w:rFonts w:ascii="仿宋" w:eastAsia="仿宋" w:hAnsi="仿宋" w:cs="仿宋" w:hint="eastAsia"/>
          <w:sz w:val="28"/>
          <w:szCs w:val="28"/>
          <w:lang w:val="zh-CN"/>
        </w:rPr>
        <w:t>版面尺寸：</w:t>
      </w:r>
      <w:r>
        <w:rPr>
          <w:rFonts w:ascii="仿宋" w:eastAsia="仿宋" w:hAnsi="仿宋" w:cs="仿宋" w:hint="eastAsia"/>
          <w:sz w:val="28"/>
          <w:szCs w:val="28"/>
        </w:rPr>
        <w:t>680</w:t>
      </w:r>
      <w:r>
        <w:rPr>
          <w:rFonts w:ascii="仿宋" w:eastAsia="仿宋" w:hAnsi="仿宋" w:cs="仿宋" w:hint="eastAsia"/>
          <w:sz w:val="28"/>
          <w:szCs w:val="28"/>
          <w:lang w:val="zh-CN"/>
        </w:rPr>
        <w:t>mm</w:t>
      </w:r>
      <w:r>
        <w:rPr>
          <w:rFonts w:ascii="仿宋" w:eastAsia="仿宋" w:hAnsi="仿宋" w:cs="仿宋" w:hint="eastAsia"/>
          <w:sz w:val="28"/>
          <w:szCs w:val="28"/>
          <w:lang w:val="zh-CN"/>
        </w:rPr>
        <w:t>×</w:t>
      </w:r>
      <w:r>
        <w:rPr>
          <w:rFonts w:ascii="仿宋" w:eastAsia="仿宋" w:hAnsi="仿宋" w:cs="仿宋" w:hint="eastAsia"/>
          <w:sz w:val="28"/>
          <w:szCs w:val="28"/>
        </w:rPr>
        <w:t>80</w:t>
      </w:r>
      <w:r>
        <w:rPr>
          <w:rFonts w:ascii="仿宋" w:eastAsia="仿宋" w:hAnsi="仿宋" w:cs="仿宋" w:hint="eastAsia"/>
          <w:sz w:val="28"/>
          <w:szCs w:val="28"/>
          <w:lang w:val="zh-CN"/>
        </w:rPr>
        <w:t>0mm；</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标志底板采用3003的铝合金板，铝合金板材的抗拉强度应不小于289.3Mpa，屈服点不小于241.2Mpa，延伸率不小于4%～10%，其耐候、耐盐雾腐蚀、机械性能等应符合《道路交通标志板及支撑件》（GB/T 23827-20</w:t>
      </w:r>
      <w:r>
        <w:rPr>
          <w:rFonts w:ascii="仿宋" w:eastAsia="仿宋" w:hAnsi="仿宋" w:cs="仿宋" w:hint="eastAsia"/>
          <w:sz w:val="28"/>
          <w:szCs w:val="28"/>
        </w:rPr>
        <w:t>21</w:t>
      </w:r>
      <w:r>
        <w:rPr>
          <w:rFonts w:ascii="仿宋" w:eastAsia="仿宋" w:hAnsi="仿宋" w:cs="仿宋" w:hint="eastAsia"/>
          <w:sz w:val="28"/>
          <w:szCs w:val="28"/>
          <w:lang w:val="zh-CN"/>
        </w:rPr>
        <w:t>）。铝合金板板厚一般在版面面积</w:t>
      </w:r>
      <w:r>
        <w:rPr>
          <w:rFonts w:ascii="仿宋" w:eastAsia="仿宋" w:hAnsi="仿宋" w:cs="仿宋" w:hint="eastAsia"/>
          <w:sz w:val="28"/>
          <w:szCs w:val="28"/>
          <w:lang w:val="zh-CN"/>
        </w:rPr>
        <w:t>≤</w:t>
      </w:r>
      <w:r>
        <w:rPr>
          <w:rFonts w:ascii="仿宋" w:eastAsia="仿宋" w:hAnsi="仿宋" w:cs="仿宋" w:hint="eastAsia"/>
          <w:sz w:val="28"/>
          <w:szCs w:val="28"/>
          <w:lang w:val="zh-CN"/>
        </w:rPr>
        <w:t>1.5m2时采用2mm，在版面面积＞1.5m2时采用3mm。</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标志版面颜色参照设计图、</w:t>
      </w:r>
      <w:r>
        <w:rPr>
          <w:rFonts w:ascii="仿宋" w:eastAsia="仿宋" w:hAnsi="仿宋" w:cs="仿宋" w:hint="eastAsia"/>
          <w:color w:val="FF0000"/>
          <w:sz w:val="28"/>
          <w:szCs w:val="28"/>
        </w:rPr>
        <w:t>《道路交通标志和标线》（第二部分：道路交通标志）(GB5768.2-2022)</w:t>
      </w:r>
      <w:r>
        <w:rPr>
          <w:rFonts w:ascii="仿宋" w:eastAsia="仿宋" w:hAnsi="仿宋" w:cs="仿宋" w:hint="eastAsia"/>
          <w:sz w:val="28"/>
          <w:szCs w:val="28"/>
          <w:lang w:val="zh-CN"/>
        </w:rPr>
        <w:t>、《重庆市城市道路交通管理设施设置规范》（DB50/T 548.1-2015）；交通标志的颜色指标还要符合《视觉信号表面色》（GB8416-2003）的规定。</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所有标志均采用超强级反光膜粘贴，严格参照《道路交通反光膜》（GB/T 18833-2012）执行。</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 xml:space="preserve">各版面字体采用 </w:t>
      </w:r>
      <w:r>
        <w:rPr>
          <w:rFonts w:ascii="仿宋" w:eastAsia="仿宋" w:hAnsi="仿宋" w:cs="仿宋" w:hint="eastAsia"/>
          <w:sz w:val="28"/>
          <w:szCs w:val="28"/>
          <w:lang w:val="zh-CN"/>
        </w:rPr>
        <w:t>“</w:t>
      </w:r>
      <w:r>
        <w:rPr>
          <w:rFonts w:ascii="仿宋" w:eastAsia="仿宋" w:hAnsi="仿宋" w:cs="仿宋" w:hint="eastAsia"/>
          <w:sz w:val="28"/>
          <w:szCs w:val="28"/>
          <w:lang w:val="zh-CN"/>
        </w:rPr>
        <w:t>交通标志专用字体</w:t>
      </w:r>
      <w:r>
        <w:rPr>
          <w:rFonts w:ascii="仿宋" w:eastAsia="仿宋" w:hAnsi="仿宋" w:cs="仿宋" w:hint="eastAsia"/>
          <w:sz w:val="28"/>
          <w:szCs w:val="28"/>
          <w:lang w:val="zh-CN"/>
        </w:rPr>
        <w:t>”</w:t>
      </w:r>
      <w:r>
        <w:rPr>
          <w:rFonts w:ascii="仿宋" w:eastAsia="仿宋" w:hAnsi="仿宋" w:cs="仿宋" w:hint="eastAsia"/>
          <w:sz w:val="28"/>
          <w:szCs w:val="28"/>
          <w:lang w:val="zh-CN"/>
        </w:rPr>
        <w:t>。文字原则采用中英文对照，指路标志的英文地名使用汉语拼音，专用名词使用英文。</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指路标志版面内容排列顺序：在干道上沿直行方向指示两个路名（地名），从左到右，由近而远地排列；左右转弯各指两个路名（地名），自上而下，由近而远地排列。其中近地名是指示直行及左、右转弯所指前方路口的相交路名；远地名可以是道路所指示前方的著名地点名、主要地点名或主要人流集散点名。</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由于本项目及周围路网均为工程命名，本次设计不包括指路标志版面具体内容。指路信息须由项目所在辖区的地名办和交警审定后方可加工制作。</w:t>
      </w:r>
    </w:p>
    <w:p w:rsidR="00786C5C">
      <w:pPr>
        <w:pStyle w:val="Heading3"/>
        <w:numPr>
          <w:ilvl w:val="2"/>
          <w:numId w:val="9"/>
        </w:numPr>
        <w:spacing w:before="0" w:after="0" w:line="360" w:lineRule="auto"/>
        <w:ind w:hanging="69"/>
        <w:jc w:val="left"/>
        <w:rPr>
          <w:rFonts w:ascii="仿宋" w:eastAsia="仿宋" w:hAnsi="仿宋" w:cs="仿宋" w:hint="eastAsia"/>
          <w:sz w:val="28"/>
          <w:szCs w:val="28"/>
        </w:rPr>
      </w:pPr>
      <w:bookmarkStart w:id="3" w:name="_Toc2654"/>
      <w:r>
        <w:rPr>
          <w:rFonts w:ascii="仿宋" w:eastAsia="仿宋" w:hAnsi="仿宋" w:cs="仿宋" w:hint="eastAsia"/>
          <w:sz w:val="28"/>
          <w:szCs w:val="28"/>
        </w:rPr>
        <w:t>标志支撑结构</w:t>
      </w:r>
      <w:bookmarkEnd w:id="3"/>
    </w:p>
    <w:p w:rsidR="00786C5C">
      <w:pPr>
        <w:spacing w:line="360" w:lineRule="auto"/>
        <w:ind w:left="2" w:firstLine="560" w:leftChars="1" w:firstLineChars="200"/>
        <w:rPr>
          <w:rFonts w:ascii="仿宋" w:eastAsia="仿宋" w:hAnsi="仿宋" w:cs="仿宋" w:hint="eastAsia"/>
          <w:sz w:val="28"/>
          <w:szCs w:val="28"/>
        </w:rPr>
      </w:pPr>
      <w:r>
        <w:rPr>
          <w:rFonts w:ascii="仿宋" w:eastAsia="仿宋" w:hAnsi="仿宋" w:cs="仿宋" w:hint="eastAsia"/>
          <w:sz w:val="28"/>
        </w:rPr>
        <w:t>标志结构设计：本次标志立柱采用单柱式结构，标志立柱采用钢管制作，符合《道路交通标志板及支撑件》（GB/T 23827-2021）要求，所有钢构件必须采用热浸锌作防腐处理。</w:t>
      </w:r>
    </w:p>
    <w:p w:rsidR="00786C5C">
      <w:pPr>
        <w:spacing w:line="360" w:lineRule="auto"/>
        <w:ind w:left="2" w:firstLine="560" w:leftChars="1" w:firstLineChars="200"/>
        <w:jc w:val="left"/>
        <w:rPr>
          <w:rFonts w:ascii="仿宋" w:eastAsia="仿宋" w:hAnsi="仿宋" w:cs="仿宋" w:hint="eastAsia"/>
          <w:sz w:val="28"/>
          <w:szCs w:val="28"/>
        </w:rPr>
      </w:pPr>
      <w:r>
        <w:rPr>
          <w:rFonts w:ascii="仿宋" w:eastAsia="仿宋" w:hAnsi="仿宋" w:cs="仿宋" w:hint="eastAsia"/>
          <w:sz w:val="28"/>
          <w:szCs w:val="28"/>
        </w:rPr>
        <w:t>立柱顶端及横梁端部均采用3mm厚的钢板焊接封顶。</w:t>
      </w:r>
    </w:p>
    <w:p w:rsidR="00786C5C">
      <w:pPr>
        <w:spacing w:line="360" w:lineRule="auto"/>
        <w:rPr>
          <w:rFonts w:ascii="仿宋" w:eastAsia="仿宋" w:hAnsi="仿宋" w:cs="仿宋" w:hint="eastAsia"/>
          <w:sz w:val="28"/>
          <w:szCs w:val="28"/>
        </w:rPr>
      </w:pPr>
      <w:r>
        <w:rPr>
          <w:rFonts w:ascii="仿宋" w:eastAsia="仿宋" w:hAnsi="仿宋" w:cs="仿宋" w:hint="eastAsia"/>
          <w:sz w:val="28"/>
          <w:szCs w:val="28"/>
        </w:rPr>
        <w:t>根据提本次标志结构的设计基本风速为35m/s；</w:t>
      </w:r>
    </w:p>
    <w:p w:rsidR="00786C5C">
      <w:pPr>
        <w:spacing w:line="360" w:lineRule="auto"/>
        <w:ind w:left="2" w:firstLine="560" w:leftChars="1" w:firstLineChars="200"/>
        <w:jc w:val="left"/>
        <w:rPr>
          <w:rFonts w:ascii="仿宋" w:eastAsia="仿宋" w:hAnsi="仿宋" w:cs="仿宋" w:hint="eastAsia"/>
          <w:sz w:val="28"/>
          <w:szCs w:val="28"/>
        </w:rPr>
      </w:pPr>
      <w:r>
        <w:rPr>
          <w:rFonts w:ascii="仿宋" w:eastAsia="仿宋" w:hAnsi="仿宋" w:cs="仿宋" w:hint="eastAsia"/>
          <w:sz w:val="28"/>
          <w:szCs w:val="28"/>
        </w:rPr>
        <w:t>立柱采用的钢材应符合《结构用无缝钢管》（GB/T 8162-2018）的要求；</w:t>
      </w:r>
    </w:p>
    <w:p w:rsidR="00786C5C">
      <w:pPr>
        <w:spacing w:line="360" w:lineRule="auto"/>
        <w:ind w:left="2" w:firstLine="560" w:leftChars="1" w:firstLineChars="200"/>
        <w:jc w:val="left"/>
        <w:rPr>
          <w:rFonts w:ascii="仿宋" w:eastAsia="仿宋" w:hAnsi="仿宋" w:cs="仿宋" w:hint="eastAsia"/>
          <w:sz w:val="28"/>
          <w:szCs w:val="28"/>
        </w:rPr>
      </w:pPr>
      <w:r>
        <w:rPr>
          <w:rFonts w:ascii="仿宋" w:eastAsia="仿宋" w:hAnsi="仿宋" w:cs="仿宋" w:hint="eastAsia"/>
          <w:sz w:val="28"/>
          <w:szCs w:val="28"/>
        </w:rPr>
        <w:t>标志基础采用明挖法施工，基底应先整平、夯实，控制好标高，施工完毕，基坑应分层回填夯实；在浇注混凝土时，应注意使定位法兰盘与基础对中，并将其嵌进基础（其上表面与基础顶面齐平），同时保持其顶面水平，而预埋的地脚螺栓应与其保持垂直。</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基础底法兰盘要与地脚螺栓点焊固定，并配双螺母；</w:t>
      </w:r>
    </w:p>
    <w:p w:rsidR="00786C5C">
      <w:pPr>
        <w:spacing w:line="360" w:lineRule="auto"/>
        <w:ind w:firstLine="560" w:firstLineChars="200"/>
        <w:rPr>
          <w:rFonts w:ascii="仿宋" w:eastAsia="仿宋" w:hAnsi="仿宋" w:cs="仿宋" w:hint="eastAsia"/>
          <w:sz w:val="28"/>
          <w:szCs w:val="28"/>
        </w:rPr>
        <w:sectPr>
          <w:headerReference w:type="default" r:id="rId15"/>
          <w:footerReference w:type="default" r:id="rId16"/>
          <w:type w:val="nextPage"/>
          <w:pgSz w:w="23814" w:h="16840" w:orient="landscape"/>
          <w:pgMar w:top="0" w:right="1440" w:bottom="1814" w:left="1814" w:header="851" w:footer="992" w:gutter="0"/>
          <w:pgNumType w:start="4"/>
          <w:cols w:num="2" w:space="425" w:equalWidth="0">
            <w:col w:w="10067" w:space="425"/>
            <w:col w:w="10067" w:space="0"/>
          </w:cols>
          <w:titlePg w:val="0"/>
          <w:docGrid w:type="lines" w:linePitch="312"/>
        </w:sectPr>
      </w:pP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标志结构中的主梁、横梁和法兰盘钢构件均须采用热浸镀锌，镀锌量不得低于6</w:t>
      </w:r>
      <w:r>
        <w:rPr>
          <w:rFonts w:ascii="仿宋" w:eastAsia="仿宋" w:hAnsi="仿宋" w:cs="仿宋" w:hint="eastAsia"/>
          <w:sz w:val="28"/>
          <w:szCs w:val="28"/>
        </w:rPr>
        <w:t>00g/m</w:t>
      </w:r>
      <w:r>
        <w:rPr>
          <w:rFonts w:ascii="仿宋" w:eastAsia="仿宋" w:hAnsi="仿宋" w:cs="仿宋" w:hint="eastAsia"/>
          <w:sz w:val="28"/>
          <w:szCs w:val="28"/>
          <w:vertAlign w:val="superscript"/>
        </w:rPr>
        <w:t>2</w:t>
      </w:r>
      <w:r>
        <w:rPr>
          <w:rFonts w:ascii="仿宋" w:eastAsia="仿宋" w:hAnsi="仿宋" w:cs="仿宋" w:hint="eastAsia"/>
          <w:sz w:val="28"/>
          <w:szCs w:val="28"/>
        </w:rPr>
        <w:t>，紧固件的镀锌量不得低于350g/m</w:t>
      </w:r>
      <w:r>
        <w:rPr>
          <w:rFonts w:ascii="仿宋" w:eastAsia="仿宋" w:hAnsi="仿宋" w:cs="仿宋" w:hint="eastAsia"/>
          <w:sz w:val="28"/>
          <w:szCs w:val="28"/>
          <w:vertAlign w:val="superscript"/>
        </w:rPr>
        <w:t>2</w:t>
      </w:r>
      <w:r>
        <w:rPr>
          <w:rFonts w:ascii="仿宋" w:eastAsia="仿宋" w:hAnsi="仿宋" w:cs="仿宋" w:hint="eastAsia"/>
          <w:sz w:val="28"/>
          <w:szCs w:val="28"/>
        </w:rPr>
        <w:t>；</w:t>
      </w:r>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地脚螺栓连接处构件接触面应作喷砂（或酸洗）后涂无机富锌漆；</w:t>
      </w:r>
    </w:p>
    <w:p w:rsidR="00786C5C">
      <w:pPr>
        <w:spacing w:line="360" w:lineRule="auto"/>
        <w:ind w:left="2" w:firstLine="560" w:leftChars="1" w:firstLineChars="200"/>
        <w:jc w:val="left"/>
        <w:rPr>
          <w:rFonts w:ascii="仿宋" w:eastAsia="仿宋" w:hAnsi="仿宋" w:cs="仿宋" w:hint="eastAsia"/>
          <w:sz w:val="28"/>
          <w:szCs w:val="28"/>
          <w:lang w:val="zh-CN"/>
        </w:rPr>
      </w:pPr>
      <w:r>
        <w:rPr>
          <w:rFonts w:ascii="仿宋" w:eastAsia="仿宋" w:hAnsi="仿宋" w:cs="仿宋" w:hint="eastAsia"/>
          <w:sz w:val="28"/>
          <w:szCs w:val="28"/>
        </w:rPr>
        <w:t>标志板与滑动槽铝用铆接，标志板与标志柱通过槽铝和滑动螺栓连接。</w:t>
      </w:r>
    </w:p>
    <w:p w:rsidR="00786C5C">
      <w:pPr>
        <w:pStyle w:val="Heading3"/>
        <w:numPr>
          <w:ilvl w:val="2"/>
          <w:numId w:val="10"/>
        </w:numPr>
        <w:spacing w:before="0" w:after="0" w:line="360" w:lineRule="auto"/>
        <w:ind w:hanging="69"/>
        <w:jc w:val="left"/>
        <w:rPr>
          <w:rFonts w:ascii="仿宋" w:eastAsia="仿宋" w:hAnsi="仿宋" w:cs="仿宋" w:hint="eastAsia"/>
          <w:sz w:val="28"/>
          <w:szCs w:val="28"/>
        </w:rPr>
      </w:pPr>
      <w:bookmarkStart w:id="4" w:name="_Toc13497"/>
      <w:r>
        <w:rPr>
          <w:rFonts w:ascii="仿宋" w:eastAsia="仿宋" w:hAnsi="仿宋" w:cs="仿宋" w:hint="eastAsia"/>
          <w:sz w:val="28"/>
          <w:szCs w:val="28"/>
        </w:rPr>
        <w:t>标志安装</w:t>
      </w:r>
      <w:bookmarkEnd w:id="4"/>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标志安装在单柱或双柱式标杆立柱上时，安装高度为200cm～250cm，但安装在隔离带、绿化带等非行人通行的地点时，安装高度不低于100cm。标志板外缘距路面侧石线不小于30cm。标志板安装在悬臂上，考虑到通行净空和路面维修增高的因素，安装高度控制在550cm。对于附着式标志同样应当符合200cm～250cm和侧向净空不小于30cm的要求。</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路侧标志安装时应与道路中线成一定角度，指路和警告标志其安装角度为0～10</w:t>
      </w:r>
      <w:r>
        <w:rPr>
          <w:rFonts w:ascii="仿宋" w:eastAsia="仿宋" w:hAnsi="仿宋" w:cs="仿宋" w:hint="eastAsia"/>
          <w:sz w:val="28"/>
          <w:szCs w:val="28"/>
        </w:rPr>
        <w:t>°</w:t>
      </w:r>
      <w:r>
        <w:rPr>
          <w:rFonts w:ascii="仿宋" w:eastAsia="仿宋" w:hAnsi="仿宋" w:cs="仿宋" w:hint="eastAsia"/>
          <w:sz w:val="28"/>
          <w:szCs w:val="28"/>
        </w:rPr>
        <w:t>，禁令和指示标志的角度为0～45</w:t>
      </w:r>
      <w:r>
        <w:rPr>
          <w:rFonts w:ascii="仿宋" w:eastAsia="仿宋" w:hAnsi="仿宋" w:cs="仿宋" w:hint="eastAsia"/>
          <w:sz w:val="28"/>
          <w:szCs w:val="28"/>
        </w:rPr>
        <w:t>°</w:t>
      </w:r>
      <w:r>
        <w:rPr>
          <w:rFonts w:ascii="仿宋" w:eastAsia="仿宋" w:hAnsi="仿宋" w:cs="仿宋" w:hint="eastAsia"/>
          <w:sz w:val="28"/>
          <w:szCs w:val="28"/>
        </w:rPr>
        <w:t>；</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rPr>
        <w:t>桥梁、人行天桥附着标志不得侵入道路限界之内；隧道附着标志不得侵入隧道限界之内。</w:t>
      </w:r>
    </w:p>
    <w:p w:rsidR="00786C5C">
      <w:pPr>
        <w:pStyle w:val="Heading3"/>
        <w:numPr>
          <w:ilvl w:val="2"/>
          <w:numId w:val="10"/>
        </w:numPr>
        <w:spacing w:before="0" w:after="0" w:line="360" w:lineRule="auto"/>
        <w:ind w:hanging="69"/>
        <w:jc w:val="left"/>
        <w:rPr>
          <w:rFonts w:ascii="仿宋" w:eastAsia="仿宋" w:hAnsi="仿宋" w:cs="仿宋" w:hint="eastAsia"/>
          <w:sz w:val="28"/>
          <w:szCs w:val="28"/>
        </w:rPr>
      </w:pPr>
      <w:bookmarkStart w:id="5" w:name="_Toc2999"/>
      <w:r>
        <w:rPr>
          <w:rFonts w:ascii="仿宋" w:eastAsia="仿宋" w:hAnsi="仿宋" w:cs="仿宋" w:hint="eastAsia"/>
          <w:sz w:val="28"/>
          <w:szCs w:val="28"/>
        </w:rPr>
        <w:t>加工及施工要求</w:t>
      </w:r>
      <w:bookmarkEnd w:id="5"/>
    </w:p>
    <w:p w:rsidR="00786C5C">
      <w:pPr>
        <w:spacing w:line="360" w:lineRule="auto"/>
        <w:ind w:firstLine="567"/>
        <w:jc w:val="left"/>
        <w:rPr>
          <w:rFonts w:ascii="仿宋" w:eastAsia="仿宋" w:hAnsi="仿宋" w:cs="仿宋" w:hint="eastAsia"/>
          <w:sz w:val="28"/>
          <w:szCs w:val="28"/>
        </w:rPr>
      </w:pPr>
      <w:bookmarkStart w:id="6" w:name="_Toc496274832"/>
      <w:r>
        <w:rPr>
          <w:rFonts w:ascii="仿宋" w:eastAsia="仿宋" w:hAnsi="仿宋" w:cs="仿宋" w:hint="eastAsia"/>
          <w:sz w:val="28"/>
          <w:szCs w:val="28"/>
        </w:rPr>
        <w:t>标志底板同滑动槽铝均采用3003的铝合金制作；</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标志底板同滑运槽铝采用铝合金铆钉铆接，铆钉沉头面必须磨至同标志面一样的高度；铆钉沉头面不得凹入板内，否则应补至板面高度，做到牢固、平整；</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滑动槽铝必须采用整料定制，不得焊接接长；</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φ</w:t>
      </w:r>
      <w:r>
        <w:rPr>
          <w:rFonts w:ascii="仿宋" w:eastAsia="仿宋" w:hAnsi="仿宋" w:cs="仿宋" w:hint="eastAsia"/>
          <w:sz w:val="28"/>
          <w:szCs w:val="28"/>
        </w:rPr>
        <w:t>89、</w:t>
      </w:r>
      <w:r>
        <w:rPr>
          <w:rFonts w:ascii="仿宋" w:eastAsia="仿宋" w:hAnsi="仿宋" w:cs="仿宋" w:hint="eastAsia"/>
          <w:sz w:val="28"/>
          <w:szCs w:val="28"/>
        </w:rPr>
        <w:t>φ</w:t>
      </w:r>
      <w:r>
        <w:rPr>
          <w:rFonts w:ascii="仿宋" w:eastAsia="仿宋" w:hAnsi="仿宋" w:cs="仿宋" w:hint="eastAsia"/>
          <w:sz w:val="28"/>
          <w:szCs w:val="28"/>
        </w:rPr>
        <w:t>140立柱采用普通碳素结构钢焊接钢管。钢管应采用整料，不得焊接接长；</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立柱应垂直地立于基础之上；标志板偏角的调整应通过浇筑标志柱基础时，调整立柱的地脚螺栓和法兰盘位置来进行；</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标志柱顶端及横梁外露钢管口，用3mm厚的钢板焊接封盖；</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底座法兰盘与地脚螺栓采用T422或T423的焊条焊接；</w:t>
      </w:r>
    </w:p>
    <w:p w:rsidR="00786C5C">
      <w:pPr>
        <w:spacing w:line="360" w:lineRule="auto"/>
        <w:ind w:firstLine="567"/>
        <w:jc w:val="left"/>
        <w:rPr>
          <w:rFonts w:ascii="仿宋" w:eastAsia="仿宋" w:hAnsi="仿宋" w:cs="仿宋" w:hint="eastAsia"/>
          <w:sz w:val="28"/>
          <w:szCs w:val="28"/>
        </w:rPr>
      </w:pPr>
      <w:r>
        <w:rPr>
          <w:rFonts w:ascii="仿宋" w:eastAsia="仿宋" w:hAnsi="仿宋" w:cs="仿宋" w:hint="eastAsia"/>
          <w:sz w:val="28"/>
          <w:szCs w:val="28"/>
        </w:rPr>
        <w:t>标志验收合格后建议将所有螺母与螺栓焊牢防止标志被盗。</w:t>
      </w:r>
    </w:p>
    <w:p w:rsidR="00786C5C">
      <w:pPr>
        <w:pStyle w:val="Heading2"/>
        <w:numPr>
          <w:ilvl w:val="1"/>
          <w:numId w:val="10"/>
        </w:numPr>
        <w:spacing w:line="360" w:lineRule="auto"/>
        <w:ind w:firstLine="73"/>
        <w:rPr>
          <w:rFonts w:ascii="仿宋" w:eastAsia="仿宋" w:hAnsi="仿宋" w:cs="仿宋" w:hint="eastAsia"/>
          <w:bCs/>
          <w:sz w:val="30"/>
          <w:szCs w:val="30"/>
        </w:rPr>
      </w:pPr>
      <w:r>
        <w:rPr>
          <w:rFonts w:ascii="仿宋" w:eastAsia="仿宋" w:hAnsi="仿宋" w:cs="仿宋" w:hint="eastAsia"/>
          <w:bCs/>
          <w:sz w:val="30"/>
          <w:szCs w:val="30"/>
        </w:rPr>
        <w:t>道路交通标线设计</w:t>
      </w:r>
      <w:bookmarkEnd w:id="6"/>
    </w:p>
    <w:p w:rsidR="00786C5C">
      <w:pPr>
        <w:pStyle w:val="Heading3"/>
        <w:numPr>
          <w:ilvl w:val="2"/>
          <w:numId w:val="10"/>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交通标线设计原则</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交通标线的作用是管制和引导交通,标线应能确保车流分道行驶,导流交通行驶方向,指引车辆在汇合和分流前驶入正确的车道,规范行车纪律和秩序,减少事故。保证在白天和晚上都具有视线诱导功能，车道分界清晰,线向清楚,轮廓分明,并与交通标志有机结合,合理诱导交通流。</w:t>
      </w:r>
    </w:p>
    <w:p w:rsidR="00786C5C">
      <w:pPr>
        <w:pStyle w:val="Heading3"/>
        <w:numPr>
          <w:ilvl w:val="2"/>
          <w:numId w:val="10"/>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交通标线布设方法</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在机动车道路两侧路缘带内侧设置车道边缘线，车道边缘线为白色，线宽为15cm。</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禁止跨越对向车道分界线为黄色双实线，线宽15cm，间距大于50cm处采用黄色斜线填充，填充线宽45cm，间隔100cm，倾斜角度45</w:t>
      </w:r>
      <w:r>
        <w:rPr>
          <w:rFonts w:ascii="仿宋" w:eastAsia="仿宋" w:hAnsi="仿宋" w:cs="仿宋" w:hint="eastAsia"/>
          <w:sz w:val="28"/>
          <w:szCs w:val="28"/>
        </w:rPr>
        <w:t>°</w:t>
      </w:r>
      <w:r>
        <w:rPr>
          <w:rFonts w:ascii="仿宋" w:eastAsia="仿宋" w:hAnsi="仿宋" w:cs="仿宋" w:hint="eastAsia"/>
          <w:sz w:val="28"/>
          <w:szCs w:val="28"/>
        </w:rPr>
        <w:t>；设置隔离墩的地方采用白色。</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禁止跨越对向车道分界线为双黄线，线宽15cm，间距50cm；</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停止线为白色实线，线宽40cm。</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hint="eastAsia"/>
          <w:sz w:val="28"/>
          <w:szCs w:val="28"/>
        </w:rPr>
        <w:t>礼让行人</w:t>
      </w:r>
      <w:r>
        <w:rPr>
          <w:rFonts w:ascii="仿宋" w:eastAsia="仿宋" w:hAnsi="仿宋" w:cs="仿宋" w:hint="eastAsia"/>
          <w:sz w:val="28"/>
          <w:szCs w:val="28"/>
        </w:rPr>
        <w:t>”</w:t>
      </w:r>
      <w:r>
        <w:rPr>
          <w:rFonts w:ascii="仿宋" w:eastAsia="仿宋" w:hAnsi="仿宋" w:cs="仿宋" w:hint="eastAsia"/>
          <w:sz w:val="28"/>
          <w:szCs w:val="28"/>
        </w:rPr>
        <w:t>地面文字标识施划于人行横道线与停止线之间空白区域，文字面向来车方向，颜色黄色，字高90cm，字宽80cm。</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w:t>
      </w:r>
      <w:r>
        <w:rPr>
          <w:rFonts w:ascii="仿宋" w:eastAsia="仿宋" w:hAnsi="仿宋" w:cs="仿宋" w:hint="eastAsia"/>
          <w:sz w:val="28"/>
          <w:szCs w:val="28"/>
        </w:rPr>
        <w:t>守法过街</w:t>
      </w:r>
      <w:r>
        <w:rPr>
          <w:rFonts w:ascii="仿宋" w:eastAsia="仿宋" w:hAnsi="仿宋" w:cs="仿宋" w:hint="eastAsia"/>
          <w:sz w:val="28"/>
          <w:szCs w:val="28"/>
        </w:rPr>
        <w:t>”</w:t>
      </w:r>
      <w:r>
        <w:rPr>
          <w:rFonts w:ascii="仿宋" w:eastAsia="仿宋" w:hAnsi="仿宋" w:cs="仿宋" w:hint="eastAsia"/>
          <w:sz w:val="28"/>
          <w:szCs w:val="28"/>
        </w:rPr>
        <w:t>地面文字标识施划于人行横道线与人行道之间空白区域，文字面向人行道方向，颜色黄色，字高50cm，字宽50cm。</w:t>
      </w:r>
    </w:p>
    <w:p w:rsidR="00786C5C">
      <w:pPr>
        <w:spacing w:line="360" w:lineRule="auto"/>
        <w:ind w:firstLine="560" w:firstLineChars="200"/>
        <w:jc w:val="left"/>
        <w:rPr>
          <w:rFonts w:ascii="仿宋" w:eastAsia="仿宋" w:hAnsi="仿宋" w:cs="仿宋" w:hint="eastAsia"/>
          <w:sz w:val="28"/>
          <w:szCs w:val="28"/>
        </w:rPr>
        <w:sectPr>
          <w:headerReference w:type="default" r:id="rId17"/>
          <w:footerReference w:type="default" r:id="rId18"/>
          <w:type w:val="nextPage"/>
          <w:pgSz w:w="23814" w:h="16840" w:orient="landscape"/>
          <w:pgMar w:top="0" w:right="1440" w:bottom="1814" w:left="1814" w:header="851" w:footer="992" w:gutter="0"/>
          <w:pgNumType w:start="5"/>
          <w:cols w:num="2" w:space="425" w:equalWidth="0">
            <w:col w:w="10067" w:space="425"/>
            <w:col w:w="10067" w:space="0"/>
          </w:cols>
          <w:titlePg w:val="0"/>
          <w:docGrid w:type="lines" w:linePitch="312"/>
        </w:sectPr>
      </w:pPr>
      <w:r>
        <w:rPr>
          <w:rFonts w:ascii="仿宋" w:eastAsia="仿宋" w:hAnsi="仿宋" w:cs="仿宋" w:hint="eastAsia"/>
          <w:sz w:val="28"/>
          <w:szCs w:val="28"/>
        </w:rPr>
        <w:t>在需要诱导车辆前的位置设置地面导向箭头，箭头长度采用3m。</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交叉口进口道设置3组导向箭头，第一组距离停止线3m，第二组在导向车道的起始位置设置、箭头起始端与导向车道线起始端平齐。</w:t>
      </w:r>
    </w:p>
    <w:p w:rsidR="00786C5C">
      <w:pPr>
        <w:spacing w:line="360" w:lineRule="auto"/>
        <w:ind w:firstLine="560" w:firstLineChars="200"/>
        <w:jc w:val="left"/>
        <w:rPr>
          <w:rFonts w:ascii="仿宋" w:eastAsia="仿宋" w:hAnsi="仿宋" w:cs="仿宋" w:hint="eastAsia"/>
          <w:sz w:val="28"/>
          <w:szCs w:val="28"/>
        </w:rPr>
      </w:pPr>
      <w:r>
        <w:rPr>
          <w:rFonts w:ascii="仿宋" w:eastAsia="仿宋" w:hAnsi="仿宋" w:cs="仿宋" w:hint="eastAsia"/>
          <w:sz w:val="28"/>
          <w:szCs w:val="28"/>
        </w:rPr>
        <w:t>路侧边缘线可每隔20m留出3cm的缺口，以利于排水。</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路口人行横道线宽40cm，间距60cm，长</w:t>
      </w:r>
      <w:r>
        <w:rPr>
          <w:rFonts w:ascii="仿宋" w:eastAsia="仿宋" w:hAnsi="仿宋" w:cs="仿宋" w:hint="eastAsia"/>
          <w:sz w:val="28"/>
          <w:szCs w:val="28"/>
        </w:rPr>
        <w:t>5</w:t>
      </w:r>
      <w:r>
        <w:rPr>
          <w:rFonts w:ascii="仿宋" w:eastAsia="仿宋" w:hAnsi="仿宋" w:cs="仿宋" w:hint="eastAsia"/>
          <w:sz w:val="28"/>
          <w:szCs w:val="28"/>
          <w:lang w:val="zh-CN"/>
        </w:rPr>
        <w:t>m，具体以平面布置图为准。人行横道线长度可以根据实际人流量以整米数加长；人行横道线采用立体人行横道线。</w:t>
      </w:r>
    </w:p>
    <w:p w:rsidR="00786C5C">
      <w:pPr>
        <w:pStyle w:val="Heading3"/>
        <w:numPr>
          <w:ilvl w:val="2"/>
          <w:numId w:val="11"/>
        </w:numPr>
        <w:spacing w:before="0" w:after="0" w:line="360" w:lineRule="auto"/>
        <w:ind w:hanging="69"/>
        <w:jc w:val="left"/>
        <w:rPr>
          <w:rFonts w:ascii="仿宋" w:eastAsia="仿宋" w:hAnsi="仿宋" w:cs="仿宋" w:hint="eastAsia"/>
          <w:sz w:val="28"/>
          <w:szCs w:val="28"/>
        </w:rPr>
      </w:pPr>
      <w:r>
        <w:rPr>
          <w:rFonts w:ascii="仿宋" w:eastAsia="仿宋" w:hAnsi="仿宋" w:cs="仿宋" w:hint="eastAsia"/>
          <w:sz w:val="28"/>
          <w:szCs w:val="28"/>
        </w:rPr>
        <w:t>技术要求</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所有标线材料均采用热熔型反光涂料；</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标线材料应符合部标《路面标线涂料》(JT/T280-20</w:t>
      </w:r>
      <w:r>
        <w:rPr>
          <w:rFonts w:ascii="仿宋" w:eastAsia="仿宋" w:hAnsi="仿宋" w:cs="仿宋" w:hint="eastAsia"/>
          <w:sz w:val="28"/>
          <w:szCs w:val="28"/>
        </w:rPr>
        <w:t>22</w:t>
      </w:r>
      <w:r>
        <w:rPr>
          <w:rFonts w:ascii="仿宋" w:eastAsia="仿宋" w:hAnsi="仿宋" w:cs="仿宋" w:hint="eastAsia"/>
          <w:sz w:val="28"/>
          <w:szCs w:val="28"/>
          <w:lang w:val="zh-CN"/>
        </w:rPr>
        <w:t>)的规定。</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标线的颜色及形状应符合《道路交通标志和标线 第3部分：道路交通标线》(GB5768.3－2009)的规定和设计要求。</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所有标线干燥后的厚度为2.00mm</w:t>
      </w:r>
      <w:r>
        <w:rPr>
          <w:rFonts w:ascii="仿宋" w:eastAsia="仿宋" w:hAnsi="仿宋" w:cs="仿宋" w:hint="eastAsia"/>
          <w:sz w:val="28"/>
          <w:szCs w:val="28"/>
          <w:lang w:val="zh-CN"/>
        </w:rPr>
        <w:t>±</w:t>
      </w:r>
      <w:r>
        <w:rPr>
          <w:rFonts w:ascii="仿宋" w:eastAsia="仿宋" w:hAnsi="仿宋" w:cs="仿宋" w:hint="eastAsia"/>
          <w:sz w:val="28"/>
          <w:szCs w:val="28"/>
          <w:lang w:val="zh-CN"/>
        </w:rPr>
        <w:t>10%，涂料中应混合占总量18%的玻璃微珠，在喷涂时，标线表面还应均撒0.3Kg/m2的玻璃微珠。</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施工路面标线之前，要求路面干燥、清洁，除净杂物及灰尘。</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车道边缘线不得侵占车行道宽度。</w:t>
      </w:r>
    </w:p>
    <w:p w:rsidR="00786C5C">
      <w:pPr>
        <w:spacing w:line="360" w:lineRule="auto"/>
        <w:ind w:firstLine="561"/>
        <w:rPr>
          <w:rFonts w:ascii="仿宋" w:eastAsia="仿宋" w:hAnsi="仿宋" w:cs="仿宋" w:hint="eastAsia"/>
          <w:sz w:val="28"/>
          <w:szCs w:val="28"/>
          <w:lang w:val="zh-CN"/>
        </w:rPr>
      </w:pPr>
      <w:r>
        <w:rPr>
          <w:rFonts w:ascii="仿宋" w:eastAsia="仿宋" w:hAnsi="仿宋" w:cs="仿宋" w:hint="eastAsia"/>
          <w:sz w:val="28"/>
          <w:szCs w:val="28"/>
          <w:lang w:val="zh-CN"/>
        </w:rPr>
        <w:t>划标线之前，要根据设计图纸要求并结合道路平曲线要素、辅道曲线要素等实地方线，以保证标线位置精确、线形顺畅。</w:t>
      </w:r>
    </w:p>
    <w:p w:rsidR="00786C5C">
      <w:pPr>
        <w:pStyle w:val="Heading2"/>
        <w:numPr>
          <w:ilvl w:val="1"/>
          <w:numId w:val="11"/>
        </w:numPr>
        <w:spacing w:line="360" w:lineRule="auto"/>
        <w:ind w:firstLine="73"/>
        <w:rPr>
          <w:rFonts w:ascii="仿宋" w:eastAsia="仿宋" w:hAnsi="仿宋" w:cs="仿宋" w:hint="eastAsia"/>
          <w:bCs/>
          <w:sz w:val="30"/>
          <w:szCs w:val="30"/>
        </w:rPr>
      </w:pPr>
      <w:bookmarkStart w:id="7" w:name="_Toc27787"/>
      <w:r>
        <w:rPr>
          <w:rFonts w:ascii="仿宋" w:eastAsia="仿宋" w:hAnsi="仿宋" w:cs="仿宋" w:hint="eastAsia"/>
          <w:bCs/>
          <w:sz w:val="30"/>
          <w:szCs w:val="30"/>
        </w:rPr>
        <w:t>智能交通信号控制设施</w:t>
      </w:r>
      <w:bookmarkEnd w:id="7"/>
    </w:p>
    <w:p w:rsidR="00786C5C">
      <w:pPr>
        <w:pStyle w:val="Heading3"/>
        <w:numPr>
          <w:ilvl w:val="2"/>
          <w:numId w:val="11"/>
        </w:numPr>
        <w:spacing w:before="0" w:after="0" w:line="360" w:lineRule="auto"/>
        <w:ind w:hanging="69"/>
        <w:jc w:val="left"/>
        <w:rPr>
          <w:rFonts w:ascii="仿宋" w:eastAsia="仿宋" w:hAnsi="仿宋" w:cs="仿宋" w:hint="eastAsia"/>
          <w:sz w:val="28"/>
          <w:szCs w:val="28"/>
        </w:rPr>
      </w:pPr>
      <w:bookmarkStart w:id="8" w:name="_Toc9121"/>
      <w:r>
        <w:rPr>
          <w:rFonts w:ascii="仿宋" w:eastAsia="仿宋" w:hAnsi="仿宋" w:cs="仿宋" w:hint="eastAsia"/>
          <w:sz w:val="28"/>
          <w:szCs w:val="28"/>
        </w:rPr>
        <w:t>概述</w:t>
      </w:r>
      <w:bookmarkEnd w:id="8"/>
    </w:p>
    <w:p w:rsidR="00786C5C">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交通信号控制系统，是智能交通系统（ITS）在交通管理工作中的基本应用，也是城市智能交通控制系统中最直接、最基础的应用系统。系统的建成将使交通管理得到进一步的完善、补充和发展，也将是道路交通管理手段发生质的飞跃。</w:t>
      </w:r>
    </w:p>
    <w:p w:rsidR="00786C5C">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本系统以合理组织交通流、完善道路交通设施、提高交通参与者的现代交通意识为前提，对控制区域内的交通流进行实时监视、检测、控制、协调，有效的改善控制区域内的交通状况为目标。</w:t>
      </w:r>
    </w:p>
    <w:p w:rsidR="00786C5C">
      <w:pPr>
        <w:pStyle w:val="Heading3"/>
        <w:numPr>
          <w:ilvl w:val="2"/>
          <w:numId w:val="11"/>
        </w:numPr>
        <w:spacing w:before="0" w:after="0" w:line="360" w:lineRule="auto"/>
        <w:ind w:hanging="69"/>
        <w:jc w:val="left"/>
        <w:rPr>
          <w:rFonts w:ascii="仿宋" w:eastAsia="仿宋" w:hAnsi="仿宋" w:cs="仿宋" w:hint="eastAsia"/>
          <w:sz w:val="28"/>
          <w:szCs w:val="28"/>
        </w:rPr>
      </w:pPr>
      <w:bookmarkStart w:id="9" w:name="_Toc9346"/>
      <w:r>
        <w:rPr>
          <w:rFonts w:ascii="仿宋" w:eastAsia="仿宋" w:hAnsi="仿宋" w:cs="仿宋" w:hint="eastAsia"/>
          <w:sz w:val="28"/>
          <w:szCs w:val="28"/>
        </w:rPr>
        <w:t>设计内容</w:t>
      </w:r>
      <w:bookmarkEnd w:id="9"/>
    </w:p>
    <w:p w:rsidR="00786C5C">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本项目智能交通信号控制系统设计内容包括：交通信号控制机、信号灯、流量检测模块、基础埋设、防雷系统、控制管线和手井等。</w:t>
      </w:r>
    </w:p>
    <w:p w:rsidR="00786C5C">
      <w:pPr>
        <w:pStyle w:val="Heading3"/>
        <w:numPr>
          <w:ilvl w:val="2"/>
          <w:numId w:val="11"/>
        </w:numPr>
        <w:spacing w:before="0" w:after="0" w:line="360" w:lineRule="auto"/>
        <w:ind w:hanging="69"/>
        <w:jc w:val="left"/>
        <w:rPr>
          <w:rFonts w:ascii="仿宋" w:eastAsia="仿宋" w:hAnsi="仿宋" w:cs="仿宋" w:hint="eastAsia"/>
          <w:sz w:val="28"/>
          <w:szCs w:val="28"/>
        </w:rPr>
      </w:pPr>
      <w:bookmarkStart w:id="10" w:name="_Toc26919"/>
      <w:r>
        <w:rPr>
          <w:rFonts w:ascii="仿宋" w:eastAsia="仿宋" w:hAnsi="仿宋" w:cs="仿宋" w:hint="eastAsia"/>
          <w:sz w:val="28"/>
          <w:szCs w:val="28"/>
        </w:rPr>
        <w:t>交通信号控制机</w:t>
      </w:r>
      <w:bookmarkEnd w:id="10"/>
    </w:p>
    <w:p w:rsidR="00786C5C">
      <w:pPr>
        <w:pStyle w:val="a33"/>
        <w:ind w:firstLine="560" w:firstLineChars="200"/>
        <w:rPr>
          <w:rFonts w:ascii="仿宋" w:eastAsia="仿宋" w:hAnsi="仿宋" w:cs="仿宋" w:hint="eastAsia"/>
        </w:rPr>
      </w:pPr>
      <w:bookmarkStart w:id="11" w:name="_Toc22607"/>
      <w:r>
        <w:rPr>
          <w:rFonts w:ascii="仿宋" w:eastAsia="仿宋" w:hAnsi="仿宋" w:cs="仿宋" w:hint="eastAsia"/>
        </w:rPr>
        <w:t>1.技术要求</w:t>
      </w:r>
      <w:bookmarkEnd w:id="11"/>
    </w:p>
    <w:p w:rsidR="00786C5C">
      <w:pPr>
        <w:spacing w:line="360" w:lineRule="auto"/>
        <w:ind w:firstLine="560" w:firstLineChars="200"/>
        <w:rPr>
          <w:rFonts w:ascii="仿宋" w:eastAsia="仿宋" w:hAnsi="仿宋" w:cs="仿宋" w:hint="eastAsia"/>
          <w:sz w:val="28"/>
          <w:szCs w:val="28"/>
        </w:rPr>
      </w:pPr>
      <w:bookmarkStart w:id="12" w:name="_Hlk6135745"/>
      <w:r>
        <w:rPr>
          <w:rFonts w:ascii="仿宋" w:eastAsia="仿宋" w:hAnsi="仿宋" w:cs="仿宋" w:hint="eastAsia"/>
          <w:sz w:val="28"/>
          <w:szCs w:val="28"/>
        </w:rPr>
        <w:t>本次采用物联型道路交通信号控制机，</w:t>
      </w:r>
      <w:bookmarkEnd w:id="12"/>
      <w:r>
        <w:rPr>
          <w:rFonts w:ascii="仿宋" w:eastAsia="仿宋" w:hAnsi="仿宋" w:cs="仿宋" w:hint="eastAsia"/>
          <w:sz w:val="28"/>
          <w:szCs w:val="28"/>
        </w:rPr>
        <w:t>符合GB 25280-2016《道路交通信号控制机》标准，通过公安部检测；32位工业级ARM(领先的精简指令CPU)处理器,低功耗、高性能、高可靠性；采用嵌入式实时多任务操作系统，系统稳定可靠；C类A级集中协调式交通信号控制机，4U标准机架堆叠式设计。</w:t>
      </w:r>
    </w:p>
    <w:p w:rsidR="00786C5C">
      <w:pPr>
        <w:numPr>
          <w:ilvl w:val="0"/>
          <w:numId w:val="4"/>
        </w:numPr>
        <w:tabs>
          <w:tab w:val="left" w:pos="0"/>
          <w:tab w:val="left" w:pos="200"/>
        </w:tabs>
        <w:spacing w:line="360" w:lineRule="auto"/>
        <w:ind w:left="0" w:firstLine="560" w:firstLineChars="200"/>
        <w:jc w:val="left"/>
        <w:rPr>
          <w:rFonts w:ascii="仿宋" w:eastAsia="仿宋" w:hAnsi="仿宋" w:cs="仿宋" w:hint="eastAsia"/>
          <w:sz w:val="28"/>
          <w:szCs w:val="28"/>
        </w:rPr>
      </w:pPr>
      <w:r>
        <w:rPr>
          <w:rFonts w:ascii="仿宋" w:eastAsia="仿宋" w:hAnsi="仿宋" w:cs="仿宋" w:hint="eastAsia"/>
          <w:sz w:val="28"/>
          <w:szCs w:val="28"/>
        </w:rPr>
        <w:t>支持动态自适应协调控制或者感应协调控制；</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感应、自适应控制下的倒计时支持：无通信模式及RS485通信；支持无通信模式提前一个周期和立即关闭倒计时，避免倒计时显示混乱,同时信号灯无任何闪烁现象；</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支持与视频检测系统无缝对接，实现视频交通检测下的信号控制；</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支持连接视频电子警察虚拟线圈存在型检测；</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支持公交优先、出口拥堵控制；事件检测控制；多车道汇入自适应控制；</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支持虚拟检测器功能，可设置虚拟检测器，并可通过网络远程对虚拟检测器输出状态进行置位；</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sectPr>
          <w:headerReference w:type="default" r:id="rId19"/>
          <w:footerReference w:type="default" r:id="rId20"/>
          <w:type w:val="nextPage"/>
          <w:pgSz w:w="23814" w:h="16840" w:orient="landscape"/>
          <w:pgMar w:top="0" w:right="1440" w:bottom="1814" w:left="1814" w:header="851" w:footer="992" w:gutter="0"/>
          <w:pgNumType w:start="6"/>
          <w:cols w:num="2" w:space="425" w:equalWidth="0">
            <w:col w:w="10067" w:space="425"/>
            <w:col w:w="10067" w:space="0"/>
          </w:cols>
          <w:titlePg w:val="0"/>
          <w:docGrid w:type="lines" w:linePitch="312"/>
        </w:sectPr>
      </w:pPr>
    </w:p>
    <w:p w:rsidR="00786C5C">
      <w:pPr>
        <w:numPr>
          <w:ilvl w:val="0"/>
          <w:numId w:val="0"/>
        </w:numPr>
        <w:tabs>
          <w:tab w:val="left" w:pos="0"/>
          <w:tab w:val="left" w:pos="200"/>
        </w:tabs>
        <w:spacing w:line="360" w:lineRule="auto"/>
        <w:ind w:left="425" w:firstLine="560" w:firstLineChars="200"/>
        <w:rPr>
          <w:rFonts w:ascii="仿宋" w:eastAsia="仿宋" w:hAnsi="仿宋" w:cs="仿宋" w:hint="eastAsia"/>
          <w:sz w:val="28"/>
          <w:szCs w:val="28"/>
        </w:rPr>
      </w:pPr>
      <w:r>
        <w:rPr>
          <w:rFonts w:ascii="仿宋" w:eastAsia="仿宋" w:hAnsi="仿宋" w:cs="仿宋" w:hint="eastAsia"/>
          <w:sz w:val="28"/>
          <w:szCs w:val="28"/>
        </w:rPr>
        <w:t>支持支持至少250路前端虚拟检测器进行逻辑运算优化控制；信号控制机可将物理检测器、时刻、事件（时间、流量、占有率、第三方网络等）等多种参数进行逻辑运算；具有基于多参数虚拟检测逻辑运算的自主方案混合调用（多时段定周期、感应、自适应、公交优先）；可模拟输入现场指挥要素与逻辑推理过程，实现绿信时长、周期与相位差优化控制；</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具有丰富的相位控制属性定义，完成相位前伸、后延、插入、弹性控制，提高绿信效率；</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支持实时车辆存在性或密度检测，用于感应控制或自适应优化控制；</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支持HiPLC技术高效互联路口前端设备，连接设备包括信号灯具、倒计时、待行LED屏等，完成数据通讯；</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支持HiPLC技术实现前端设备工况、故障等信息主动上报功能，无需铺设专用通讯线缆，降低用户维护成本，实现智能运维；</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可每4个相位组成一个虚拟信号机控制，支持最多8个虚拟信号机控制；</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bookmarkStart w:id="13" w:name="_Hlk6135822"/>
      <w:r>
        <w:rPr>
          <w:rFonts w:ascii="仿宋" w:eastAsia="仿宋" w:hAnsi="仿宋" w:cs="仿宋" w:hint="eastAsia"/>
          <w:sz w:val="28"/>
          <w:szCs w:val="28"/>
        </w:rPr>
        <w:t>具有工业级可视化触控终端接口，连接后可直接显示/查看/修改信号机参数。</w:t>
      </w:r>
      <w:bookmarkEnd w:id="13"/>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每板可控制4路独立灯组输出，整机可选择4路*（1-8）组输出，</w:t>
      </w:r>
      <w:bookmarkStart w:id="14" w:name="_Hlk6135909"/>
      <w:r>
        <w:rPr>
          <w:rFonts w:ascii="仿宋" w:eastAsia="仿宋" w:hAnsi="仿宋" w:cs="仿宋" w:hint="eastAsia"/>
          <w:sz w:val="28"/>
          <w:szCs w:val="28"/>
        </w:rPr>
        <w:t>每一信号控制相位可任意设置为机动车、非机动车、行人相位，</w:t>
      </w:r>
      <w:bookmarkEnd w:id="14"/>
      <w:r>
        <w:rPr>
          <w:rFonts w:ascii="仿宋" w:eastAsia="仿宋" w:hAnsi="仿宋" w:cs="仿宋" w:hint="eastAsia"/>
          <w:sz w:val="28"/>
          <w:szCs w:val="28"/>
        </w:rPr>
        <w:t>最大具备扩展到32组灯控的能力；单组输出驱动能力能达到800W；具备单独相位输出开关控制功能以及独立保护功能；具备灯具漏电流检测功能；</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有手动控制面板，支持无线手动控制，支持定制图形化路口警卫任务面板；</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具备调、无电缆时钟协调、感应控制功能，支持集中自适应协调控制，控制方式可降级实现；</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bookmarkStart w:id="15" w:name="_Hlk6135925"/>
      <w:r>
        <w:rPr>
          <w:rFonts w:ascii="仿宋" w:eastAsia="仿宋" w:hAnsi="仿宋" w:cs="仿宋" w:hint="eastAsia"/>
          <w:sz w:val="28"/>
          <w:szCs w:val="28"/>
        </w:rPr>
        <w:t>具备</w:t>
      </w:r>
      <w:r>
        <w:rPr>
          <w:rFonts w:ascii="仿宋" w:eastAsia="仿宋" w:hAnsi="仿宋" w:cs="仿宋" w:hint="eastAsia"/>
          <w:sz w:val="28"/>
          <w:szCs w:val="28"/>
        </w:rPr>
        <w:t>“</w:t>
      </w:r>
      <w:r>
        <w:rPr>
          <w:rFonts w:ascii="仿宋" w:eastAsia="仿宋" w:hAnsi="仿宋" w:cs="仿宋" w:hint="eastAsia"/>
          <w:sz w:val="28"/>
          <w:szCs w:val="28"/>
        </w:rPr>
        <w:t>节假日</w:t>
      </w:r>
      <w:r>
        <w:rPr>
          <w:rFonts w:ascii="仿宋" w:eastAsia="仿宋" w:hAnsi="仿宋" w:cs="仿宋" w:hint="eastAsia"/>
          <w:sz w:val="28"/>
          <w:szCs w:val="28"/>
        </w:rPr>
        <w:t>”</w:t>
      </w:r>
      <w:r>
        <w:rPr>
          <w:rFonts w:ascii="仿宋" w:eastAsia="仿宋" w:hAnsi="仿宋" w:cs="仿宋" w:hint="eastAsia"/>
          <w:sz w:val="28"/>
          <w:szCs w:val="28"/>
        </w:rPr>
        <w:t>、</w:t>
      </w:r>
      <w:r>
        <w:rPr>
          <w:rFonts w:ascii="仿宋" w:eastAsia="仿宋" w:hAnsi="仿宋" w:cs="仿宋" w:hint="eastAsia"/>
          <w:sz w:val="28"/>
          <w:szCs w:val="28"/>
        </w:rPr>
        <w:t>“</w:t>
      </w:r>
      <w:r>
        <w:rPr>
          <w:rFonts w:ascii="仿宋" w:eastAsia="仿宋" w:hAnsi="仿宋" w:cs="仿宋" w:hint="eastAsia"/>
          <w:sz w:val="28"/>
          <w:szCs w:val="28"/>
        </w:rPr>
        <w:t>星期</w:t>
      </w:r>
      <w:r>
        <w:rPr>
          <w:rFonts w:ascii="仿宋" w:eastAsia="仿宋" w:hAnsi="仿宋" w:cs="仿宋" w:hint="eastAsia"/>
          <w:sz w:val="28"/>
          <w:szCs w:val="28"/>
        </w:rPr>
        <w:t>”</w:t>
      </w:r>
      <w:r>
        <w:rPr>
          <w:rFonts w:ascii="仿宋" w:eastAsia="仿宋" w:hAnsi="仿宋" w:cs="仿宋" w:hint="eastAsia"/>
          <w:sz w:val="28"/>
          <w:szCs w:val="28"/>
        </w:rPr>
        <w:t>和</w:t>
      </w:r>
      <w:r>
        <w:rPr>
          <w:rFonts w:ascii="仿宋" w:eastAsia="仿宋" w:hAnsi="仿宋" w:cs="仿宋" w:hint="eastAsia"/>
          <w:sz w:val="28"/>
          <w:szCs w:val="28"/>
        </w:rPr>
        <w:t>“</w:t>
      </w:r>
      <w:r>
        <w:rPr>
          <w:rFonts w:ascii="仿宋" w:eastAsia="仿宋" w:hAnsi="仿宋" w:cs="仿宋" w:hint="eastAsia"/>
          <w:sz w:val="28"/>
          <w:szCs w:val="28"/>
        </w:rPr>
        <w:t>普通</w:t>
      </w:r>
      <w:r>
        <w:rPr>
          <w:rFonts w:ascii="仿宋" w:eastAsia="仿宋" w:hAnsi="仿宋" w:cs="仿宋" w:hint="eastAsia"/>
          <w:sz w:val="28"/>
          <w:szCs w:val="28"/>
        </w:rPr>
        <w:t>”</w:t>
      </w:r>
      <w:r>
        <w:rPr>
          <w:rFonts w:ascii="仿宋" w:eastAsia="仿宋" w:hAnsi="仿宋" w:cs="仿宋" w:hint="eastAsia"/>
          <w:sz w:val="28"/>
          <w:szCs w:val="28"/>
        </w:rPr>
        <w:t>三种模式共48个时段，支持多时段定周控制、感应控制、潮汐车道控制、行人过街请求控制、自适应控制、自适应协调控制等方案，以及黄闪、全红、关灯等多种控制模式，方案总数可达到255个；</w:t>
      </w:r>
      <w:bookmarkEnd w:id="15"/>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采用工业级控制时钟，日误差小于0.1秒，并可远程通过控制中心校正时间； 最小控制时间为1秒，红黄绿输出0~99秒可调； 最大绿、最小绿时间可调；支持后台远程控制和指定相位控制；</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支持至少64路检测能力（不含检测卡），支持线圈、地磁、视频、微波等检测方式；支持多种检测器以RS485总线方式连接、扩展到同一信号机；支持饱和度检测、类饱和度；支持占有率检测；交通信息采集包括周期流量、饱和度等统计方式，本地记录并上传，具备通信中断后保存7天以上的流量数据能力；</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具备RS-232/485、RJ45、USB、WIFI通讯接口，支持手持终端、平板电脑APP、笔记本对信号机现场调试；具备系统通讯功能，支持中心远程控制，具有系统可扩展能力；具有车辆检测器、行人过街按钮、通讯倒计时连接接口；支持无线、有线连接方式，同时具备双工通讯接口；</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具有公交车、特殊车辆优先控制功能；支持优先车辆到达路口时实时优先和其它相位损失时间补偿功能；支持车路协同系统，支持与RSU设备实时通讯，报送实时状态；实现以上功能时可以同时支持倒计时无通信模式下的定程显示。</w:t>
      </w:r>
    </w:p>
    <w:p w:rsidR="00786C5C">
      <w:pPr>
        <w:numPr>
          <w:ilvl w:val="0"/>
          <w:numId w:val="4"/>
        </w:numPr>
        <w:tabs>
          <w:tab w:val="left" w:pos="0"/>
          <w:tab w:val="left" w:pos="200"/>
        </w:tabs>
        <w:spacing w:line="360" w:lineRule="auto"/>
        <w:ind w:left="0" w:firstLine="560" w:firstLineChars="200"/>
        <w:rPr>
          <w:rFonts w:ascii="仿宋" w:eastAsia="仿宋" w:hAnsi="仿宋" w:cs="仿宋" w:hint="eastAsia"/>
          <w:sz w:val="28"/>
          <w:szCs w:val="28"/>
        </w:rPr>
      </w:pPr>
      <w:r>
        <w:rPr>
          <w:rFonts w:ascii="仿宋" w:eastAsia="仿宋" w:hAnsi="仿宋" w:cs="仿宋" w:hint="eastAsia"/>
          <w:sz w:val="28"/>
          <w:szCs w:val="28"/>
        </w:rPr>
        <w:t>电气及工作环境要求</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采用工控插件模块化设计，控制状态（LED指示）信息丰富，易于安装、维护；</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电源输入端及灯控信号输出端具备防雷保护功能，具备过流、过压、浪涌和短路保护设备；</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sectPr>
          <w:headerReference w:type="default" r:id="rId21"/>
          <w:footerReference w:type="default" r:id="rId22"/>
          <w:type w:val="nextPage"/>
          <w:pgSz w:w="23814" w:h="16840" w:orient="landscape"/>
          <w:pgMar w:top="0" w:right="1440" w:bottom="1814" w:left="1814" w:header="851" w:footer="992" w:gutter="0"/>
          <w:pgNumType w:start="7"/>
          <w:cols w:num="2" w:space="425" w:equalWidth="0">
            <w:col w:w="10067" w:space="425"/>
            <w:col w:w="10067" w:space="0"/>
          </w:cols>
          <w:titlePg w:val="0"/>
          <w:docGrid w:type="lines" w:linePitch="312"/>
        </w:sectPr>
      </w:pPr>
      <w:r>
        <w:rPr>
          <w:rFonts w:ascii="仿宋" w:eastAsia="仿宋" w:hAnsi="仿宋" w:cs="仿宋" w:hint="eastAsia"/>
          <w:sz w:val="28"/>
          <w:szCs w:val="28"/>
        </w:rPr>
        <w:t>具备高压防误接及输入电压监测功能；</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信号机电源额定电压：AC 176V~264V，50Hz</w:t>
      </w:r>
      <w:r>
        <w:rPr>
          <w:rFonts w:ascii="仿宋" w:eastAsia="仿宋" w:hAnsi="仿宋" w:cs="仿宋" w:hint="eastAsia"/>
          <w:sz w:val="28"/>
          <w:szCs w:val="28"/>
        </w:rPr>
        <w:t>±</w:t>
      </w:r>
      <w:r>
        <w:rPr>
          <w:rFonts w:ascii="仿宋" w:eastAsia="仿宋" w:hAnsi="仿宋" w:cs="仿宋" w:hint="eastAsia"/>
          <w:sz w:val="28"/>
          <w:szCs w:val="28"/>
        </w:rPr>
        <w:t>2Hz，机柜内安装220V电源备用插座；</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驱动功率：信号机每路的最大驱动功率为：800W；</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信号机整机功耗为：50W（不含灯具消耗功率）；</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信号机绝缘电阻大于50M</w:t>
      </w:r>
      <w:r>
        <w:rPr>
          <w:rFonts w:ascii="仿宋" w:eastAsia="仿宋" w:hAnsi="仿宋" w:cs="仿宋" w:hint="eastAsia"/>
          <w:sz w:val="28"/>
          <w:szCs w:val="28"/>
        </w:rPr>
        <w:t>Ω</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易触及部件之间施加1500V、50Hz 电压，不出现击穿现象；</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在静电放电、快速瞬变脉冲群 、浪涌、电压短时中断等电磁骚扰环境下不出现电气故障；</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工作温度：-40～＋70</w:t>
      </w:r>
      <w:r>
        <w:rPr>
          <w:rFonts w:ascii="仿宋" w:eastAsia="仿宋" w:hAnsi="仿宋" w:cs="仿宋" w:hint="eastAsia"/>
          <w:sz w:val="28"/>
          <w:szCs w:val="28"/>
        </w:rPr>
        <w:t>℃</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工作相对湿度：＜95%@40</w:t>
      </w:r>
      <w:r>
        <w:rPr>
          <w:rFonts w:ascii="仿宋" w:eastAsia="仿宋" w:hAnsi="仿宋" w:cs="仿宋" w:hint="eastAsia"/>
          <w:sz w:val="28"/>
          <w:szCs w:val="28"/>
        </w:rPr>
        <w:t>℃</w:t>
      </w:r>
      <w:r>
        <w:rPr>
          <w:rFonts w:ascii="仿宋" w:eastAsia="仿宋" w:hAnsi="仿宋" w:cs="仿宋" w:hint="eastAsia"/>
          <w:sz w:val="28"/>
          <w:szCs w:val="28"/>
        </w:rPr>
        <w:t>，无凝结；</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正常工作时达到IP65防雨淋，信号控制器机柜内部无渗水或积水现象。</w:t>
      </w:r>
    </w:p>
    <w:p w:rsidR="00786C5C">
      <w:pPr>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1)工业级可视化触控终端</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由工业级液晶显示触摸屏、主控板及嵌入式操作系统组成；</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工业级液晶面板，支持宽温；</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高亮度解决方案，适合户外使用；</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电容式多点触摸控制；</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彩色图形TFT，分辨率1280*480；</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支持信号机状态查询；支持信号机全部控制数据修改；支持路口数据保存；</w:t>
      </w:r>
    </w:p>
    <w:p w:rsidR="00786C5C">
      <w:pPr>
        <w:pStyle w:val="ListParagraph"/>
        <w:spacing w:line="360" w:lineRule="auto"/>
        <w:ind w:firstLine="0" w:firstLineChars="0"/>
        <w:rPr>
          <w:rFonts w:ascii="仿宋" w:eastAsia="仿宋" w:hAnsi="仿宋" w:cs="仿宋" w:hint="eastAsia"/>
          <w:sz w:val="28"/>
          <w:szCs w:val="28"/>
        </w:rPr>
      </w:pPr>
      <w:r>
        <w:rPr>
          <w:rFonts w:ascii="仿宋" w:eastAsia="仿宋" w:hAnsi="仿宋" w:cs="仿宋" w:hint="eastAsia"/>
          <w:sz w:val="28"/>
          <w:szCs w:val="28"/>
        </w:rPr>
        <w:t>支持信号机手持接口；支持横屏、竖屏多种模式；</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自动背光控制；</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自动关机；</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工作电源：DC5V/2A；</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雷击浪涌冲击防护(电源)：5000A(8/20</w:t>
      </w:r>
      <w:r>
        <w:rPr>
          <w:rFonts w:ascii="仿宋" w:eastAsia="仿宋" w:hAnsi="仿宋" w:cs="仿宋" w:hint="eastAsia"/>
          <w:sz w:val="28"/>
          <w:szCs w:val="28"/>
        </w:rPr>
        <w:t>μ</w:t>
      </w:r>
      <w:r>
        <w:rPr>
          <w:rFonts w:ascii="仿宋" w:eastAsia="仿宋" w:hAnsi="仿宋" w:cs="仿宋" w:hint="eastAsia"/>
          <w:sz w:val="28"/>
          <w:szCs w:val="28"/>
        </w:rPr>
        <w:t>s)；</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输出接口:RS232；</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表面硬度莫式7级；</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铝型材，表喷黑色装饰漆；</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19英寸机架式安装，维护方便</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工作温度：-20～＋70</w:t>
      </w:r>
      <w:r>
        <w:rPr>
          <w:rFonts w:ascii="仿宋" w:eastAsia="仿宋" w:hAnsi="仿宋" w:cs="仿宋" w:hint="eastAsia"/>
          <w:sz w:val="28"/>
          <w:szCs w:val="28"/>
        </w:rPr>
        <w:t>℃</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存储温度：-40～＋85</w:t>
      </w:r>
      <w:r>
        <w:rPr>
          <w:rFonts w:ascii="仿宋" w:eastAsia="仿宋" w:hAnsi="仿宋" w:cs="仿宋" w:hint="eastAsia"/>
          <w:sz w:val="28"/>
          <w:szCs w:val="28"/>
        </w:rPr>
        <w:t>℃</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工作相对湿度： 5%～95%（不结露）；</w:t>
      </w:r>
    </w:p>
    <w:p w:rsidR="00786C5C">
      <w:pPr>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2)警卫任务（应急处突）专用控制面板</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非专业技术人员能够通过现场控制路口信号机的专用控制面板，实现对路口信号灯运行方案的控制，面板为可视化定制产品，与现场路口形状吻合；</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能即时（10秒钟以内）实现路口进口任一方向（最多5个进口方向）所有信号灯为绿灯放行状态，其它进口方向以及人行信号灯为红灯状态；</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能即时（10秒钟以内）实现路口所有信号灯全红、黄闪（人行信号灯无显示）、关灯等状态；</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能即时（10秒钟以内）实现路口运行方案中的阶段保持和转换。阶段保持是指路口信号灯灯色固定在当前阶段不转换，直至有下一步操作为止；</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能即时（10秒钟以内）实现上述几种状态的转换；</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在通过信号机专用按钮实施控制时，路口所有倒计时器、待行屏等设施处于无显示状态，直至取消专用按钮控制模式。</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工作电源：5VDC/2A；</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sectPr>
          <w:headerReference w:type="default" r:id="rId23"/>
          <w:footerReference w:type="default" r:id="rId24"/>
          <w:type w:val="nextPage"/>
          <w:pgSz w:w="23814" w:h="16840" w:orient="landscape"/>
          <w:pgMar w:top="0" w:right="1440" w:bottom="1814" w:left="1814" w:header="851" w:footer="992" w:gutter="0"/>
          <w:pgNumType w:start="8"/>
          <w:cols w:num="2" w:space="425" w:equalWidth="0">
            <w:col w:w="10067" w:space="425"/>
            <w:col w:w="10067" w:space="0"/>
          </w:cols>
          <w:titlePg w:val="0"/>
          <w:docGrid w:type="lines" w:linePitch="312"/>
        </w:sectPr>
      </w:pPr>
      <w:r>
        <w:rPr>
          <w:rFonts w:ascii="仿宋" w:eastAsia="仿宋" w:hAnsi="仿宋" w:cs="仿宋" w:hint="eastAsia"/>
          <w:sz w:val="28"/>
          <w:szCs w:val="28"/>
        </w:rPr>
        <w:t>雷击浪涌冲击防护(电源)：5000A(8/20</w:t>
      </w:r>
      <w:r>
        <w:rPr>
          <w:rFonts w:ascii="仿宋" w:eastAsia="仿宋" w:hAnsi="仿宋" w:cs="仿宋" w:hint="eastAsia"/>
          <w:sz w:val="28"/>
          <w:szCs w:val="28"/>
        </w:rPr>
        <w:t>μ</w:t>
      </w:r>
      <w:r>
        <w:rPr>
          <w:rFonts w:ascii="仿宋" w:eastAsia="仿宋" w:hAnsi="仿宋" w:cs="仿宋" w:hint="eastAsia"/>
          <w:sz w:val="28"/>
          <w:szCs w:val="28"/>
        </w:rPr>
        <w:t>s)</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外表面为ABS工程塑料，激光雕刻标识；</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线路板为阻燃线路板；</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工作温度：-40～＋80</w:t>
      </w:r>
      <w:r>
        <w:rPr>
          <w:rFonts w:ascii="仿宋" w:eastAsia="仿宋" w:hAnsi="仿宋" w:cs="仿宋" w:hint="eastAsia"/>
          <w:sz w:val="28"/>
          <w:szCs w:val="28"/>
        </w:rPr>
        <w:t>℃</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存储温度：-40～＋85</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工作相对湿度：5%～95%（不结露）；</w:t>
      </w:r>
    </w:p>
    <w:p w:rsidR="00786C5C">
      <w:pPr>
        <w:autoSpaceDE w:val="0"/>
        <w:autoSpaceDN w:val="0"/>
        <w:adjustRightInd w:val="0"/>
        <w:spacing w:line="360" w:lineRule="auto"/>
        <w:ind w:firstLine="472"/>
        <w:jc w:val="left"/>
        <w:rPr>
          <w:rFonts w:ascii="仿宋" w:eastAsia="仿宋" w:hAnsi="仿宋" w:cs="仿宋" w:hint="eastAsia"/>
          <w:kern w:val="0"/>
          <w:sz w:val="28"/>
          <w:szCs w:val="28"/>
        </w:rPr>
      </w:pPr>
      <w:r>
        <w:rPr>
          <w:rFonts w:ascii="仿宋" w:eastAsia="仿宋" w:hAnsi="仿宋" w:cs="仿宋" w:hint="eastAsia"/>
          <w:kern w:val="0"/>
          <w:sz w:val="28"/>
          <w:szCs w:val="28"/>
        </w:rPr>
        <w:t>警卫任务面板产品通过省级及以上检测机构检测，并具有有效期内的检测报告。</w:t>
      </w:r>
    </w:p>
    <w:p w:rsidR="00786C5C">
      <w:pPr>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3)信控物联套件</w:t>
      </w:r>
    </w:p>
    <w:p w:rsidR="00786C5C">
      <w:pPr>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信控边缘网关:</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网关由底板、核心板、PLC集中器模块三部分组成；</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核心板CPU采用SoC芯片，芯片内嵌ARM双核cortex A9、ZSP处理器，频率700MHz,内存512MB，FLASH1GB；</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支持系统内温度检测；</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支持掉电检测；支持插紧检测；</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支持电源、运行、业务指示灯；</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PLC集中器头端模块CPU采用ARM926EJ-S,工作频率2~12MHz，支持自动低功耗控制技术，支持4级QoS，支持数据分段、重组、重传；支持数据加解密。</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采用边缘计算，支持毫秒级的数据实时分析、事件实时响应；</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支持私有的安全域：数据、节点、网络安全；</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支持边缘智能分析处理，充分利用电力线传输数据，实现路口级数据互通共享，实现路口全面数字化、智能化；</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shd w:val="clear" w:color="auto" w:fill="FFFFFF"/>
        </w:rPr>
      </w:pPr>
      <w:r>
        <w:rPr>
          <w:rFonts w:ascii="仿宋" w:eastAsia="仿宋" w:hAnsi="仿宋" w:cs="仿宋" w:hint="eastAsia"/>
          <w:sz w:val="28"/>
          <w:szCs w:val="28"/>
        </w:rPr>
        <w:t>支持HiPLC高效物联配套倒计时、灯具、待行屏、过街按钮、情报板等交通设施（需设备具备物联网功能）。</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支持USB、COM口、RS485、RJ45等接口；</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工作电源：DC 12V</w:t>
      </w:r>
      <w:r>
        <w:rPr>
          <w:rFonts w:ascii="仿宋" w:eastAsia="仿宋" w:hAnsi="仿宋" w:cs="仿宋" w:hint="eastAsia"/>
          <w:sz w:val="28"/>
          <w:szCs w:val="28"/>
        </w:rPr>
        <w:t>±</w:t>
      </w:r>
      <w:r>
        <w:rPr>
          <w:rFonts w:ascii="仿宋" w:eastAsia="仿宋" w:hAnsi="仿宋" w:cs="仿宋" w:hint="eastAsia"/>
          <w:sz w:val="28"/>
          <w:szCs w:val="28"/>
        </w:rPr>
        <w:t>1V，功耗＜8W</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铝型材，表喷黑色装饰漆，4U板卡式安装</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工作温度：-40</w:t>
      </w:r>
      <w:r>
        <w:rPr>
          <w:rFonts w:ascii="仿宋" w:eastAsia="仿宋" w:hAnsi="仿宋" w:cs="仿宋" w:hint="eastAsia"/>
          <w:sz w:val="28"/>
          <w:szCs w:val="28"/>
        </w:rPr>
        <w:t>℃</w:t>
      </w:r>
      <w:r>
        <w:rPr>
          <w:rFonts w:ascii="仿宋" w:eastAsia="仿宋" w:hAnsi="仿宋" w:cs="仿宋" w:hint="eastAsia"/>
          <w:sz w:val="28"/>
          <w:szCs w:val="28"/>
        </w:rPr>
        <w:t>~70</w:t>
      </w:r>
      <w:r>
        <w:rPr>
          <w:rFonts w:ascii="仿宋" w:eastAsia="仿宋" w:hAnsi="仿宋" w:cs="仿宋" w:hint="eastAsia"/>
          <w:sz w:val="28"/>
          <w:szCs w:val="28"/>
        </w:rPr>
        <w:t>℃</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散热方式：自然散热；</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工作湿度：5%~95%非凝露。</w:t>
      </w:r>
    </w:p>
    <w:p w:rsidR="00786C5C">
      <w:pPr>
        <w:spacing w:line="360" w:lineRule="auto"/>
        <w:ind w:firstLine="560" w:firstLineChars="200"/>
        <w:rPr>
          <w:rFonts w:ascii="仿宋" w:eastAsia="仿宋" w:hAnsi="仿宋" w:cs="仿宋" w:hint="eastAsia"/>
          <w:b/>
          <w:bCs/>
          <w:sz w:val="28"/>
          <w:szCs w:val="28"/>
        </w:rPr>
      </w:pPr>
      <w:r>
        <w:rPr>
          <w:rFonts w:ascii="仿宋" w:eastAsia="仿宋" w:hAnsi="仿宋" w:cs="仿宋" w:hint="eastAsia"/>
          <w:b/>
          <w:bCs/>
          <w:sz w:val="28"/>
          <w:szCs w:val="28"/>
        </w:rPr>
        <w:t>信控物联模块:</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信控物联套件尾端物联模块， CPU采用ARM926EJ-S,工作频率2~12MHz，支持子频段使用；</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支持自动低功耗控制技术，支持4级QoS；</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支持业务指示灯；</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支持数据分段、重组、重传；支持数据加解密；</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支持与信控边缘网关HiPLC通讯，实现尾端设备数字化；</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匹配支持倒计时、灯具、待行屏、过街按钮、情报板等交通设施，支持尾端设备故障、漏电、线路信息上报等；</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支持UART接口；</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工作电源：DC 12V</w:t>
      </w:r>
      <w:r>
        <w:rPr>
          <w:rFonts w:ascii="仿宋" w:eastAsia="仿宋" w:hAnsi="仿宋" w:cs="仿宋" w:hint="eastAsia"/>
          <w:sz w:val="28"/>
          <w:szCs w:val="28"/>
        </w:rPr>
        <w:t>±</w:t>
      </w:r>
      <w:r>
        <w:rPr>
          <w:rFonts w:ascii="仿宋" w:eastAsia="仿宋" w:hAnsi="仿宋" w:cs="仿宋" w:hint="eastAsia"/>
          <w:sz w:val="28"/>
          <w:szCs w:val="28"/>
        </w:rPr>
        <w:t>1V，功耗＜8W</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工作温度：-40</w:t>
      </w:r>
      <w:r>
        <w:rPr>
          <w:rFonts w:ascii="仿宋" w:eastAsia="仿宋" w:hAnsi="仿宋" w:cs="仿宋" w:hint="eastAsia"/>
          <w:sz w:val="28"/>
          <w:szCs w:val="28"/>
        </w:rPr>
        <w:t>℃</w:t>
      </w:r>
      <w:r>
        <w:rPr>
          <w:rFonts w:ascii="仿宋" w:eastAsia="仿宋" w:hAnsi="仿宋" w:cs="仿宋" w:hint="eastAsia"/>
          <w:sz w:val="28"/>
          <w:szCs w:val="28"/>
        </w:rPr>
        <w:t>~85</w:t>
      </w:r>
      <w:r>
        <w:rPr>
          <w:rFonts w:ascii="仿宋" w:eastAsia="仿宋" w:hAnsi="仿宋" w:cs="仿宋" w:hint="eastAsia"/>
          <w:sz w:val="28"/>
          <w:szCs w:val="28"/>
        </w:rPr>
        <w:t>℃</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散热方式：自然散热；</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工作湿度：5%~95%非凝露。</w:t>
      </w:r>
    </w:p>
    <w:p w:rsidR="00786C5C">
      <w:pPr>
        <w:spacing w:line="360" w:lineRule="auto"/>
        <w:rPr>
          <w:rFonts w:ascii="仿宋" w:eastAsia="仿宋" w:hAnsi="仿宋" w:cs="仿宋" w:hint="eastAsia"/>
          <w:b/>
          <w:bCs/>
          <w:sz w:val="28"/>
          <w:szCs w:val="28"/>
        </w:rPr>
      </w:pPr>
      <w:r>
        <w:rPr>
          <w:rFonts w:ascii="仿宋" w:eastAsia="仿宋" w:hAnsi="仿宋" w:cs="仿宋" w:hint="eastAsia"/>
          <w:b/>
          <w:bCs/>
          <w:sz w:val="28"/>
          <w:szCs w:val="28"/>
        </w:rPr>
        <w:t>4)机箱</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sectPr>
          <w:headerReference w:type="default" r:id="rId25"/>
          <w:footerReference w:type="default" r:id="rId26"/>
          <w:type w:val="nextPage"/>
          <w:pgSz w:w="23814" w:h="16840" w:orient="landscape"/>
          <w:pgMar w:top="0" w:right="1440" w:bottom="1814" w:left="1814" w:header="851" w:footer="992" w:gutter="0"/>
          <w:pgNumType w:start="9"/>
          <w:cols w:num="2" w:space="425" w:equalWidth="0">
            <w:col w:w="10067" w:space="425"/>
            <w:col w:w="10067" w:space="0"/>
          </w:cols>
          <w:titlePg w:val="0"/>
          <w:docGrid w:type="lines" w:linePitch="312"/>
        </w:sectPr>
      </w:pPr>
      <w:r>
        <w:rPr>
          <w:rFonts w:ascii="仿宋" w:eastAsia="仿宋" w:hAnsi="仿宋" w:cs="仿宋" w:hint="eastAsia"/>
          <w:sz w:val="28"/>
          <w:szCs w:val="28"/>
        </w:rPr>
        <w:t>4U标准机架式设计；</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具备防破坏、防振、防电磁干扰、防尘、防水、防潮、防高温、防锈蚀、防雷击功能；</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ab/>
        <w:t>带有电源插座和空气开关，机箱座的固定机箱螺丝采用不锈钢螺丝；</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机箱表面采用喷塑工艺处理，锁具、门轴坚实牢固，使用寿命在十年以上；</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不锈钢材质双开门设计,机箱门开启角度大于120</w:t>
      </w:r>
      <w:r>
        <w:rPr>
          <w:rFonts w:ascii="仿宋" w:eastAsia="仿宋" w:hAnsi="仿宋" w:cs="仿宋" w:hint="eastAsia"/>
          <w:sz w:val="28"/>
          <w:szCs w:val="28"/>
        </w:rPr>
        <w:t>°</w:t>
      </w:r>
      <w:r>
        <w:rPr>
          <w:rFonts w:ascii="仿宋" w:eastAsia="仿宋" w:hAnsi="仿宋" w:cs="仿宋" w:hint="eastAsia"/>
          <w:sz w:val="28"/>
          <w:szCs w:val="28"/>
        </w:rPr>
        <w:t>，机箱板材厚度不小于2.0毫米，并具有防鼠功能；</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避雷等级为2级；</w:t>
      </w:r>
    </w:p>
    <w:p w:rsidR="00786C5C">
      <w:pPr>
        <w:pStyle w:val="Heading3"/>
        <w:numPr>
          <w:ilvl w:val="2"/>
          <w:numId w:val="2"/>
        </w:numPr>
        <w:spacing w:before="0" w:after="0" w:line="360" w:lineRule="auto"/>
        <w:ind w:hanging="69"/>
        <w:jc w:val="left"/>
        <w:rPr>
          <w:rFonts w:ascii="仿宋" w:eastAsia="仿宋" w:hAnsi="仿宋" w:cs="仿宋" w:hint="eastAsia"/>
          <w:sz w:val="28"/>
          <w:szCs w:val="28"/>
        </w:rPr>
      </w:pPr>
      <w:bookmarkStart w:id="16" w:name="_Toc23231"/>
      <w:r>
        <w:rPr>
          <w:rFonts w:ascii="仿宋" w:eastAsia="仿宋" w:hAnsi="仿宋" w:cs="仿宋" w:hint="eastAsia"/>
          <w:sz w:val="28"/>
          <w:szCs w:val="28"/>
        </w:rPr>
        <w:t>电源防雷器</w:t>
      </w:r>
      <w:bookmarkEnd w:id="16"/>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 xml:space="preserve">电气间隙和爬电距离标准 DINVDE0110-1，保护等级IP20，额定电压 UN 230VAC，电涌保护器额定电压UC 275 VAC/350 VDC，额定频率fN 50 Hz (60Hz)，接地导线电流IPE </w:t>
      </w:r>
      <w:r>
        <w:rPr>
          <w:rFonts w:ascii="仿宋" w:eastAsia="仿宋" w:hAnsi="仿宋" w:cs="仿宋" w:hint="eastAsia"/>
          <w:sz w:val="28"/>
          <w:szCs w:val="28"/>
        </w:rPr>
        <w:t>≤</w:t>
      </w:r>
      <w:r>
        <w:rPr>
          <w:rFonts w:ascii="仿宋" w:eastAsia="仿宋" w:hAnsi="仿宋" w:cs="仿宋" w:hint="eastAsia"/>
          <w:sz w:val="28"/>
          <w:szCs w:val="28"/>
        </w:rPr>
        <w:t xml:space="preserve"> 0,</w:t>
      </w:r>
      <w:r>
        <w:rPr>
          <w:rFonts w:ascii="仿宋" w:eastAsia="仿宋" w:hAnsi="仿宋" w:cs="仿宋" w:hint="eastAsia"/>
          <w:sz w:val="28"/>
          <w:szCs w:val="28"/>
        </w:rPr>
        <w:t>3mA ；</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 xml:space="preserve">待机功耗 PC </w:t>
      </w:r>
      <w:r>
        <w:rPr>
          <w:rFonts w:ascii="仿宋" w:eastAsia="仿宋" w:hAnsi="仿宋" w:cs="仿宋" w:hint="eastAsia"/>
          <w:sz w:val="28"/>
          <w:szCs w:val="28"/>
        </w:rPr>
        <w:t>≤</w:t>
      </w:r>
      <w:r>
        <w:rPr>
          <w:rFonts w:ascii="仿宋" w:eastAsia="仿宋" w:hAnsi="仿宋" w:cs="仿宋" w:hint="eastAsia"/>
          <w:sz w:val="28"/>
          <w:szCs w:val="28"/>
        </w:rPr>
        <w:t>125 mVA，最大放电电流Imax（8/20）</w:t>
      </w:r>
      <w:r>
        <w:rPr>
          <w:rFonts w:ascii="仿宋" w:eastAsia="仿宋" w:hAnsi="仿宋" w:cs="仿宋" w:hint="eastAsia"/>
          <w:sz w:val="28"/>
          <w:szCs w:val="28"/>
        </w:rPr>
        <w:t>µ</w:t>
      </w:r>
      <w:r>
        <w:rPr>
          <w:rFonts w:ascii="仿宋" w:eastAsia="仿宋" w:hAnsi="仿宋" w:cs="仿宋" w:hint="eastAsia"/>
          <w:sz w:val="28"/>
          <w:szCs w:val="28"/>
        </w:rPr>
        <w:t>s40kA，额定放电电流In（8/20）</w:t>
      </w:r>
      <w:r>
        <w:rPr>
          <w:rFonts w:ascii="仿宋" w:eastAsia="仿宋" w:hAnsi="仿宋" w:cs="仿宋" w:hint="eastAsia"/>
          <w:sz w:val="28"/>
          <w:szCs w:val="28"/>
        </w:rPr>
        <w:t>µ</w:t>
      </w:r>
      <w:r>
        <w:rPr>
          <w:rFonts w:ascii="仿宋" w:eastAsia="仿宋" w:hAnsi="仿宋" w:cs="仿宋" w:hint="eastAsia"/>
          <w:sz w:val="28"/>
          <w:szCs w:val="28"/>
        </w:rPr>
        <w:t>s20kA，雷电测试电流（10/350）</w:t>
      </w:r>
      <w:r>
        <w:rPr>
          <w:rFonts w:ascii="仿宋" w:eastAsia="仿宋" w:hAnsi="仿宋" w:cs="仿宋" w:hint="eastAsia"/>
          <w:sz w:val="28"/>
          <w:szCs w:val="28"/>
        </w:rPr>
        <w:t>µ</w:t>
      </w:r>
      <w:r>
        <w:rPr>
          <w:rFonts w:ascii="仿宋" w:eastAsia="仿宋" w:hAnsi="仿宋" w:cs="仿宋" w:hint="eastAsia"/>
          <w:sz w:val="28"/>
          <w:szCs w:val="28"/>
        </w:rPr>
        <w:t>s，峰值limp 3 kA，最大吸收能量（2ms） 550J；</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 xml:space="preserve">防护等级 Up </w:t>
      </w:r>
      <w:r>
        <w:rPr>
          <w:rFonts w:ascii="仿宋" w:eastAsia="仿宋" w:hAnsi="仿宋" w:cs="仿宋" w:hint="eastAsia"/>
          <w:sz w:val="28"/>
          <w:szCs w:val="28"/>
        </w:rPr>
        <w:t>≤</w:t>
      </w:r>
      <w:r>
        <w:rPr>
          <w:rFonts w:ascii="仿宋" w:eastAsia="仿宋" w:hAnsi="仿宋" w:cs="仿宋" w:hint="eastAsia"/>
          <w:sz w:val="28"/>
          <w:szCs w:val="28"/>
        </w:rPr>
        <w:t xml:space="preserve">1,35 kV，残压 </w:t>
      </w:r>
      <w:r>
        <w:rPr>
          <w:rFonts w:ascii="仿宋" w:eastAsia="仿宋" w:hAnsi="仿宋" w:cs="仿宋" w:hint="eastAsia"/>
          <w:sz w:val="28"/>
          <w:szCs w:val="28"/>
        </w:rPr>
        <w:t>≤</w:t>
      </w:r>
      <w:r>
        <w:rPr>
          <w:rFonts w:ascii="仿宋" w:eastAsia="仿宋" w:hAnsi="仿宋" w:cs="仿宋" w:hint="eastAsia"/>
          <w:sz w:val="28"/>
          <w:szCs w:val="28"/>
        </w:rPr>
        <w:t xml:space="preserve">1 kV (5 kA)， </w:t>
      </w:r>
      <w:r>
        <w:rPr>
          <w:rFonts w:ascii="仿宋" w:eastAsia="仿宋" w:hAnsi="仿宋" w:cs="仿宋" w:hint="eastAsia"/>
          <w:sz w:val="28"/>
          <w:szCs w:val="28"/>
        </w:rPr>
        <w:t>≤</w:t>
      </w:r>
      <w:r>
        <w:rPr>
          <w:rFonts w:ascii="仿宋" w:eastAsia="仿宋" w:hAnsi="仿宋" w:cs="仿宋" w:hint="eastAsia"/>
          <w:sz w:val="28"/>
          <w:szCs w:val="28"/>
        </w:rPr>
        <w:t xml:space="preserve">1,15 kV (10 kA)， </w:t>
      </w:r>
      <w:r>
        <w:rPr>
          <w:rFonts w:ascii="仿宋" w:eastAsia="仿宋" w:hAnsi="仿宋" w:cs="仿宋" w:hint="eastAsia"/>
          <w:sz w:val="28"/>
          <w:szCs w:val="28"/>
        </w:rPr>
        <w:t>≤</w:t>
      </w:r>
      <w:r>
        <w:rPr>
          <w:rFonts w:ascii="仿宋" w:eastAsia="仿宋" w:hAnsi="仿宋" w:cs="仿宋" w:hint="eastAsia"/>
          <w:sz w:val="28"/>
          <w:szCs w:val="28"/>
        </w:rPr>
        <w:t>1,35 kV (In)，</w:t>
      </w:r>
      <w:r>
        <w:rPr>
          <w:rFonts w:ascii="仿宋" w:eastAsia="仿宋" w:hAnsi="仿宋" w:cs="仿宋" w:hint="eastAsia"/>
          <w:sz w:val="28"/>
          <w:szCs w:val="28"/>
        </w:rPr>
        <w:t>≤</w:t>
      </w:r>
      <w:r>
        <w:rPr>
          <w:rFonts w:ascii="仿宋" w:eastAsia="仿宋" w:hAnsi="仿宋" w:cs="仿宋" w:hint="eastAsia"/>
          <w:sz w:val="28"/>
          <w:szCs w:val="28"/>
        </w:rPr>
        <w:t xml:space="preserve"> 950 V(3kA)，响应时间 </w:t>
      </w:r>
      <w:r>
        <w:rPr>
          <w:rFonts w:ascii="仿宋" w:eastAsia="仿宋" w:hAnsi="仿宋" w:cs="仿宋" w:hint="eastAsia"/>
          <w:sz w:val="28"/>
          <w:szCs w:val="28"/>
        </w:rPr>
        <w:t>≤</w:t>
      </w:r>
      <w:r>
        <w:rPr>
          <w:rFonts w:ascii="仿宋" w:eastAsia="仿宋" w:hAnsi="仿宋" w:cs="仿宋" w:hint="eastAsia"/>
          <w:sz w:val="28"/>
          <w:szCs w:val="28"/>
        </w:rPr>
        <w:t xml:space="preserve"> 25ns ；</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分支布线所需的最大备用保险丝 125 A (gL)，短路电阻IP，带有最大备用熔断器（有效） 25kA，容量 3nF；</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外壳材料、电气间隙和外壳材料 PA；</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阻燃等级，符合UL 94 V0，黑色；</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工作环境：-20</w:t>
      </w:r>
      <w:r>
        <w:rPr>
          <w:rFonts w:ascii="仿宋" w:eastAsia="仿宋" w:hAnsi="仿宋" w:cs="仿宋" w:hint="eastAsia"/>
          <w:sz w:val="28"/>
          <w:szCs w:val="28"/>
        </w:rPr>
        <w:t>℃——</w:t>
      </w:r>
      <w:r>
        <w:rPr>
          <w:rFonts w:ascii="仿宋" w:eastAsia="仿宋" w:hAnsi="仿宋" w:cs="仿宋" w:hint="eastAsia"/>
          <w:sz w:val="28"/>
          <w:szCs w:val="28"/>
        </w:rPr>
        <w:t>＋70</w:t>
      </w:r>
      <w:r>
        <w:rPr>
          <w:rFonts w:ascii="仿宋" w:eastAsia="仿宋" w:hAnsi="仿宋" w:cs="仿宋" w:hint="eastAsia"/>
          <w:sz w:val="28"/>
          <w:szCs w:val="28"/>
        </w:rPr>
        <w:t>℃</w:t>
      </w:r>
      <w:r>
        <w:rPr>
          <w:rFonts w:ascii="仿宋" w:eastAsia="仿宋" w:hAnsi="仿宋" w:cs="仿宋" w:hint="eastAsia"/>
          <w:sz w:val="28"/>
          <w:szCs w:val="28"/>
        </w:rPr>
        <w:t>；</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工作相对湿度： 5%～95%（不结露）；</w:t>
      </w:r>
    </w:p>
    <w:p w:rsidR="00786C5C">
      <w:pPr>
        <w:spacing w:line="360" w:lineRule="auto"/>
        <w:outlineLvl w:val="1"/>
        <w:rPr>
          <w:rFonts w:ascii="仿宋" w:eastAsia="仿宋" w:hAnsi="仿宋" w:cs="仿宋" w:hint="eastAsia"/>
          <w:b/>
          <w:bCs/>
          <w:sz w:val="28"/>
          <w:szCs w:val="28"/>
        </w:rPr>
      </w:pPr>
    </w:p>
    <w:p w:rsidR="00786C5C">
      <w:pPr>
        <w:pStyle w:val="Heading2"/>
        <w:numPr>
          <w:ilvl w:val="1"/>
          <w:numId w:val="2"/>
        </w:numPr>
        <w:spacing w:line="360" w:lineRule="auto"/>
        <w:ind w:firstLine="73"/>
        <w:rPr>
          <w:rFonts w:ascii="仿宋" w:eastAsia="仿宋" w:hAnsi="仿宋" w:cs="仿宋" w:hint="eastAsia"/>
          <w:bCs/>
          <w:sz w:val="30"/>
          <w:szCs w:val="30"/>
        </w:rPr>
      </w:pPr>
      <w:bookmarkStart w:id="17" w:name="_Toc3622"/>
      <w:r>
        <w:rPr>
          <w:rFonts w:ascii="仿宋" w:eastAsia="仿宋" w:hAnsi="仿宋" w:cs="仿宋" w:hint="eastAsia"/>
          <w:bCs/>
          <w:sz w:val="30"/>
          <w:szCs w:val="30"/>
        </w:rPr>
        <w:t>信号灯</w:t>
      </w:r>
      <w:bookmarkEnd w:id="17"/>
    </w:p>
    <w:p w:rsidR="00786C5C">
      <w:pPr>
        <w:spacing w:line="360" w:lineRule="auto"/>
        <w:ind w:firstLine="560" w:firstLineChars="200"/>
        <w:rPr>
          <w:rFonts w:ascii="仿宋" w:eastAsia="仿宋" w:hAnsi="仿宋" w:cs="仿宋" w:hint="eastAsia"/>
          <w:sz w:val="28"/>
          <w:szCs w:val="28"/>
        </w:rPr>
      </w:pPr>
      <w:r>
        <w:rPr>
          <w:rFonts w:ascii="仿宋" w:eastAsia="仿宋" w:hAnsi="仿宋" w:cs="仿宋" w:hint="eastAsia"/>
          <w:sz w:val="28"/>
          <w:szCs w:val="28"/>
        </w:rPr>
        <w:t>本次设计信号灯发光单元采用LED光源，LED灯板部分采用一灯一电阻式。需通过公安部检测，符合GB 14887-2011《道路交通信号灯》规定并提供有效期内检测报告。</w:t>
      </w:r>
    </w:p>
    <w:p w:rsidR="00786C5C">
      <w:pPr>
        <w:pStyle w:val="Heading3"/>
        <w:numPr>
          <w:ilvl w:val="2"/>
          <w:numId w:val="2"/>
        </w:numPr>
        <w:spacing w:before="0" w:after="0" w:line="360" w:lineRule="auto"/>
        <w:ind w:hanging="69"/>
        <w:jc w:val="left"/>
        <w:rPr>
          <w:rFonts w:ascii="仿宋" w:eastAsia="仿宋" w:hAnsi="仿宋" w:cs="仿宋" w:hint="eastAsia"/>
          <w:sz w:val="28"/>
          <w:szCs w:val="28"/>
        </w:rPr>
      </w:pPr>
      <w:bookmarkStart w:id="18" w:name="_Toc1145"/>
      <w:r>
        <w:rPr>
          <w:rFonts w:ascii="仿宋" w:eastAsia="仿宋" w:hAnsi="仿宋" w:cs="仿宋" w:hint="eastAsia"/>
          <w:sz w:val="28"/>
          <w:szCs w:val="28"/>
        </w:rPr>
        <w:t>悬臂式机动车信号灯</w:t>
      </w:r>
      <w:bookmarkEnd w:id="18"/>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三灯三色,发光单元透光面直径为400mm,红色、黄色、绿色三个几何位置分立单元;</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发光单元使用的LED基准波长为：红色625</w:t>
      </w:r>
      <w:r>
        <w:rPr>
          <w:rFonts w:ascii="仿宋" w:eastAsia="仿宋" w:hAnsi="仿宋" w:cs="仿宋" w:hint="eastAsia"/>
          <w:sz w:val="28"/>
          <w:szCs w:val="28"/>
        </w:rPr>
        <w:t>±</w:t>
      </w:r>
      <w:r>
        <w:rPr>
          <w:rFonts w:ascii="仿宋" w:eastAsia="仿宋" w:hAnsi="仿宋" w:cs="仿宋" w:hint="eastAsia"/>
          <w:sz w:val="28"/>
          <w:szCs w:val="28"/>
        </w:rPr>
        <w:t>5nm、黄色 590</w:t>
      </w:r>
      <w:r>
        <w:rPr>
          <w:rFonts w:ascii="仿宋" w:eastAsia="仿宋" w:hAnsi="仿宋" w:cs="仿宋" w:hint="eastAsia"/>
          <w:sz w:val="28"/>
          <w:szCs w:val="28"/>
        </w:rPr>
        <w:t>±</w:t>
      </w:r>
      <w:r>
        <w:rPr>
          <w:rFonts w:ascii="仿宋" w:eastAsia="仿宋" w:hAnsi="仿宋" w:cs="仿宋" w:hint="eastAsia"/>
          <w:sz w:val="28"/>
          <w:szCs w:val="28"/>
        </w:rPr>
        <w:t>5nm、绿色505</w:t>
      </w:r>
      <w:r>
        <w:rPr>
          <w:rFonts w:ascii="仿宋" w:eastAsia="仿宋" w:hAnsi="仿宋" w:cs="仿宋" w:hint="eastAsia"/>
          <w:sz w:val="28"/>
          <w:szCs w:val="28"/>
        </w:rPr>
        <w:t>±</w:t>
      </w:r>
      <w:r>
        <w:rPr>
          <w:rFonts w:ascii="仿宋" w:eastAsia="仿宋" w:hAnsi="仿宋" w:cs="仿宋" w:hint="eastAsia"/>
          <w:sz w:val="28"/>
          <w:szCs w:val="28"/>
        </w:rPr>
        <w:t>2nm。</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机动车信号灯发光单元基准轴线上光强为标准规定的1级1类，发光单元光强分布符合标准规定的窄角度光强分布均匀；</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左右上下视角：30；可视距离</w:t>
      </w:r>
      <w:r>
        <w:rPr>
          <w:rFonts w:ascii="仿宋" w:eastAsia="仿宋" w:hAnsi="仿宋" w:cs="仿宋" w:hint="eastAsia"/>
          <w:sz w:val="28"/>
          <w:szCs w:val="28"/>
        </w:rPr>
        <w:t>≥</w:t>
      </w:r>
      <w:r>
        <w:rPr>
          <w:rFonts w:ascii="仿宋" w:eastAsia="仿宋" w:hAnsi="仿宋" w:cs="仿宋" w:hint="eastAsia"/>
          <w:sz w:val="28"/>
          <w:szCs w:val="28"/>
        </w:rPr>
        <w:t>300m；</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具有PLC通讯功能，支持信号灯运行状态远程查询；信号灯不亮故障、红绿同亮故障、灯串损坏故障、通讯故障等故障主动上报；亮度调整等功能。</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发光单元采用进口超高亮LED芯片，LED灯板部分采用一灯一电阻式；LED芯片采用四元素技术制造，使用寿命不小于50000小时；</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开关电源，无需单独供电；</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工作电压：AC176V-265V，6</w:t>
      </w:r>
      <w:r>
        <w:rPr>
          <w:rFonts w:ascii="仿宋" w:eastAsia="仿宋" w:hAnsi="仿宋" w:cs="仿宋" w:hint="eastAsia"/>
          <w:sz w:val="28"/>
          <w:szCs w:val="28"/>
        </w:rPr>
        <w:t>0HZ/50HZ；</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额定功率：</w:t>
      </w:r>
      <w:r>
        <w:rPr>
          <w:rFonts w:ascii="仿宋" w:eastAsia="仿宋" w:hAnsi="仿宋" w:cs="仿宋" w:hint="eastAsia"/>
          <w:sz w:val="28"/>
          <w:szCs w:val="28"/>
        </w:rPr>
        <w:t>≤</w:t>
      </w:r>
      <w:r>
        <w:rPr>
          <w:rFonts w:ascii="仿宋" w:eastAsia="仿宋" w:hAnsi="仿宋" w:cs="仿宋" w:hint="eastAsia"/>
          <w:sz w:val="28"/>
          <w:szCs w:val="28"/>
        </w:rPr>
        <w:t>19W；</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采用防风、放落设计；</w:t>
      </w:r>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r>
        <w:rPr>
          <w:rFonts w:ascii="仿宋" w:eastAsia="仿宋" w:hAnsi="仿宋" w:cs="仿宋" w:hint="eastAsia"/>
          <w:sz w:val="28"/>
          <w:szCs w:val="28"/>
        </w:rPr>
        <w:t>每个灯盘可独立打开；</w:t>
      </w:r>
      <w:r>
        <w:rPr>
          <w:rFonts w:ascii="仿宋" w:eastAsia="仿宋" w:hAnsi="仿宋" w:cs="仿宋" w:hint="eastAsia"/>
          <w:sz w:val="28"/>
          <w:szCs w:val="28"/>
        </w:rPr>
        <w:br/>
      </w:r>
      <w:r>
        <w:rPr>
          <w:rFonts w:ascii="仿宋" w:eastAsia="仿宋" w:hAnsi="仿宋" w:cs="仿宋"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https://d.book118.com/948064125011006042</w:t>
        </w:r>
      </w:hyperlink>
    </w:p>
    <w:p w:rsidR="00786C5C">
      <w:pPr>
        <w:pStyle w:val="ListParagraph"/>
        <w:numPr>
          <w:ilvl w:val="0"/>
          <w:numId w:val="5"/>
        </w:numPr>
        <w:spacing w:line="360" w:lineRule="auto"/>
        <w:ind w:left="844" w:hanging="288" w:leftChars="265" w:hangingChars="103"/>
        <w:rPr>
          <w:rFonts w:ascii="仿宋" w:eastAsia="仿宋" w:hAnsi="仿宋" w:cs="仿宋" w:hint="eastAsia"/>
          <w:sz w:val="28"/>
          <w:szCs w:val="28"/>
        </w:rPr>
      </w:pPr>
    </w:p>
    <w:sectPr>
      <w:headerReference w:type="default" r:id="rId28"/>
      <w:footerReference w:type="default" r:id="rId29"/>
      <w:type w:val="nextPage"/>
      <w:pgSz w:w="23814" w:h="16840" w:orient="landscape"/>
      <w:pgMar w:top="0" w:right="1440" w:bottom="1814" w:left="1814" w:header="851" w:footer="992" w:gutter="0"/>
      <w:pgNumType w:start="10"/>
      <w:cols w:num="2" w:space="425" w:equalWidth="0">
        <w:col w:w="10067" w:space="425"/>
        <w:col w:w="10067" w:space="0"/>
      </w:cols>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Helvetica">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幼圆">
    <w:altName w:val="宋体"/>
    <w:panose1 w:val="02010509060101010101"/>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PCL6)">
    <w:altName w:val="Arial"/>
    <w:panose1 w:val="00000000000000000000"/>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Book Antiqua">
    <w:altName w:val="Segoe Print"/>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Foote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49" type="#_x0000_t202" style="width:109.15pt;height:17.2pt;margin-top:-15.9pt;margin-left:948.55pt;mso-position-horizontal-relative:margin;position:absolute;z-index:251658240"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0" type="#_x0000_t202" style="width:109.15pt;height:17.2pt;margin-top:-15.9pt;margin-left:948.55pt;mso-position-horizontal-relative:margin;position:absolute;z-index:251659264"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24</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24</w:t>
                </w:r>
                <w:r>
                  <w:rPr>
                    <w:rFonts w:ascii="仿宋" w:eastAsia="仿宋" w:hAnsi="仿宋" w:cs="仿宋" w:hint="eastAsia"/>
                    <w:b/>
                    <w:bCs/>
                    <w:sz w:val="24"/>
                    <w:szCs w:val="24"/>
                  </w:rPr>
                  <w:fldChar w:fldCharType="end"/>
                </w:r>
              </w:p>
            </w:txbxContent>
          </v:textbox>
          <w10:wrap anchorx="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1" type="#_x0000_t202" style="width:109.15pt;height:17.2pt;margin-top:-15.9pt;margin-left:948.55pt;mso-position-horizontal-relative:margin;position:absolute;z-index:251660288"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2</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2" type="#_x0000_t202" style="width:109.15pt;height:17.2pt;margin-top:-15.9pt;margin-left:948.55pt;mso-position-horizontal-relative:margin;position:absolute;z-index:251661312"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3</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3" type="#_x0000_t202" style="width:109.15pt;height:17.2pt;margin-top:-15.9pt;margin-left:948.55pt;mso-position-horizontal-relative:margin;position:absolute;z-index:251662336"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4</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4" type="#_x0000_t202" style="width:109.15pt;height:17.2pt;margin-top:-15.9pt;margin-left:948.55pt;mso-position-horizontal-relative:margin;position:absolute;z-index:251663360"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6</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5" type="#_x0000_t202" style="width:109.15pt;height:17.2pt;margin-top:-15.9pt;margin-left:948.55pt;mso-position-horizontal-relative:margin;position:absolute;z-index:251664384"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6</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6" type="#_x0000_t202" style="width:109.15pt;height:17.2pt;margin-top:-15.9pt;margin-left:948.55pt;mso-position-horizontal-relative:margin;position:absolute;z-index:251665408"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8</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7" type="#_x0000_t202" style="width:109.15pt;height:17.2pt;margin-top:-15.9pt;margin-left:948.55pt;mso-position-horizontal-relative:margin;position:absolute;z-index:251666432"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8</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8" type="#_x0000_t202" style="width:109.15pt;height:17.2pt;margin-top:-15.9pt;margin-left:948.55pt;mso-position-horizontal-relative:margin;position:absolute;z-index:251667456"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9</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C5C">
    <w:pPr>
      <w:pStyle w:val="Header"/>
      <w:pBdr>
        <w:bottom w:val="none" w:sz="0" w:space="1" w:color="auto"/>
      </w:pBdr>
      <w:tabs>
        <w:tab w:val="clear" w:pos="4153"/>
        <w:tab w:val="left" w:pos="7459"/>
      </w:tabs>
      <w:jc w:val="both"/>
    </w:pPr>
    <w:r>
      <w:pict>
        <v:shapetype id="_x0000_t202" coordsize="21600,21600" o:spt="202" path="m,l,21600r21600,l21600,xe">
          <v:stroke joinstyle="miter"/>
          <v:path gradientshapeok="t" o:connecttype="rect"/>
        </v:shapetype>
        <v:shape id="文本框 2" o:spid="_x0000_s2059" type="#_x0000_t202" style="width:109.15pt;height:17.2pt;margin-top:-15.9pt;margin-left:948.55pt;mso-position-horizontal-relative:margin;position:absolute;z-index:251668480" filled="f" stroked="f" strokeweight="0.5pt">
          <v:fill o:detectmouseclick="t"/>
          <o:lock v:ext="edit" aspectratio="f"/>
          <v:textbox inset="0,0,0,0">
            <w:txbxContent>
              <w:p w:rsidR="00786C5C">
                <w:pPr>
                  <w:pStyle w:val="Header"/>
                  <w:pBdr>
                    <w:bottom w:val="none" w:sz="0" w:space="1" w:color="auto"/>
                  </w:pBdr>
                  <w:spacing w:line="340" w:lineRule="exact"/>
                  <w:rPr>
                    <w:rFonts w:ascii="仿宋_GB2312" w:eastAsia="仿宋_GB2312" w:hAnsi="仿宋_GB2312" w:cs="仿宋_GB2312" w:hint="eastAsia"/>
                    <w:b/>
                    <w:bCs/>
                    <w:sz w:val="24"/>
                    <w:szCs w:val="24"/>
                  </w:rPr>
                </w:pP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PAGE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10</w:t>
                </w:r>
                <w:r>
                  <w:rPr>
                    <w:rFonts w:ascii="仿宋" w:eastAsia="仿宋" w:hAnsi="仿宋" w:cs="仿宋" w:hint="eastAsia"/>
                    <w:b/>
                    <w:bCs/>
                    <w:sz w:val="24"/>
                    <w:szCs w:val="24"/>
                  </w:rPr>
                  <w:fldChar w:fldCharType="end"/>
                </w:r>
                <w:r>
                  <w:rPr>
                    <w:rFonts w:hAnsi="仿宋_GB2312" w:cs="仿宋_GB2312" w:hint="eastAsia"/>
                    <w:b/>
                    <w:bCs/>
                    <w:sz w:val="24"/>
                    <w:szCs w:val="24"/>
                  </w:rPr>
                  <w:t xml:space="preserve">           </w:t>
                </w:r>
                <w:r>
                  <w:rPr>
                    <w:rFonts w:ascii="仿宋" w:eastAsia="仿宋" w:hAnsi="仿宋" w:cs="仿宋" w:hint="eastAsia"/>
                    <w:b/>
                    <w:bCs/>
                    <w:sz w:val="24"/>
                    <w:szCs w:val="24"/>
                  </w:rPr>
                  <w:fldChar w:fldCharType="begin"/>
                </w:r>
                <w:r>
                  <w:rPr>
                    <w:rFonts w:ascii="仿宋" w:eastAsia="仿宋" w:hAnsi="仿宋" w:cs="仿宋" w:hint="eastAsia"/>
                    <w:b/>
                    <w:bCs/>
                    <w:sz w:val="24"/>
                    <w:szCs w:val="24"/>
                  </w:rPr>
                  <w:instrText xml:space="preserve"> NUMPAGES  \* MERGEFORMAT </w:instrText>
                </w:r>
                <w:r>
                  <w:rPr>
                    <w:rFonts w:ascii="仿宋" w:eastAsia="仿宋" w:hAnsi="仿宋" w:cs="仿宋" w:hint="eastAsia"/>
                    <w:b/>
                    <w:bCs/>
                    <w:sz w:val="24"/>
                    <w:szCs w:val="24"/>
                  </w:rPr>
                  <w:fldChar w:fldCharType="separate"/>
                </w:r>
                <w:r w:rsidRPr="005A6A97" w:rsidR="005A6A97">
                  <w:rPr>
                    <w:rFonts w:ascii="仿宋" w:eastAsia="仿宋" w:hAnsi="仿宋" w:cs="仿宋"/>
                    <w:b/>
                    <w:bCs/>
                    <w:noProof/>
                    <w:sz w:val="24"/>
                    <w:szCs w:val="24"/>
                  </w:rPr>
                  <w:t>12</w:t>
                </w:r>
                <w:r>
                  <w:rPr>
                    <w:rFonts w:ascii="仿宋" w:eastAsia="仿宋" w:hAnsi="仿宋" w:cs="仿宋" w:hint="eastAsia"/>
                    <w:b/>
                    <w:bCs/>
                    <w:sz w:val="24"/>
                    <w:szCs w:val="24"/>
                  </w:rPr>
                  <w:fldChar w:fldCharType="end"/>
                </w:r>
              </w:p>
            </w:txbxContent>
          </v:textbox>
          <w10:wrap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E46EA8"/>
    <w:multiLevelType w:val="singleLevel"/>
    <w:tmpl w:val="91E46EA8"/>
    <w:lvl w:ilvl="0">
      <w:start w:val="1"/>
      <w:numFmt w:val="decimal"/>
      <w:suff w:val="nothing"/>
      <w:lvlText w:val="（%1）"/>
      <w:lvlJc w:val="left"/>
      <w:pPr>
        <w:tabs>
          <w:tab w:val="num" w:pos="0"/>
        </w:tabs>
        <w:ind w:left="0" w:firstLine="403"/>
      </w:pPr>
      <w:rPr>
        <w:rFonts w:ascii="仿宋" w:eastAsia="仿宋" w:hAnsi="仿宋" w:cs="仿宋" w:hint="default"/>
      </w:rPr>
    </w:lvl>
  </w:abstractNum>
  <w:abstractNum w:abstractNumId="1">
    <w:nsid w:val="02784831"/>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nsid w:val="09ADA29E"/>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nsid w:val="0D9428AB"/>
    <w:multiLevelType w:val="multilevel"/>
    <w:tmpl w:val="0D9428AB"/>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
    <w:nsid w:val="1EDC46B2"/>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5">
    <w:nsid w:val="3FE058DB"/>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6">
    <w:nsid w:val="58238A7A"/>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7">
    <w:nsid w:val="5D0A0DC6"/>
    <w:multiLevelType w:val="multilevel"/>
    <w:tmpl w:val="5D0A0DC6"/>
    <w:lvl w:ilvl="0">
      <w:start w:val="1"/>
      <w:numFmt w:val="bullet"/>
      <w:lvlText w:val=""/>
      <w:lvlJc w:val="left"/>
      <w:pPr>
        <w:ind w:left="420" w:hanging="420"/>
      </w:pPr>
      <w:rPr>
        <w:rFonts w:ascii="Wingdings" w:hAnsi="Wingdings" w:hint="default"/>
        <w:sz w:val="15"/>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nsid w:val="7C9BB88B"/>
    <w:multiLevelType w:val="multilevel"/>
    <w:tmpl w:val="1EDC46B2"/>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9">
    <w:nsid w:val="7CE2E139"/>
    <w:multiLevelType w:val="singleLevel"/>
    <w:tmpl w:val="7CE2E139"/>
    <w:lvl w:ilvl="0">
      <w:start w:val="1"/>
      <w:numFmt w:val="decimal"/>
      <w:suff w:val="nothing"/>
      <w:lvlText w:val="%1、"/>
      <w:lvlJc w:val="left"/>
    </w:lvl>
  </w:abstractNum>
  <w:abstractNum w:abstractNumId="10">
    <w:nsid w:val="7D14C84E"/>
    <w:multiLevelType w:val="singleLevel"/>
    <w:tmpl w:val="7D14C84E"/>
    <w:lvl w:ilvl="0">
      <w:start w:val="1"/>
      <w:numFmt w:val="decimal"/>
      <w:lvlText w:val="(%1)"/>
      <w:lvlJc w:val="left"/>
      <w:pPr>
        <w:tabs>
          <w:tab w:val="num" w:pos="0"/>
        </w:tabs>
        <w:ind w:left="425" w:hanging="425"/>
      </w:pPr>
      <w:rPr>
        <w:rFonts w:hint="default"/>
      </w:rPr>
    </w:lvl>
  </w:abstractNum>
  <w:num w:numId="1">
    <w:abstractNumId w:val="3"/>
  </w:num>
  <w:num w:numId="2">
    <w:abstractNumId w:val="4"/>
  </w:num>
  <w:num w:numId="3">
    <w:abstractNumId w:val="0"/>
  </w:num>
  <w:num w:numId="4">
    <w:abstractNumId w:val="10"/>
  </w:num>
  <w:num w:numId="5">
    <w:abstractNumId w:val="7"/>
  </w:num>
  <w:num w:numId="6">
    <w:abstractNumId w:val="9"/>
  </w:num>
  <w:num w:numId="7">
    <w:abstractNumId w:val="5"/>
  </w:num>
  <w:num w:numId="8">
    <w:abstractNumId w:val="6"/>
  </w:num>
  <w:num w:numId="9">
    <w:abstractNumId w:val="1"/>
  </w:num>
  <w:num w:numId="10">
    <w:abstractNumId w:val="2"/>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oNotTrackMoves/>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69BF"/>
    <w:rsid w:val="EF79B2FC"/>
    <w:rsid w:val="000006E1"/>
    <w:rsid w:val="00000F56"/>
    <w:rsid w:val="0000128D"/>
    <w:rsid w:val="00001F44"/>
    <w:rsid w:val="000027A8"/>
    <w:rsid w:val="000030CB"/>
    <w:rsid w:val="00003656"/>
    <w:rsid w:val="00006FDF"/>
    <w:rsid w:val="00007B0F"/>
    <w:rsid w:val="0001026B"/>
    <w:rsid w:val="00011D56"/>
    <w:rsid w:val="000137AD"/>
    <w:rsid w:val="0001613B"/>
    <w:rsid w:val="00016848"/>
    <w:rsid w:val="00016DD2"/>
    <w:rsid w:val="000178DE"/>
    <w:rsid w:val="0002059E"/>
    <w:rsid w:val="00020771"/>
    <w:rsid w:val="00021469"/>
    <w:rsid w:val="000215AE"/>
    <w:rsid w:val="000218C3"/>
    <w:rsid w:val="00022158"/>
    <w:rsid w:val="00022703"/>
    <w:rsid w:val="00024299"/>
    <w:rsid w:val="000251D3"/>
    <w:rsid w:val="0002538C"/>
    <w:rsid w:val="00025A31"/>
    <w:rsid w:val="00030217"/>
    <w:rsid w:val="00032475"/>
    <w:rsid w:val="00032500"/>
    <w:rsid w:val="000339A9"/>
    <w:rsid w:val="000340C6"/>
    <w:rsid w:val="000347C5"/>
    <w:rsid w:val="00034D18"/>
    <w:rsid w:val="00034DEE"/>
    <w:rsid w:val="000353BF"/>
    <w:rsid w:val="00036CDD"/>
    <w:rsid w:val="000406FF"/>
    <w:rsid w:val="00040ADF"/>
    <w:rsid w:val="00041E75"/>
    <w:rsid w:val="00042CF4"/>
    <w:rsid w:val="00042E16"/>
    <w:rsid w:val="00042F8F"/>
    <w:rsid w:val="00043D17"/>
    <w:rsid w:val="00043FEA"/>
    <w:rsid w:val="000459D8"/>
    <w:rsid w:val="00047313"/>
    <w:rsid w:val="00047D81"/>
    <w:rsid w:val="00050B34"/>
    <w:rsid w:val="000537A5"/>
    <w:rsid w:val="0005412F"/>
    <w:rsid w:val="00054756"/>
    <w:rsid w:val="00055DA5"/>
    <w:rsid w:val="0005658B"/>
    <w:rsid w:val="00062A34"/>
    <w:rsid w:val="000657CA"/>
    <w:rsid w:val="000669D7"/>
    <w:rsid w:val="000676C3"/>
    <w:rsid w:val="00073059"/>
    <w:rsid w:val="00074815"/>
    <w:rsid w:val="000748EB"/>
    <w:rsid w:val="00081A3B"/>
    <w:rsid w:val="000823D3"/>
    <w:rsid w:val="000824E8"/>
    <w:rsid w:val="000838E1"/>
    <w:rsid w:val="00084323"/>
    <w:rsid w:val="00084979"/>
    <w:rsid w:val="000852CA"/>
    <w:rsid w:val="0008557D"/>
    <w:rsid w:val="00086D3B"/>
    <w:rsid w:val="00090CC6"/>
    <w:rsid w:val="00091782"/>
    <w:rsid w:val="00092306"/>
    <w:rsid w:val="0009392C"/>
    <w:rsid w:val="00094C49"/>
    <w:rsid w:val="00094E46"/>
    <w:rsid w:val="00095212"/>
    <w:rsid w:val="000959B5"/>
    <w:rsid w:val="0009631A"/>
    <w:rsid w:val="000A02BE"/>
    <w:rsid w:val="000A48CD"/>
    <w:rsid w:val="000A717F"/>
    <w:rsid w:val="000B0220"/>
    <w:rsid w:val="000B1358"/>
    <w:rsid w:val="000B1C5C"/>
    <w:rsid w:val="000B4A61"/>
    <w:rsid w:val="000B4BA3"/>
    <w:rsid w:val="000B5A8E"/>
    <w:rsid w:val="000C0E18"/>
    <w:rsid w:val="000C3789"/>
    <w:rsid w:val="000C48BB"/>
    <w:rsid w:val="000D02A4"/>
    <w:rsid w:val="000D184C"/>
    <w:rsid w:val="000D3BD2"/>
    <w:rsid w:val="000D3BF1"/>
    <w:rsid w:val="000D4C64"/>
    <w:rsid w:val="000D57B9"/>
    <w:rsid w:val="000D6109"/>
    <w:rsid w:val="000D647E"/>
    <w:rsid w:val="000E0621"/>
    <w:rsid w:val="000E12EC"/>
    <w:rsid w:val="000E1430"/>
    <w:rsid w:val="000E182C"/>
    <w:rsid w:val="000E1C9B"/>
    <w:rsid w:val="000E1D61"/>
    <w:rsid w:val="000E2305"/>
    <w:rsid w:val="000E3B55"/>
    <w:rsid w:val="000E3D8A"/>
    <w:rsid w:val="000E4291"/>
    <w:rsid w:val="000E6DD7"/>
    <w:rsid w:val="000E7943"/>
    <w:rsid w:val="000F01BF"/>
    <w:rsid w:val="000F0A32"/>
    <w:rsid w:val="000F1032"/>
    <w:rsid w:val="000F1BE0"/>
    <w:rsid w:val="000F1E30"/>
    <w:rsid w:val="000F2299"/>
    <w:rsid w:val="000F3D57"/>
    <w:rsid w:val="000F46C3"/>
    <w:rsid w:val="000F516D"/>
    <w:rsid w:val="000F530D"/>
    <w:rsid w:val="00100493"/>
    <w:rsid w:val="00101627"/>
    <w:rsid w:val="00101E73"/>
    <w:rsid w:val="001026F1"/>
    <w:rsid w:val="00103D5D"/>
    <w:rsid w:val="00105A60"/>
    <w:rsid w:val="001069BF"/>
    <w:rsid w:val="00111F96"/>
    <w:rsid w:val="00113649"/>
    <w:rsid w:val="001150A9"/>
    <w:rsid w:val="001151F3"/>
    <w:rsid w:val="0011794A"/>
    <w:rsid w:val="00120C6D"/>
    <w:rsid w:val="001212D0"/>
    <w:rsid w:val="0012341F"/>
    <w:rsid w:val="00123805"/>
    <w:rsid w:val="001249DC"/>
    <w:rsid w:val="00125197"/>
    <w:rsid w:val="0012530E"/>
    <w:rsid w:val="00125517"/>
    <w:rsid w:val="00126452"/>
    <w:rsid w:val="0012760E"/>
    <w:rsid w:val="00127924"/>
    <w:rsid w:val="00131201"/>
    <w:rsid w:val="00132C2F"/>
    <w:rsid w:val="00134FAE"/>
    <w:rsid w:val="00136CDC"/>
    <w:rsid w:val="00140437"/>
    <w:rsid w:val="00143F08"/>
    <w:rsid w:val="00144807"/>
    <w:rsid w:val="00145B9E"/>
    <w:rsid w:val="00145CB7"/>
    <w:rsid w:val="001470DF"/>
    <w:rsid w:val="001470F5"/>
    <w:rsid w:val="001475A9"/>
    <w:rsid w:val="001479BD"/>
    <w:rsid w:val="00150AD1"/>
    <w:rsid w:val="00153238"/>
    <w:rsid w:val="00154477"/>
    <w:rsid w:val="00154A07"/>
    <w:rsid w:val="0016149F"/>
    <w:rsid w:val="001620C2"/>
    <w:rsid w:val="00164737"/>
    <w:rsid w:val="001669E2"/>
    <w:rsid w:val="00167C14"/>
    <w:rsid w:val="0017027E"/>
    <w:rsid w:val="001704DD"/>
    <w:rsid w:val="001712A8"/>
    <w:rsid w:val="00175EB6"/>
    <w:rsid w:val="00176019"/>
    <w:rsid w:val="00177F97"/>
    <w:rsid w:val="00180C41"/>
    <w:rsid w:val="00184EFB"/>
    <w:rsid w:val="00186FCB"/>
    <w:rsid w:val="00192F19"/>
    <w:rsid w:val="00195E2C"/>
    <w:rsid w:val="00196648"/>
    <w:rsid w:val="00197232"/>
    <w:rsid w:val="001A08D6"/>
    <w:rsid w:val="001A4CF7"/>
    <w:rsid w:val="001A58B7"/>
    <w:rsid w:val="001A6F7F"/>
    <w:rsid w:val="001B0BAA"/>
    <w:rsid w:val="001B1A17"/>
    <w:rsid w:val="001B29A4"/>
    <w:rsid w:val="001B2F6A"/>
    <w:rsid w:val="001B3F1B"/>
    <w:rsid w:val="001B50B2"/>
    <w:rsid w:val="001B5952"/>
    <w:rsid w:val="001B5FE5"/>
    <w:rsid w:val="001B6DA5"/>
    <w:rsid w:val="001B7482"/>
    <w:rsid w:val="001C05FB"/>
    <w:rsid w:val="001C1747"/>
    <w:rsid w:val="001C6A2E"/>
    <w:rsid w:val="001C6FAD"/>
    <w:rsid w:val="001D0930"/>
    <w:rsid w:val="001D5D77"/>
    <w:rsid w:val="001E1436"/>
    <w:rsid w:val="001E29F4"/>
    <w:rsid w:val="001E3117"/>
    <w:rsid w:val="001E4B77"/>
    <w:rsid w:val="001E4D06"/>
    <w:rsid w:val="001E5560"/>
    <w:rsid w:val="001F1BEE"/>
    <w:rsid w:val="001F2C92"/>
    <w:rsid w:val="001F6DF0"/>
    <w:rsid w:val="002003CD"/>
    <w:rsid w:val="002008A4"/>
    <w:rsid w:val="00201854"/>
    <w:rsid w:val="0020676D"/>
    <w:rsid w:val="00206FD8"/>
    <w:rsid w:val="0021148C"/>
    <w:rsid w:val="00212FF9"/>
    <w:rsid w:val="00216130"/>
    <w:rsid w:val="002168DD"/>
    <w:rsid w:val="0021699F"/>
    <w:rsid w:val="002175B5"/>
    <w:rsid w:val="00217E59"/>
    <w:rsid w:val="00220467"/>
    <w:rsid w:val="0022074A"/>
    <w:rsid w:val="00221877"/>
    <w:rsid w:val="0022617A"/>
    <w:rsid w:val="002263C9"/>
    <w:rsid w:val="002264E8"/>
    <w:rsid w:val="00226C8A"/>
    <w:rsid w:val="00227E2B"/>
    <w:rsid w:val="00231133"/>
    <w:rsid w:val="00231215"/>
    <w:rsid w:val="002315E8"/>
    <w:rsid w:val="00231703"/>
    <w:rsid w:val="002318E6"/>
    <w:rsid w:val="00232623"/>
    <w:rsid w:val="00232A6A"/>
    <w:rsid w:val="002360E1"/>
    <w:rsid w:val="002366C6"/>
    <w:rsid w:val="00237F0F"/>
    <w:rsid w:val="00241869"/>
    <w:rsid w:val="00242DA0"/>
    <w:rsid w:val="00244D26"/>
    <w:rsid w:val="0024581A"/>
    <w:rsid w:val="00245BF0"/>
    <w:rsid w:val="0024781A"/>
    <w:rsid w:val="002513A8"/>
    <w:rsid w:val="00252CE5"/>
    <w:rsid w:val="00254AE4"/>
    <w:rsid w:val="002555DC"/>
    <w:rsid w:val="002563F4"/>
    <w:rsid w:val="002618A7"/>
    <w:rsid w:val="002668AA"/>
    <w:rsid w:val="00267F9C"/>
    <w:rsid w:val="0027031D"/>
    <w:rsid w:val="00271848"/>
    <w:rsid w:val="00274C30"/>
    <w:rsid w:val="00274D71"/>
    <w:rsid w:val="00274D8E"/>
    <w:rsid w:val="00275CC0"/>
    <w:rsid w:val="00280F9D"/>
    <w:rsid w:val="00283957"/>
    <w:rsid w:val="00283AFD"/>
    <w:rsid w:val="00284869"/>
    <w:rsid w:val="00285A07"/>
    <w:rsid w:val="00290FEE"/>
    <w:rsid w:val="00291459"/>
    <w:rsid w:val="00291B93"/>
    <w:rsid w:val="00293DFB"/>
    <w:rsid w:val="00296799"/>
    <w:rsid w:val="00296A5B"/>
    <w:rsid w:val="00296EF0"/>
    <w:rsid w:val="00297C52"/>
    <w:rsid w:val="002A0A25"/>
    <w:rsid w:val="002A1C34"/>
    <w:rsid w:val="002A3B65"/>
    <w:rsid w:val="002A7CD4"/>
    <w:rsid w:val="002B1D7E"/>
    <w:rsid w:val="002B2A0C"/>
    <w:rsid w:val="002B37BA"/>
    <w:rsid w:val="002B48D9"/>
    <w:rsid w:val="002B5BA1"/>
    <w:rsid w:val="002B62E9"/>
    <w:rsid w:val="002B6503"/>
    <w:rsid w:val="002B7578"/>
    <w:rsid w:val="002B7C6C"/>
    <w:rsid w:val="002B7FFC"/>
    <w:rsid w:val="002C031D"/>
    <w:rsid w:val="002C0A00"/>
    <w:rsid w:val="002C1525"/>
    <w:rsid w:val="002C1C15"/>
    <w:rsid w:val="002C311D"/>
    <w:rsid w:val="002C43D2"/>
    <w:rsid w:val="002C4E92"/>
    <w:rsid w:val="002C5540"/>
    <w:rsid w:val="002C61AA"/>
    <w:rsid w:val="002C69F6"/>
    <w:rsid w:val="002C771C"/>
    <w:rsid w:val="002C7E6B"/>
    <w:rsid w:val="002D0956"/>
    <w:rsid w:val="002D12DE"/>
    <w:rsid w:val="002D1536"/>
    <w:rsid w:val="002D17A3"/>
    <w:rsid w:val="002D2C82"/>
    <w:rsid w:val="002D4A22"/>
    <w:rsid w:val="002D5DB8"/>
    <w:rsid w:val="002D7868"/>
    <w:rsid w:val="002E0A38"/>
    <w:rsid w:val="002E0DDD"/>
    <w:rsid w:val="002E194F"/>
    <w:rsid w:val="002E1C34"/>
    <w:rsid w:val="002E3FD3"/>
    <w:rsid w:val="002F0367"/>
    <w:rsid w:val="002F1D32"/>
    <w:rsid w:val="002F3886"/>
    <w:rsid w:val="002F3C87"/>
    <w:rsid w:val="002F5473"/>
    <w:rsid w:val="002F6176"/>
    <w:rsid w:val="002F63C1"/>
    <w:rsid w:val="002F7051"/>
    <w:rsid w:val="002F7771"/>
    <w:rsid w:val="002F7ADA"/>
    <w:rsid w:val="00300617"/>
    <w:rsid w:val="003012F1"/>
    <w:rsid w:val="00301990"/>
    <w:rsid w:val="00302CD4"/>
    <w:rsid w:val="00304932"/>
    <w:rsid w:val="00304D54"/>
    <w:rsid w:val="00307A3A"/>
    <w:rsid w:val="00310C11"/>
    <w:rsid w:val="00312052"/>
    <w:rsid w:val="003126F7"/>
    <w:rsid w:val="00313ECB"/>
    <w:rsid w:val="003152B6"/>
    <w:rsid w:val="0031586D"/>
    <w:rsid w:val="0031616B"/>
    <w:rsid w:val="00316470"/>
    <w:rsid w:val="00316948"/>
    <w:rsid w:val="003215B5"/>
    <w:rsid w:val="003224C0"/>
    <w:rsid w:val="00322645"/>
    <w:rsid w:val="00322CA6"/>
    <w:rsid w:val="0032320E"/>
    <w:rsid w:val="00324338"/>
    <w:rsid w:val="003252F1"/>
    <w:rsid w:val="00327294"/>
    <w:rsid w:val="003276B1"/>
    <w:rsid w:val="00327E85"/>
    <w:rsid w:val="00332627"/>
    <w:rsid w:val="003336E3"/>
    <w:rsid w:val="00337B30"/>
    <w:rsid w:val="00342907"/>
    <w:rsid w:val="00344833"/>
    <w:rsid w:val="00344E43"/>
    <w:rsid w:val="003461D9"/>
    <w:rsid w:val="003465F6"/>
    <w:rsid w:val="00347650"/>
    <w:rsid w:val="003529DB"/>
    <w:rsid w:val="00360556"/>
    <w:rsid w:val="00362B07"/>
    <w:rsid w:val="00362D20"/>
    <w:rsid w:val="00363AA7"/>
    <w:rsid w:val="00363F95"/>
    <w:rsid w:val="003648A6"/>
    <w:rsid w:val="003678DE"/>
    <w:rsid w:val="003706F7"/>
    <w:rsid w:val="00373949"/>
    <w:rsid w:val="00375E69"/>
    <w:rsid w:val="003809A1"/>
    <w:rsid w:val="003851DE"/>
    <w:rsid w:val="00387B69"/>
    <w:rsid w:val="00390D56"/>
    <w:rsid w:val="00391D9D"/>
    <w:rsid w:val="003932A0"/>
    <w:rsid w:val="003946B1"/>
    <w:rsid w:val="003950BF"/>
    <w:rsid w:val="003952CE"/>
    <w:rsid w:val="0039578A"/>
    <w:rsid w:val="00395801"/>
    <w:rsid w:val="00395D20"/>
    <w:rsid w:val="00397967"/>
    <w:rsid w:val="003A0F84"/>
    <w:rsid w:val="003A18B8"/>
    <w:rsid w:val="003A20C4"/>
    <w:rsid w:val="003A2E37"/>
    <w:rsid w:val="003A59A1"/>
    <w:rsid w:val="003A5C54"/>
    <w:rsid w:val="003A6200"/>
    <w:rsid w:val="003A643A"/>
    <w:rsid w:val="003A75C0"/>
    <w:rsid w:val="003A78DD"/>
    <w:rsid w:val="003A7B89"/>
    <w:rsid w:val="003B040C"/>
    <w:rsid w:val="003B2078"/>
    <w:rsid w:val="003B2928"/>
    <w:rsid w:val="003B7A9E"/>
    <w:rsid w:val="003C2D30"/>
    <w:rsid w:val="003C455A"/>
    <w:rsid w:val="003C58FA"/>
    <w:rsid w:val="003C7181"/>
    <w:rsid w:val="003D47B6"/>
    <w:rsid w:val="003D697C"/>
    <w:rsid w:val="003D6B7C"/>
    <w:rsid w:val="003E0259"/>
    <w:rsid w:val="003E04E5"/>
    <w:rsid w:val="003E1A50"/>
    <w:rsid w:val="003E4525"/>
    <w:rsid w:val="003E755F"/>
    <w:rsid w:val="003F0AB6"/>
    <w:rsid w:val="003F3BE5"/>
    <w:rsid w:val="00402282"/>
    <w:rsid w:val="00402623"/>
    <w:rsid w:val="00404301"/>
    <w:rsid w:val="00405814"/>
    <w:rsid w:val="00406480"/>
    <w:rsid w:val="00406D5F"/>
    <w:rsid w:val="00407C2F"/>
    <w:rsid w:val="00411A6A"/>
    <w:rsid w:val="00411A7D"/>
    <w:rsid w:val="0041220B"/>
    <w:rsid w:val="00414057"/>
    <w:rsid w:val="004149E8"/>
    <w:rsid w:val="00420171"/>
    <w:rsid w:val="004202FB"/>
    <w:rsid w:val="00420D0D"/>
    <w:rsid w:val="00420F36"/>
    <w:rsid w:val="00423488"/>
    <w:rsid w:val="00423B13"/>
    <w:rsid w:val="00425A94"/>
    <w:rsid w:val="0043203E"/>
    <w:rsid w:val="0043417D"/>
    <w:rsid w:val="00434CEA"/>
    <w:rsid w:val="00435971"/>
    <w:rsid w:val="00436B8C"/>
    <w:rsid w:val="00440E54"/>
    <w:rsid w:val="00441652"/>
    <w:rsid w:val="004437BF"/>
    <w:rsid w:val="004448AB"/>
    <w:rsid w:val="004449F1"/>
    <w:rsid w:val="0044580A"/>
    <w:rsid w:val="00445E73"/>
    <w:rsid w:val="0044794D"/>
    <w:rsid w:val="004511BE"/>
    <w:rsid w:val="00453C40"/>
    <w:rsid w:val="00455CFB"/>
    <w:rsid w:val="00455E17"/>
    <w:rsid w:val="0045666F"/>
    <w:rsid w:val="00460122"/>
    <w:rsid w:val="00460ACF"/>
    <w:rsid w:val="004613C7"/>
    <w:rsid w:val="00461510"/>
    <w:rsid w:val="00461F12"/>
    <w:rsid w:val="00462A47"/>
    <w:rsid w:val="004657E5"/>
    <w:rsid w:val="00471335"/>
    <w:rsid w:val="004714B5"/>
    <w:rsid w:val="004751F3"/>
    <w:rsid w:val="00475E66"/>
    <w:rsid w:val="00475F9D"/>
    <w:rsid w:val="0048008F"/>
    <w:rsid w:val="00482CBC"/>
    <w:rsid w:val="00484711"/>
    <w:rsid w:val="00484E80"/>
    <w:rsid w:val="00485B3A"/>
    <w:rsid w:val="00485C98"/>
    <w:rsid w:val="00487192"/>
    <w:rsid w:val="00492D01"/>
    <w:rsid w:val="00497FA0"/>
    <w:rsid w:val="004A1998"/>
    <w:rsid w:val="004A1ABD"/>
    <w:rsid w:val="004A1E3E"/>
    <w:rsid w:val="004A56AE"/>
    <w:rsid w:val="004A580A"/>
    <w:rsid w:val="004A5AA8"/>
    <w:rsid w:val="004A690E"/>
    <w:rsid w:val="004A6C10"/>
    <w:rsid w:val="004A7B90"/>
    <w:rsid w:val="004B4A1C"/>
    <w:rsid w:val="004B59AF"/>
    <w:rsid w:val="004B5A73"/>
    <w:rsid w:val="004B6D92"/>
    <w:rsid w:val="004C0A9F"/>
    <w:rsid w:val="004C4BDC"/>
    <w:rsid w:val="004C54B5"/>
    <w:rsid w:val="004C634C"/>
    <w:rsid w:val="004C693C"/>
    <w:rsid w:val="004D0829"/>
    <w:rsid w:val="004D1675"/>
    <w:rsid w:val="004D20F4"/>
    <w:rsid w:val="004D39B3"/>
    <w:rsid w:val="004D7772"/>
    <w:rsid w:val="004E0885"/>
    <w:rsid w:val="004E216F"/>
    <w:rsid w:val="004E3B74"/>
    <w:rsid w:val="004E3CEC"/>
    <w:rsid w:val="004E50BB"/>
    <w:rsid w:val="004E598E"/>
    <w:rsid w:val="004F273C"/>
    <w:rsid w:val="005008C5"/>
    <w:rsid w:val="005024C0"/>
    <w:rsid w:val="00503A93"/>
    <w:rsid w:val="00504712"/>
    <w:rsid w:val="00506513"/>
    <w:rsid w:val="00506779"/>
    <w:rsid w:val="00507FAC"/>
    <w:rsid w:val="00510609"/>
    <w:rsid w:val="00510FD2"/>
    <w:rsid w:val="00511C19"/>
    <w:rsid w:val="00512421"/>
    <w:rsid w:val="00512B1D"/>
    <w:rsid w:val="00513649"/>
    <w:rsid w:val="0051438A"/>
    <w:rsid w:val="005148E3"/>
    <w:rsid w:val="0051629A"/>
    <w:rsid w:val="0051688D"/>
    <w:rsid w:val="00517A9D"/>
    <w:rsid w:val="00520329"/>
    <w:rsid w:val="005209B2"/>
    <w:rsid w:val="0052503F"/>
    <w:rsid w:val="00530726"/>
    <w:rsid w:val="00532232"/>
    <w:rsid w:val="00532F1E"/>
    <w:rsid w:val="00533356"/>
    <w:rsid w:val="00535225"/>
    <w:rsid w:val="005355EE"/>
    <w:rsid w:val="005377ED"/>
    <w:rsid w:val="00537FFC"/>
    <w:rsid w:val="0054208C"/>
    <w:rsid w:val="0054357D"/>
    <w:rsid w:val="005437B5"/>
    <w:rsid w:val="00543F67"/>
    <w:rsid w:val="005452E4"/>
    <w:rsid w:val="005464BD"/>
    <w:rsid w:val="0054650F"/>
    <w:rsid w:val="0054729D"/>
    <w:rsid w:val="00550C0B"/>
    <w:rsid w:val="005510CB"/>
    <w:rsid w:val="005539D5"/>
    <w:rsid w:val="00553F11"/>
    <w:rsid w:val="00555A1B"/>
    <w:rsid w:val="00557086"/>
    <w:rsid w:val="005575E6"/>
    <w:rsid w:val="005624AB"/>
    <w:rsid w:val="0056300F"/>
    <w:rsid w:val="00565CA7"/>
    <w:rsid w:val="00570371"/>
    <w:rsid w:val="00570BDB"/>
    <w:rsid w:val="00571DA8"/>
    <w:rsid w:val="005730EA"/>
    <w:rsid w:val="00573675"/>
    <w:rsid w:val="00574749"/>
    <w:rsid w:val="00574B80"/>
    <w:rsid w:val="00574C34"/>
    <w:rsid w:val="00574CCE"/>
    <w:rsid w:val="005750A9"/>
    <w:rsid w:val="005755BA"/>
    <w:rsid w:val="00577615"/>
    <w:rsid w:val="00580BF3"/>
    <w:rsid w:val="00581DD6"/>
    <w:rsid w:val="005843C1"/>
    <w:rsid w:val="0058525B"/>
    <w:rsid w:val="0058721D"/>
    <w:rsid w:val="00587D49"/>
    <w:rsid w:val="00590630"/>
    <w:rsid w:val="00590703"/>
    <w:rsid w:val="0059183D"/>
    <w:rsid w:val="005937E9"/>
    <w:rsid w:val="00595E16"/>
    <w:rsid w:val="00596587"/>
    <w:rsid w:val="005968A1"/>
    <w:rsid w:val="0059792B"/>
    <w:rsid w:val="005A1334"/>
    <w:rsid w:val="005A13E1"/>
    <w:rsid w:val="005A1BFF"/>
    <w:rsid w:val="005A3FC1"/>
    <w:rsid w:val="005A5320"/>
    <w:rsid w:val="005A55B8"/>
    <w:rsid w:val="005A6A97"/>
    <w:rsid w:val="005A6B0B"/>
    <w:rsid w:val="005A6F08"/>
    <w:rsid w:val="005B101B"/>
    <w:rsid w:val="005B127F"/>
    <w:rsid w:val="005B1564"/>
    <w:rsid w:val="005B1A57"/>
    <w:rsid w:val="005B28FF"/>
    <w:rsid w:val="005B4749"/>
    <w:rsid w:val="005B4ACB"/>
    <w:rsid w:val="005B6D4E"/>
    <w:rsid w:val="005B7052"/>
    <w:rsid w:val="005B79B3"/>
    <w:rsid w:val="005C19E9"/>
    <w:rsid w:val="005C2624"/>
    <w:rsid w:val="005C4782"/>
    <w:rsid w:val="005C5667"/>
    <w:rsid w:val="005C6537"/>
    <w:rsid w:val="005D15DD"/>
    <w:rsid w:val="005D1915"/>
    <w:rsid w:val="005D2C29"/>
    <w:rsid w:val="005D3D0D"/>
    <w:rsid w:val="005D4B5F"/>
    <w:rsid w:val="005D6B14"/>
    <w:rsid w:val="005D77CF"/>
    <w:rsid w:val="005D7983"/>
    <w:rsid w:val="005D7B72"/>
    <w:rsid w:val="005E1290"/>
    <w:rsid w:val="005E130B"/>
    <w:rsid w:val="005E3AE4"/>
    <w:rsid w:val="005E3BF1"/>
    <w:rsid w:val="005E40E8"/>
    <w:rsid w:val="005E5A54"/>
    <w:rsid w:val="005E694B"/>
    <w:rsid w:val="005E7961"/>
    <w:rsid w:val="005F0934"/>
    <w:rsid w:val="005F1994"/>
    <w:rsid w:val="005F1B06"/>
    <w:rsid w:val="005F33CA"/>
    <w:rsid w:val="005F5C8F"/>
    <w:rsid w:val="0060271E"/>
    <w:rsid w:val="0060558A"/>
    <w:rsid w:val="00607200"/>
    <w:rsid w:val="006107E5"/>
    <w:rsid w:val="00614420"/>
    <w:rsid w:val="00615DC8"/>
    <w:rsid w:val="006204CC"/>
    <w:rsid w:val="00620CE7"/>
    <w:rsid w:val="00622880"/>
    <w:rsid w:val="006248D0"/>
    <w:rsid w:val="00630A04"/>
    <w:rsid w:val="00630E16"/>
    <w:rsid w:val="00633029"/>
    <w:rsid w:val="00633406"/>
    <w:rsid w:val="006340C5"/>
    <w:rsid w:val="0063487A"/>
    <w:rsid w:val="006364AF"/>
    <w:rsid w:val="0063799B"/>
    <w:rsid w:val="006401D4"/>
    <w:rsid w:val="006429D8"/>
    <w:rsid w:val="00645F5A"/>
    <w:rsid w:val="00651A06"/>
    <w:rsid w:val="0065340D"/>
    <w:rsid w:val="00653883"/>
    <w:rsid w:val="00660688"/>
    <w:rsid w:val="00660BEE"/>
    <w:rsid w:val="006617A0"/>
    <w:rsid w:val="0066412C"/>
    <w:rsid w:val="00664C35"/>
    <w:rsid w:val="00664E63"/>
    <w:rsid w:val="006658AF"/>
    <w:rsid w:val="006714BD"/>
    <w:rsid w:val="00671BB5"/>
    <w:rsid w:val="0067345C"/>
    <w:rsid w:val="00674921"/>
    <w:rsid w:val="006756CA"/>
    <w:rsid w:val="0067594A"/>
    <w:rsid w:val="00681340"/>
    <w:rsid w:val="006824FC"/>
    <w:rsid w:val="00682728"/>
    <w:rsid w:val="00686B5E"/>
    <w:rsid w:val="00691685"/>
    <w:rsid w:val="00691BB9"/>
    <w:rsid w:val="006930BA"/>
    <w:rsid w:val="00693381"/>
    <w:rsid w:val="00695DD5"/>
    <w:rsid w:val="0069629F"/>
    <w:rsid w:val="00696843"/>
    <w:rsid w:val="00697BB0"/>
    <w:rsid w:val="006A1D80"/>
    <w:rsid w:val="006A4328"/>
    <w:rsid w:val="006A470D"/>
    <w:rsid w:val="006A4D04"/>
    <w:rsid w:val="006A5D3E"/>
    <w:rsid w:val="006A6B61"/>
    <w:rsid w:val="006A73C5"/>
    <w:rsid w:val="006B01CD"/>
    <w:rsid w:val="006B3200"/>
    <w:rsid w:val="006B3D72"/>
    <w:rsid w:val="006B40FA"/>
    <w:rsid w:val="006B46B4"/>
    <w:rsid w:val="006B5B9B"/>
    <w:rsid w:val="006B7144"/>
    <w:rsid w:val="006C197D"/>
    <w:rsid w:val="006C1A4D"/>
    <w:rsid w:val="006C3413"/>
    <w:rsid w:val="006C4798"/>
    <w:rsid w:val="006C4D8E"/>
    <w:rsid w:val="006C4DB8"/>
    <w:rsid w:val="006C5F74"/>
    <w:rsid w:val="006C699E"/>
    <w:rsid w:val="006D14C7"/>
    <w:rsid w:val="006D4520"/>
    <w:rsid w:val="006D4610"/>
    <w:rsid w:val="006D6282"/>
    <w:rsid w:val="006D6323"/>
    <w:rsid w:val="006D6AC9"/>
    <w:rsid w:val="006D7862"/>
    <w:rsid w:val="006E2D19"/>
    <w:rsid w:val="006E3F6A"/>
    <w:rsid w:val="006E4526"/>
    <w:rsid w:val="006E69B3"/>
    <w:rsid w:val="006F139E"/>
    <w:rsid w:val="006F3234"/>
    <w:rsid w:val="006F3485"/>
    <w:rsid w:val="006F40BC"/>
    <w:rsid w:val="006F4361"/>
    <w:rsid w:val="006F45C7"/>
    <w:rsid w:val="006F4901"/>
    <w:rsid w:val="006F4EE4"/>
    <w:rsid w:val="006F5A99"/>
    <w:rsid w:val="006F5FC6"/>
    <w:rsid w:val="00701D2C"/>
    <w:rsid w:val="00702651"/>
    <w:rsid w:val="00702A67"/>
    <w:rsid w:val="007036E9"/>
    <w:rsid w:val="00704282"/>
    <w:rsid w:val="007060F3"/>
    <w:rsid w:val="00707B95"/>
    <w:rsid w:val="007103A6"/>
    <w:rsid w:val="007118AC"/>
    <w:rsid w:val="00711E06"/>
    <w:rsid w:val="007122B0"/>
    <w:rsid w:val="007135C6"/>
    <w:rsid w:val="0071416C"/>
    <w:rsid w:val="007148CE"/>
    <w:rsid w:val="00715526"/>
    <w:rsid w:val="00715E56"/>
    <w:rsid w:val="00716454"/>
    <w:rsid w:val="007167BC"/>
    <w:rsid w:val="00716EC6"/>
    <w:rsid w:val="007178F8"/>
    <w:rsid w:val="007212D9"/>
    <w:rsid w:val="0072374B"/>
    <w:rsid w:val="007240DC"/>
    <w:rsid w:val="0072647D"/>
    <w:rsid w:val="00726486"/>
    <w:rsid w:val="00727302"/>
    <w:rsid w:val="007273DA"/>
    <w:rsid w:val="00727503"/>
    <w:rsid w:val="00727BAC"/>
    <w:rsid w:val="00731D5D"/>
    <w:rsid w:val="007329CF"/>
    <w:rsid w:val="00733723"/>
    <w:rsid w:val="007356BA"/>
    <w:rsid w:val="0073721A"/>
    <w:rsid w:val="0073721D"/>
    <w:rsid w:val="00737AEC"/>
    <w:rsid w:val="00741902"/>
    <w:rsid w:val="00742E1E"/>
    <w:rsid w:val="00743B4A"/>
    <w:rsid w:val="00744274"/>
    <w:rsid w:val="0074571D"/>
    <w:rsid w:val="0074576E"/>
    <w:rsid w:val="00746552"/>
    <w:rsid w:val="0075005E"/>
    <w:rsid w:val="0075224D"/>
    <w:rsid w:val="00752533"/>
    <w:rsid w:val="00756F96"/>
    <w:rsid w:val="007633EA"/>
    <w:rsid w:val="007635CB"/>
    <w:rsid w:val="007638F2"/>
    <w:rsid w:val="00763E50"/>
    <w:rsid w:val="0076512E"/>
    <w:rsid w:val="00767AD6"/>
    <w:rsid w:val="00771FBA"/>
    <w:rsid w:val="0077290E"/>
    <w:rsid w:val="00774EF8"/>
    <w:rsid w:val="00775EDF"/>
    <w:rsid w:val="00777E28"/>
    <w:rsid w:val="00780BFF"/>
    <w:rsid w:val="00781721"/>
    <w:rsid w:val="007835E1"/>
    <w:rsid w:val="00784FB2"/>
    <w:rsid w:val="007851F1"/>
    <w:rsid w:val="007860C2"/>
    <w:rsid w:val="00786C5C"/>
    <w:rsid w:val="00787207"/>
    <w:rsid w:val="007874F0"/>
    <w:rsid w:val="007878E9"/>
    <w:rsid w:val="0079182D"/>
    <w:rsid w:val="007928D7"/>
    <w:rsid w:val="0079394A"/>
    <w:rsid w:val="00793AFA"/>
    <w:rsid w:val="00794209"/>
    <w:rsid w:val="00794404"/>
    <w:rsid w:val="00796559"/>
    <w:rsid w:val="0079699A"/>
    <w:rsid w:val="00796B4F"/>
    <w:rsid w:val="007A05E0"/>
    <w:rsid w:val="007A0883"/>
    <w:rsid w:val="007A1AE4"/>
    <w:rsid w:val="007A2C24"/>
    <w:rsid w:val="007A5A85"/>
    <w:rsid w:val="007A71A7"/>
    <w:rsid w:val="007A720F"/>
    <w:rsid w:val="007B2259"/>
    <w:rsid w:val="007B347E"/>
    <w:rsid w:val="007B39EC"/>
    <w:rsid w:val="007B455F"/>
    <w:rsid w:val="007B4FA6"/>
    <w:rsid w:val="007B5E96"/>
    <w:rsid w:val="007B7BEE"/>
    <w:rsid w:val="007C01ED"/>
    <w:rsid w:val="007C043E"/>
    <w:rsid w:val="007C0BCA"/>
    <w:rsid w:val="007C1DE4"/>
    <w:rsid w:val="007C5180"/>
    <w:rsid w:val="007C56A4"/>
    <w:rsid w:val="007C5AF1"/>
    <w:rsid w:val="007C5ED6"/>
    <w:rsid w:val="007C7BA4"/>
    <w:rsid w:val="007D046F"/>
    <w:rsid w:val="007D1175"/>
    <w:rsid w:val="007D197E"/>
    <w:rsid w:val="007D4257"/>
    <w:rsid w:val="007D6685"/>
    <w:rsid w:val="007D703D"/>
    <w:rsid w:val="007E2103"/>
    <w:rsid w:val="007E41FC"/>
    <w:rsid w:val="007E55A4"/>
    <w:rsid w:val="007E6615"/>
    <w:rsid w:val="007E6A72"/>
    <w:rsid w:val="007E6B18"/>
    <w:rsid w:val="007E6C12"/>
    <w:rsid w:val="007E72F8"/>
    <w:rsid w:val="007E7C2C"/>
    <w:rsid w:val="007F2A3E"/>
    <w:rsid w:val="007F2C27"/>
    <w:rsid w:val="007F3CE8"/>
    <w:rsid w:val="008032B8"/>
    <w:rsid w:val="00803708"/>
    <w:rsid w:val="00805BD9"/>
    <w:rsid w:val="00810931"/>
    <w:rsid w:val="00810E5C"/>
    <w:rsid w:val="008127E7"/>
    <w:rsid w:val="00813276"/>
    <w:rsid w:val="00813909"/>
    <w:rsid w:val="00815B9A"/>
    <w:rsid w:val="008204B9"/>
    <w:rsid w:val="00821CA4"/>
    <w:rsid w:val="00823999"/>
    <w:rsid w:val="00824306"/>
    <w:rsid w:val="00824CC3"/>
    <w:rsid w:val="00825023"/>
    <w:rsid w:val="0082687B"/>
    <w:rsid w:val="0082782D"/>
    <w:rsid w:val="00827C8A"/>
    <w:rsid w:val="00830909"/>
    <w:rsid w:val="00831B22"/>
    <w:rsid w:val="00832B9A"/>
    <w:rsid w:val="00834262"/>
    <w:rsid w:val="0083538F"/>
    <w:rsid w:val="0083700E"/>
    <w:rsid w:val="00837F9F"/>
    <w:rsid w:val="00840A0A"/>
    <w:rsid w:val="0084101C"/>
    <w:rsid w:val="00841510"/>
    <w:rsid w:val="00843327"/>
    <w:rsid w:val="008433C1"/>
    <w:rsid w:val="008441D0"/>
    <w:rsid w:val="0084521F"/>
    <w:rsid w:val="00845EB6"/>
    <w:rsid w:val="00846206"/>
    <w:rsid w:val="00847649"/>
    <w:rsid w:val="00850A57"/>
    <w:rsid w:val="00854788"/>
    <w:rsid w:val="00856047"/>
    <w:rsid w:val="0086005C"/>
    <w:rsid w:val="00863B32"/>
    <w:rsid w:val="00864580"/>
    <w:rsid w:val="00865151"/>
    <w:rsid w:val="0086603A"/>
    <w:rsid w:val="00867655"/>
    <w:rsid w:val="00870529"/>
    <w:rsid w:val="008718B0"/>
    <w:rsid w:val="00873AEF"/>
    <w:rsid w:val="00874127"/>
    <w:rsid w:val="00876581"/>
    <w:rsid w:val="00876D5E"/>
    <w:rsid w:val="00877D36"/>
    <w:rsid w:val="008836DE"/>
    <w:rsid w:val="00883744"/>
    <w:rsid w:val="00883E44"/>
    <w:rsid w:val="00884517"/>
    <w:rsid w:val="00884B22"/>
    <w:rsid w:val="00885BA1"/>
    <w:rsid w:val="008874AC"/>
    <w:rsid w:val="00891CB2"/>
    <w:rsid w:val="00891F39"/>
    <w:rsid w:val="0089273F"/>
    <w:rsid w:val="008947E1"/>
    <w:rsid w:val="00895F92"/>
    <w:rsid w:val="00897322"/>
    <w:rsid w:val="00897796"/>
    <w:rsid w:val="00897D37"/>
    <w:rsid w:val="008A09AD"/>
    <w:rsid w:val="008A22A9"/>
    <w:rsid w:val="008A258D"/>
    <w:rsid w:val="008A2D00"/>
    <w:rsid w:val="008A3A23"/>
    <w:rsid w:val="008A50D0"/>
    <w:rsid w:val="008A59FD"/>
    <w:rsid w:val="008A5BBF"/>
    <w:rsid w:val="008B0070"/>
    <w:rsid w:val="008B28F2"/>
    <w:rsid w:val="008B2FF5"/>
    <w:rsid w:val="008B6487"/>
    <w:rsid w:val="008B7E33"/>
    <w:rsid w:val="008C4E15"/>
    <w:rsid w:val="008C5858"/>
    <w:rsid w:val="008C64C7"/>
    <w:rsid w:val="008C6D6C"/>
    <w:rsid w:val="008C7D14"/>
    <w:rsid w:val="008D0F3D"/>
    <w:rsid w:val="008D1C5C"/>
    <w:rsid w:val="008D1F18"/>
    <w:rsid w:val="008D7005"/>
    <w:rsid w:val="008D75DB"/>
    <w:rsid w:val="008D78DD"/>
    <w:rsid w:val="008E08FA"/>
    <w:rsid w:val="008E20A6"/>
    <w:rsid w:val="008E3200"/>
    <w:rsid w:val="008E3D03"/>
    <w:rsid w:val="008E4129"/>
    <w:rsid w:val="008E50A9"/>
    <w:rsid w:val="008E6B3D"/>
    <w:rsid w:val="008E7BCC"/>
    <w:rsid w:val="008F2D7B"/>
    <w:rsid w:val="008F2FFB"/>
    <w:rsid w:val="008F3AE0"/>
    <w:rsid w:val="008F439F"/>
    <w:rsid w:val="008F4F21"/>
    <w:rsid w:val="008F6270"/>
    <w:rsid w:val="00901D08"/>
    <w:rsid w:val="009028E5"/>
    <w:rsid w:val="00902A5F"/>
    <w:rsid w:val="009041D1"/>
    <w:rsid w:val="009048B5"/>
    <w:rsid w:val="00906D09"/>
    <w:rsid w:val="00910CE1"/>
    <w:rsid w:val="00913CDC"/>
    <w:rsid w:val="00913F12"/>
    <w:rsid w:val="009144CD"/>
    <w:rsid w:val="00914C8D"/>
    <w:rsid w:val="00914D4D"/>
    <w:rsid w:val="00916A78"/>
    <w:rsid w:val="00920215"/>
    <w:rsid w:val="00920421"/>
    <w:rsid w:val="00920EB6"/>
    <w:rsid w:val="009210B0"/>
    <w:rsid w:val="0092341B"/>
    <w:rsid w:val="00924F4C"/>
    <w:rsid w:val="0092582B"/>
    <w:rsid w:val="0092780A"/>
    <w:rsid w:val="00930F44"/>
    <w:rsid w:val="0093123C"/>
    <w:rsid w:val="0093342A"/>
    <w:rsid w:val="00934520"/>
    <w:rsid w:val="00934EA4"/>
    <w:rsid w:val="00936DB1"/>
    <w:rsid w:val="00937B3A"/>
    <w:rsid w:val="009400CA"/>
    <w:rsid w:val="00940258"/>
    <w:rsid w:val="00940A00"/>
    <w:rsid w:val="00942AEC"/>
    <w:rsid w:val="009431AC"/>
    <w:rsid w:val="00945F0C"/>
    <w:rsid w:val="00946921"/>
    <w:rsid w:val="00946D29"/>
    <w:rsid w:val="00946D7F"/>
    <w:rsid w:val="00953495"/>
    <w:rsid w:val="00953FE7"/>
    <w:rsid w:val="00954C30"/>
    <w:rsid w:val="009604AC"/>
    <w:rsid w:val="00960C2C"/>
    <w:rsid w:val="00962C86"/>
    <w:rsid w:val="00963554"/>
    <w:rsid w:val="00964AD7"/>
    <w:rsid w:val="00964B93"/>
    <w:rsid w:val="009658C7"/>
    <w:rsid w:val="00970468"/>
    <w:rsid w:val="009729AE"/>
    <w:rsid w:val="0097792F"/>
    <w:rsid w:val="00980DFE"/>
    <w:rsid w:val="00982B8F"/>
    <w:rsid w:val="00983007"/>
    <w:rsid w:val="0098350C"/>
    <w:rsid w:val="009839C2"/>
    <w:rsid w:val="009871CE"/>
    <w:rsid w:val="0099059B"/>
    <w:rsid w:val="0099170B"/>
    <w:rsid w:val="009919B1"/>
    <w:rsid w:val="009923DD"/>
    <w:rsid w:val="0099483A"/>
    <w:rsid w:val="009A2A3B"/>
    <w:rsid w:val="009A3DC0"/>
    <w:rsid w:val="009A4ED8"/>
    <w:rsid w:val="009A6EB8"/>
    <w:rsid w:val="009A76B9"/>
    <w:rsid w:val="009B0C70"/>
    <w:rsid w:val="009B0E20"/>
    <w:rsid w:val="009B10CE"/>
    <w:rsid w:val="009B1AA9"/>
    <w:rsid w:val="009B1B8C"/>
    <w:rsid w:val="009B1E0F"/>
    <w:rsid w:val="009B7E6B"/>
    <w:rsid w:val="009C4411"/>
    <w:rsid w:val="009C6823"/>
    <w:rsid w:val="009C6C76"/>
    <w:rsid w:val="009D04DD"/>
    <w:rsid w:val="009D5266"/>
    <w:rsid w:val="009D5C21"/>
    <w:rsid w:val="009D604D"/>
    <w:rsid w:val="009D62B1"/>
    <w:rsid w:val="009D6B31"/>
    <w:rsid w:val="009D7864"/>
    <w:rsid w:val="009E22B0"/>
    <w:rsid w:val="009E27C3"/>
    <w:rsid w:val="009E3DE3"/>
    <w:rsid w:val="009E4092"/>
    <w:rsid w:val="009E4901"/>
    <w:rsid w:val="009E6699"/>
    <w:rsid w:val="009F072C"/>
    <w:rsid w:val="009F0FDE"/>
    <w:rsid w:val="009F2F8C"/>
    <w:rsid w:val="009F4EF4"/>
    <w:rsid w:val="009F5F09"/>
    <w:rsid w:val="00A014A4"/>
    <w:rsid w:val="00A033A5"/>
    <w:rsid w:val="00A04D0D"/>
    <w:rsid w:val="00A0544F"/>
    <w:rsid w:val="00A07213"/>
    <w:rsid w:val="00A07AE1"/>
    <w:rsid w:val="00A1016C"/>
    <w:rsid w:val="00A10601"/>
    <w:rsid w:val="00A12D7C"/>
    <w:rsid w:val="00A14020"/>
    <w:rsid w:val="00A14D45"/>
    <w:rsid w:val="00A162FE"/>
    <w:rsid w:val="00A16DD2"/>
    <w:rsid w:val="00A17786"/>
    <w:rsid w:val="00A17B7E"/>
    <w:rsid w:val="00A20571"/>
    <w:rsid w:val="00A213E2"/>
    <w:rsid w:val="00A22A1F"/>
    <w:rsid w:val="00A24128"/>
    <w:rsid w:val="00A25EE3"/>
    <w:rsid w:val="00A27042"/>
    <w:rsid w:val="00A279E0"/>
    <w:rsid w:val="00A3055F"/>
    <w:rsid w:val="00A30BFB"/>
    <w:rsid w:val="00A31781"/>
    <w:rsid w:val="00A32374"/>
    <w:rsid w:val="00A34269"/>
    <w:rsid w:val="00A34E6F"/>
    <w:rsid w:val="00A36D8E"/>
    <w:rsid w:val="00A375CB"/>
    <w:rsid w:val="00A40936"/>
    <w:rsid w:val="00A40C49"/>
    <w:rsid w:val="00A41104"/>
    <w:rsid w:val="00A4553F"/>
    <w:rsid w:val="00A47DA0"/>
    <w:rsid w:val="00A47EA8"/>
    <w:rsid w:val="00A505B7"/>
    <w:rsid w:val="00A51794"/>
    <w:rsid w:val="00A51D92"/>
    <w:rsid w:val="00A544A4"/>
    <w:rsid w:val="00A55B97"/>
    <w:rsid w:val="00A60129"/>
    <w:rsid w:val="00A601C7"/>
    <w:rsid w:val="00A62D53"/>
    <w:rsid w:val="00A65167"/>
    <w:rsid w:val="00A65D58"/>
    <w:rsid w:val="00A66694"/>
    <w:rsid w:val="00A6705F"/>
    <w:rsid w:val="00A709C1"/>
    <w:rsid w:val="00A71580"/>
    <w:rsid w:val="00A71E56"/>
    <w:rsid w:val="00A73ED9"/>
    <w:rsid w:val="00A7420E"/>
    <w:rsid w:val="00A74649"/>
    <w:rsid w:val="00A74BB6"/>
    <w:rsid w:val="00A74EDB"/>
    <w:rsid w:val="00A7539C"/>
    <w:rsid w:val="00A75AE1"/>
    <w:rsid w:val="00A76762"/>
    <w:rsid w:val="00A77875"/>
    <w:rsid w:val="00A804A3"/>
    <w:rsid w:val="00A811D6"/>
    <w:rsid w:val="00A81774"/>
    <w:rsid w:val="00A82A78"/>
    <w:rsid w:val="00A82B06"/>
    <w:rsid w:val="00A82BD4"/>
    <w:rsid w:val="00A82CE4"/>
    <w:rsid w:val="00A8369F"/>
    <w:rsid w:val="00A83A65"/>
    <w:rsid w:val="00A9069A"/>
    <w:rsid w:val="00A90AE6"/>
    <w:rsid w:val="00A90B1A"/>
    <w:rsid w:val="00A914C1"/>
    <w:rsid w:val="00A92B2B"/>
    <w:rsid w:val="00A93431"/>
    <w:rsid w:val="00A94BAF"/>
    <w:rsid w:val="00A9696D"/>
    <w:rsid w:val="00AA080A"/>
    <w:rsid w:val="00AA1866"/>
    <w:rsid w:val="00AA7C6E"/>
    <w:rsid w:val="00AA7E94"/>
    <w:rsid w:val="00AB089C"/>
    <w:rsid w:val="00AB0CBA"/>
    <w:rsid w:val="00AB12F4"/>
    <w:rsid w:val="00AB165B"/>
    <w:rsid w:val="00AB1D7A"/>
    <w:rsid w:val="00AB5F9A"/>
    <w:rsid w:val="00AC2C41"/>
    <w:rsid w:val="00AC318F"/>
    <w:rsid w:val="00AC3B21"/>
    <w:rsid w:val="00AC46DE"/>
    <w:rsid w:val="00AD0370"/>
    <w:rsid w:val="00AD0E5D"/>
    <w:rsid w:val="00AD3B4F"/>
    <w:rsid w:val="00AD554D"/>
    <w:rsid w:val="00AD569B"/>
    <w:rsid w:val="00AD62C5"/>
    <w:rsid w:val="00AD797D"/>
    <w:rsid w:val="00AE2B68"/>
    <w:rsid w:val="00AE4836"/>
    <w:rsid w:val="00AE6B02"/>
    <w:rsid w:val="00AE6D9C"/>
    <w:rsid w:val="00AE7877"/>
    <w:rsid w:val="00AF018E"/>
    <w:rsid w:val="00AF389A"/>
    <w:rsid w:val="00AF3EF5"/>
    <w:rsid w:val="00AF6A95"/>
    <w:rsid w:val="00B000B7"/>
    <w:rsid w:val="00B00953"/>
    <w:rsid w:val="00B011F0"/>
    <w:rsid w:val="00B03DDE"/>
    <w:rsid w:val="00B04E4F"/>
    <w:rsid w:val="00B06A2D"/>
    <w:rsid w:val="00B073F8"/>
    <w:rsid w:val="00B0770B"/>
    <w:rsid w:val="00B10DEA"/>
    <w:rsid w:val="00B11736"/>
    <w:rsid w:val="00B11797"/>
    <w:rsid w:val="00B12200"/>
    <w:rsid w:val="00B14354"/>
    <w:rsid w:val="00B1447D"/>
    <w:rsid w:val="00B1533A"/>
    <w:rsid w:val="00B15DE8"/>
    <w:rsid w:val="00B1766B"/>
    <w:rsid w:val="00B24321"/>
    <w:rsid w:val="00B2466C"/>
    <w:rsid w:val="00B278C3"/>
    <w:rsid w:val="00B3098C"/>
    <w:rsid w:val="00B31B31"/>
    <w:rsid w:val="00B32389"/>
    <w:rsid w:val="00B33069"/>
    <w:rsid w:val="00B3394A"/>
    <w:rsid w:val="00B33CAE"/>
    <w:rsid w:val="00B34417"/>
    <w:rsid w:val="00B374F3"/>
    <w:rsid w:val="00B37B1A"/>
    <w:rsid w:val="00B41FD5"/>
    <w:rsid w:val="00B43B04"/>
    <w:rsid w:val="00B451EF"/>
    <w:rsid w:val="00B4672C"/>
    <w:rsid w:val="00B469C3"/>
    <w:rsid w:val="00B4789B"/>
    <w:rsid w:val="00B5509D"/>
    <w:rsid w:val="00B55D9A"/>
    <w:rsid w:val="00B55DE2"/>
    <w:rsid w:val="00B55F29"/>
    <w:rsid w:val="00B577C1"/>
    <w:rsid w:val="00B578F4"/>
    <w:rsid w:val="00B57E55"/>
    <w:rsid w:val="00B6480B"/>
    <w:rsid w:val="00B67D9B"/>
    <w:rsid w:val="00B709FD"/>
    <w:rsid w:val="00B71871"/>
    <w:rsid w:val="00B71B69"/>
    <w:rsid w:val="00B75BDF"/>
    <w:rsid w:val="00B77375"/>
    <w:rsid w:val="00B775E6"/>
    <w:rsid w:val="00B77E4E"/>
    <w:rsid w:val="00B80555"/>
    <w:rsid w:val="00B83E23"/>
    <w:rsid w:val="00B84CCD"/>
    <w:rsid w:val="00B87BCF"/>
    <w:rsid w:val="00B91EBF"/>
    <w:rsid w:val="00B920F0"/>
    <w:rsid w:val="00B94C42"/>
    <w:rsid w:val="00B96A8D"/>
    <w:rsid w:val="00BA1BC6"/>
    <w:rsid w:val="00BA263B"/>
    <w:rsid w:val="00BA2CCD"/>
    <w:rsid w:val="00BA4737"/>
    <w:rsid w:val="00BA6E9F"/>
    <w:rsid w:val="00BA6F2C"/>
    <w:rsid w:val="00BB0CD5"/>
    <w:rsid w:val="00BB3F2B"/>
    <w:rsid w:val="00BB4A76"/>
    <w:rsid w:val="00BB4EE0"/>
    <w:rsid w:val="00BB782F"/>
    <w:rsid w:val="00BC0262"/>
    <w:rsid w:val="00BC070B"/>
    <w:rsid w:val="00BC0F2D"/>
    <w:rsid w:val="00BC0FC0"/>
    <w:rsid w:val="00BC255E"/>
    <w:rsid w:val="00BC422D"/>
    <w:rsid w:val="00BC590E"/>
    <w:rsid w:val="00BC6CDC"/>
    <w:rsid w:val="00BC7E23"/>
    <w:rsid w:val="00BD4528"/>
    <w:rsid w:val="00BD60E6"/>
    <w:rsid w:val="00BD7708"/>
    <w:rsid w:val="00BE0053"/>
    <w:rsid w:val="00BE1D1E"/>
    <w:rsid w:val="00BE36A8"/>
    <w:rsid w:val="00BE6FED"/>
    <w:rsid w:val="00BF3879"/>
    <w:rsid w:val="00BF438C"/>
    <w:rsid w:val="00BF45C6"/>
    <w:rsid w:val="00BF4FEC"/>
    <w:rsid w:val="00BF6E06"/>
    <w:rsid w:val="00BF6FF8"/>
    <w:rsid w:val="00BF7772"/>
    <w:rsid w:val="00BF7E77"/>
    <w:rsid w:val="00C00570"/>
    <w:rsid w:val="00C00FAE"/>
    <w:rsid w:val="00C011BA"/>
    <w:rsid w:val="00C023F6"/>
    <w:rsid w:val="00C05758"/>
    <w:rsid w:val="00C12C16"/>
    <w:rsid w:val="00C14A85"/>
    <w:rsid w:val="00C1661E"/>
    <w:rsid w:val="00C20245"/>
    <w:rsid w:val="00C21DB7"/>
    <w:rsid w:val="00C22270"/>
    <w:rsid w:val="00C2308E"/>
    <w:rsid w:val="00C233CF"/>
    <w:rsid w:val="00C259F1"/>
    <w:rsid w:val="00C2672B"/>
    <w:rsid w:val="00C27437"/>
    <w:rsid w:val="00C27FC9"/>
    <w:rsid w:val="00C344DC"/>
    <w:rsid w:val="00C345BB"/>
    <w:rsid w:val="00C41798"/>
    <w:rsid w:val="00C4210D"/>
    <w:rsid w:val="00C43938"/>
    <w:rsid w:val="00C43C48"/>
    <w:rsid w:val="00C455EF"/>
    <w:rsid w:val="00C45C6B"/>
    <w:rsid w:val="00C4649B"/>
    <w:rsid w:val="00C47AC3"/>
    <w:rsid w:val="00C517F9"/>
    <w:rsid w:val="00C52670"/>
    <w:rsid w:val="00C528ED"/>
    <w:rsid w:val="00C52E20"/>
    <w:rsid w:val="00C52E3E"/>
    <w:rsid w:val="00C55503"/>
    <w:rsid w:val="00C650A9"/>
    <w:rsid w:val="00C71F27"/>
    <w:rsid w:val="00C73BEA"/>
    <w:rsid w:val="00C74025"/>
    <w:rsid w:val="00C76366"/>
    <w:rsid w:val="00C82F51"/>
    <w:rsid w:val="00C83B38"/>
    <w:rsid w:val="00C83E19"/>
    <w:rsid w:val="00C84F43"/>
    <w:rsid w:val="00C856D2"/>
    <w:rsid w:val="00C86B74"/>
    <w:rsid w:val="00C87ABC"/>
    <w:rsid w:val="00C91575"/>
    <w:rsid w:val="00C92B87"/>
    <w:rsid w:val="00C92DA2"/>
    <w:rsid w:val="00C93BA3"/>
    <w:rsid w:val="00C9414F"/>
    <w:rsid w:val="00C95F55"/>
    <w:rsid w:val="00C962FA"/>
    <w:rsid w:val="00C974A4"/>
    <w:rsid w:val="00C975C2"/>
    <w:rsid w:val="00CA0814"/>
    <w:rsid w:val="00CA0ECF"/>
    <w:rsid w:val="00CA1E29"/>
    <w:rsid w:val="00CA21B2"/>
    <w:rsid w:val="00CA2723"/>
    <w:rsid w:val="00CA274E"/>
    <w:rsid w:val="00CA2CA1"/>
    <w:rsid w:val="00CA68D8"/>
    <w:rsid w:val="00CA74CC"/>
    <w:rsid w:val="00CB0F22"/>
    <w:rsid w:val="00CB26A3"/>
    <w:rsid w:val="00CB29B1"/>
    <w:rsid w:val="00CB6959"/>
    <w:rsid w:val="00CB71B0"/>
    <w:rsid w:val="00CC224D"/>
    <w:rsid w:val="00CC2FCA"/>
    <w:rsid w:val="00CC3718"/>
    <w:rsid w:val="00CC47C3"/>
    <w:rsid w:val="00CC485A"/>
    <w:rsid w:val="00CC4EFC"/>
    <w:rsid w:val="00CD3D9E"/>
    <w:rsid w:val="00CD4E76"/>
    <w:rsid w:val="00CD4F76"/>
    <w:rsid w:val="00CD6024"/>
    <w:rsid w:val="00CD6045"/>
    <w:rsid w:val="00CD7101"/>
    <w:rsid w:val="00CD7BCA"/>
    <w:rsid w:val="00CE45C5"/>
    <w:rsid w:val="00CE54C5"/>
    <w:rsid w:val="00CE6D02"/>
    <w:rsid w:val="00CF1892"/>
    <w:rsid w:val="00CF4AB6"/>
    <w:rsid w:val="00CF502A"/>
    <w:rsid w:val="00CF5727"/>
    <w:rsid w:val="00CF7EE9"/>
    <w:rsid w:val="00D00FF7"/>
    <w:rsid w:val="00D02468"/>
    <w:rsid w:val="00D027C3"/>
    <w:rsid w:val="00D040D9"/>
    <w:rsid w:val="00D04C99"/>
    <w:rsid w:val="00D05DEA"/>
    <w:rsid w:val="00D0635E"/>
    <w:rsid w:val="00D06E87"/>
    <w:rsid w:val="00D06F01"/>
    <w:rsid w:val="00D0777F"/>
    <w:rsid w:val="00D0798A"/>
    <w:rsid w:val="00D10296"/>
    <w:rsid w:val="00D11422"/>
    <w:rsid w:val="00D12526"/>
    <w:rsid w:val="00D13E55"/>
    <w:rsid w:val="00D14C9A"/>
    <w:rsid w:val="00D17F54"/>
    <w:rsid w:val="00D20ECB"/>
    <w:rsid w:val="00D21BB9"/>
    <w:rsid w:val="00D221EE"/>
    <w:rsid w:val="00D24240"/>
    <w:rsid w:val="00D2451F"/>
    <w:rsid w:val="00D24985"/>
    <w:rsid w:val="00D24C98"/>
    <w:rsid w:val="00D25871"/>
    <w:rsid w:val="00D2590D"/>
    <w:rsid w:val="00D33CC1"/>
    <w:rsid w:val="00D3447E"/>
    <w:rsid w:val="00D348BC"/>
    <w:rsid w:val="00D36440"/>
    <w:rsid w:val="00D36694"/>
    <w:rsid w:val="00D36E84"/>
    <w:rsid w:val="00D40C66"/>
    <w:rsid w:val="00D413B6"/>
    <w:rsid w:val="00D464C6"/>
    <w:rsid w:val="00D47E6C"/>
    <w:rsid w:val="00D5004B"/>
    <w:rsid w:val="00D50C6D"/>
    <w:rsid w:val="00D54C68"/>
    <w:rsid w:val="00D60B44"/>
    <w:rsid w:val="00D61307"/>
    <w:rsid w:val="00D61F87"/>
    <w:rsid w:val="00D62063"/>
    <w:rsid w:val="00D630F1"/>
    <w:rsid w:val="00D637F3"/>
    <w:rsid w:val="00D63A7C"/>
    <w:rsid w:val="00D63E12"/>
    <w:rsid w:val="00D65667"/>
    <w:rsid w:val="00D6652A"/>
    <w:rsid w:val="00D666F0"/>
    <w:rsid w:val="00D70F94"/>
    <w:rsid w:val="00D71D22"/>
    <w:rsid w:val="00D74D93"/>
    <w:rsid w:val="00D74EA5"/>
    <w:rsid w:val="00D75976"/>
    <w:rsid w:val="00D77B52"/>
    <w:rsid w:val="00D8106A"/>
    <w:rsid w:val="00D825EB"/>
    <w:rsid w:val="00D831CE"/>
    <w:rsid w:val="00D839D6"/>
    <w:rsid w:val="00D83ACC"/>
    <w:rsid w:val="00D83CA9"/>
    <w:rsid w:val="00D877AF"/>
    <w:rsid w:val="00D9059B"/>
    <w:rsid w:val="00D91651"/>
    <w:rsid w:val="00D9175D"/>
    <w:rsid w:val="00D92B73"/>
    <w:rsid w:val="00D933A8"/>
    <w:rsid w:val="00D9549E"/>
    <w:rsid w:val="00D95E2F"/>
    <w:rsid w:val="00D97826"/>
    <w:rsid w:val="00D97FB1"/>
    <w:rsid w:val="00DA017B"/>
    <w:rsid w:val="00DA1A94"/>
    <w:rsid w:val="00DA3793"/>
    <w:rsid w:val="00DA37B1"/>
    <w:rsid w:val="00DA42FE"/>
    <w:rsid w:val="00DA47D2"/>
    <w:rsid w:val="00DA505C"/>
    <w:rsid w:val="00DA608F"/>
    <w:rsid w:val="00DA6577"/>
    <w:rsid w:val="00DA7FE4"/>
    <w:rsid w:val="00DB1670"/>
    <w:rsid w:val="00DB4389"/>
    <w:rsid w:val="00DB57FB"/>
    <w:rsid w:val="00DB5C49"/>
    <w:rsid w:val="00DB76B5"/>
    <w:rsid w:val="00DC38BF"/>
    <w:rsid w:val="00DC4832"/>
    <w:rsid w:val="00DC6D51"/>
    <w:rsid w:val="00DD00E3"/>
    <w:rsid w:val="00DD4ACA"/>
    <w:rsid w:val="00DD64B6"/>
    <w:rsid w:val="00DE1B4E"/>
    <w:rsid w:val="00DE3ECB"/>
    <w:rsid w:val="00DE6A9B"/>
    <w:rsid w:val="00DE6C18"/>
    <w:rsid w:val="00DE7F35"/>
    <w:rsid w:val="00DF03BF"/>
    <w:rsid w:val="00DF1F8F"/>
    <w:rsid w:val="00DF20DF"/>
    <w:rsid w:val="00DF37A0"/>
    <w:rsid w:val="00DF43EE"/>
    <w:rsid w:val="00E02F9E"/>
    <w:rsid w:val="00E035CB"/>
    <w:rsid w:val="00E052A1"/>
    <w:rsid w:val="00E0604C"/>
    <w:rsid w:val="00E07190"/>
    <w:rsid w:val="00E102CB"/>
    <w:rsid w:val="00E11920"/>
    <w:rsid w:val="00E14A9C"/>
    <w:rsid w:val="00E1734B"/>
    <w:rsid w:val="00E17DA1"/>
    <w:rsid w:val="00E2057D"/>
    <w:rsid w:val="00E2150C"/>
    <w:rsid w:val="00E223D6"/>
    <w:rsid w:val="00E2297B"/>
    <w:rsid w:val="00E24127"/>
    <w:rsid w:val="00E27F27"/>
    <w:rsid w:val="00E3280D"/>
    <w:rsid w:val="00E32F5E"/>
    <w:rsid w:val="00E33C89"/>
    <w:rsid w:val="00E33F21"/>
    <w:rsid w:val="00E348A1"/>
    <w:rsid w:val="00E34BAC"/>
    <w:rsid w:val="00E35B42"/>
    <w:rsid w:val="00E40F53"/>
    <w:rsid w:val="00E4401C"/>
    <w:rsid w:val="00E44190"/>
    <w:rsid w:val="00E44EE3"/>
    <w:rsid w:val="00E45320"/>
    <w:rsid w:val="00E45E5E"/>
    <w:rsid w:val="00E50E96"/>
    <w:rsid w:val="00E51766"/>
    <w:rsid w:val="00E53846"/>
    <w:rsid w:val="00E54329"/>
    <w:rsid w:val="00E56953"/>
    <w:rsid w:val="00E6073E"/>
    <w:rsid w:val="00E60DAD"/>
    <w:rsid w:val="00E61B25"/>
    <w:rsid w:val="00E62E58"/>
    <w:rsid w:val="00E62EA3"/>
    <w:rsid w:val="00E645A6"/>
    <w:rsid w:val="00E64980"/>
    <w:rsid w:val="00E64FF8"/>
    <w:rsid w:val="00E67A1C"/>
    <w:rsid w:val="00E67C14"/>
    <w:rsid w:val="00E67C3A"/>
    <w:rsid w:val="00E7034F"/>
    <w:rsid w:val="00E70AEC"/>
    <w:rsid w:val="00E725ED"/>
    <w:rsid w:val="00E72C16"/>
    <w:rsid w:val="00E72DB9"/>
    <w:rsid w:val="00E72F9E"/>
    <w:rsid w:val="00E74AA1"/>
    <w:rsid w:val="00E74FEB"/>
    <w:rsid w:val="00E75E78"/>
    <w:rsid w:val="00E7754A"/>
    <w:rsid w:val="00E80444"/>
    <w:rsid w:val="00E81872"/>
    <w:rsid w:val="00E861E0"/>
    <w:rsid w:val="00E87D21"/>
    <w:rsid w:val="00E902C5"/>
    <w:rsid w:val="00E903A1"/>
    <w:rsid w:val="00E9113E"/>
    <w:rsid w:val="00E9203D"/>
    <w:rsid w:val="00E93A08"/>
    <w:rsid w:val="00E945C7"/>
    <w:rsid w:val="00E9596E"/>
    <w:rsid w:val="00E96D59"/>
    <w:rsid w:val="00E970E0"/>
    <w:rsid w:val="00EA0B98"/>
    <w:rsid w:val="00EA17B9"/>
    <w:rsid w:val="00EA19F1"/>
    <w:rsid w:val="00EA579B"/>
    <w:rsid w:val="00EB23DC"/>
    <w:rsid w:val="00EB29AB"/>
    <w:rsid w:val="00EB2DA5"/>
    <w:rsid w:val="00EB4984"/>
    <w:rsid w:val="00EB5E5C"/>
    <w:rsid w:val="00EC0169"/>
    <w:rsid w:val="00EC2436"/>
    <w:rsid w:val="00EC34C8"/>
    <w:rsid w:val="00EC6401"/>
    <w:rsid w:val="00ED053C"/>
    <w:rsid w:val="00ED0B46"/>
    <w:rsid w:val="00ED183A"/>
    <w:rsid w:val="00ED1CC6"/>
    <w:rsid w:val="00ED2F36"/>
    <w:rsid w:val="00ED30BE"/>
    <w:rsid w:val="00ED447A"/>
    <w:rsid w:val="00ED45C0"/>
    <w:rsid w:val="00ED4647"/>
    <w:rsid w:val="00ED4F6E"/>
    <w:rsid w:val="00ED5EAA"/>
    <w:rsid w:val="00EE0BE2"/>
    <w:rsid w:val="00EE18D4"/>
    <w:rsid w:val="00EE2A8F"/>
    <w:rsid w:val="00EE3FE3"/>
    <w:rsid w:val="00EE54BA"/>
    <w:rsid w:val="00EE683C"/>
    <w:rsid w:val="00EE7297"/>
    <w:rsid w:val="00EE7870"/>
    <w:rsid w:val="00EF1CCB"/>
    <w:rsid w:val="00EF3D53"/>
    <w:rsid w:val="00EF70B2"/>
    <w:rsid w:val="00EF70DD"/>
    <w:rsid w:val="00EF74B4"/>
    <w:rsid w:val="00F004FB"/>
    <w:rsid w:val="00F0058D"/>
    <w:rsid w:val="00F00B12"/>
    <w:rsid w:val="00F00DD9"/>
    <w:rsid w:val="00F00F3C"/>
    <w:rsid w:val="00F02C84"/>
    <w:rsid w:val="00F05149"/>
    <w:rsid w:val="00F07051"/>
    <w:rsid w:val="00F11947"/>
    <w:rsid w:val="00F13E90"/>
    <w:rsid w:val="00F14FC8"/>
    <w:rsid w:val="00F15A08"/>
    <w:rsid w:val="00F16109"/>
    <w:rsid w:val="00F1731D"/>
    <w:rsid w:val="00F173BF"/>
    <w:rsid w:val="00F20871"/>
    <w:rsid w:val="00F20E48"/>
    <w:rsid w:val="00F22C68"/>
    <w:rsid w:val="00F24380"/>
    <w:rsid w:val="00F24E5F"/>
    <w:rsid w:val="00F26E21"/>
    <w:rsid w:val="00F30A44"/>
    <w:rsid w:val="00F31FCF"/>
    <w:rsid w:val="00F322E6"/>
    <w:rsid w:val="00F32B1C"/>
    <w:rsid w:val="00F33304"/>
    <w:rsid w:val="00F357C3"/>
    <w:rsid w:val="00F36515"/>
    <w:rsid w:val="00F40E03"/>
    <w:rsid w:val="00F43636"/>
    <w:rsid w:val="00F4580F"/>
    <w:rsid w:val="00F4601F"/>
    <w:rsid w:val="00F465E6"/>
    <w:rsid w:val="00F50F86"/>
    <w:rsid w:val="00F51809"/>
    <w:rsid w:val="00F51CEF"/>
    <w:rsid w:val="00F51F94"/>
    <w:rsid w:val="00F524E5"/>
    <w:rsid w:val="00F5365F"/>
    <w:rsid w:val="00F54C28"/>
    <w:rsid w:val="00F600ED"/>
    <w:rsid w:val="00F62259"/>
    <w:rsid w:val="00F627C8"/>
    <w:rsid w:val="00F64CD3"/>
    <w:rsid w:val="00F65A61"/>
    <w:rsid w:val="00F679E0"/>
    <w:rsid w:val="00F70C79"/>
    <w:rsid w:val="00F71278"/>
    <w:rsid w:val="00F748A5"/>
    <w:rsid w:val="00F7644D"/>
    <w:rsid w:val="00F77061"/>
    <w:rsid w:val="00F828C2"/>
    <w:rsid w:val="00F830FB"/>
    <w:rsid w:val="00F843C3"/>
    <w:rsid w:val="00F844EB"/>
    <w:rsid w:val="00F863B0"/>
    <w:rsid w:val="00F864BD"/>
    <w:rsid w:val="00F864E5"/>
    <w:rsid w:val="00F87D97"/>
    <w:rsid w:val="00F9214B"/>
    <w:rsid w:val="00F922C6"/>
    <w:rsid w:val="00F92D6C"/>
    <w:rsid w:val="00F943A7"/>
    <w:rsid w:val="00F96BED"/>
    <w:rsid w:val="00F97315"/>
    <w:rsid w:val="00F97B92"/>
    <w:rsid w:val="00F97F92"/>
    <w:rsid w:val="00FA35F4"/>
    <w:rsid w:val="00FA61F9"/>
    <w:rsid w:val="00FA724C"/>
    <w:rsid w:val="00FA77D2"/>
    <w:rsid w:val="00FB0303"/>
    <w:rsid w:val="00FB060F"/>
    <w:rsid w:val="00FB6D6B"/>
    <w:rsid w:val="00FB7199"/>
    <w:rsid w:val="00FB7385"/>
    <w:rsid w:val="00FB79B0"/>
    <w:rsid w:val="00FC08B3"/>
    <w:rsid w:val="00FC1A62"/>
    <w:rsid w:val="00FC216A"/>
    <w:rsid w:val="00FC463D"/>
    <w:rsid w:val="00FC4EB9"/>
    <w:rsid w:val="00FC5130"/>
    <w:rsid w:val="00FD0908"/>
    <w:rsid w:val="00FD1A59"/>
    <w:rsid w:val="00FD32D7"/>
    <w:rsid w:val="00FD54DD"/>
    <w:rsid w:val="00FD58FB"/>
    <w:rsid w:val="00FD5B33"/>
    <w:rsid w:val="00FD5C49"/>
    <w:rsid w:val="00FD615D"/>
    <w:rsid w:val="00FE0504"/>
    <w:rsid w:val="00FE0981"/>
    <w:rsid w:val="00FE0C73"/>
    <w:rsid w:val="00FE12FB"/>
    <w:rsid w:val="00FE20DA"/>
    <w:rsid w:val="00FE3D6D"/>
    <w:rsid w:val="00FE4886"/>
    <w:rsid w:val="00FE4E4B"/>
    <w:rsid w:val="00FE53E7"/>
    <w:rsid w:val="00FE7111"/>
    <w:rsid w:val="00FE739E"/>
    <w:rsid w:val="00FE7D14"/>
    <w:rsid w:val="00FF047C"/>
    <w:rsid w:val="00FF2728"/>
    <w:rsid w:val="00FF2F73"/>
    <w:rsid w:val="00FF3A04"/>
    <w:rsid w:val="00FF4671"/>
    <w:rsid w:val="00FF5154"/>
    <w:rsid w:val="01F90F44"/>
    <w:rsid w:val="02C24BF1"/>
    <w:rsid w:val="036E4623"/>
    <w:rsid w:val="03B65EE5"/>
    <w:rsid w:val="043F668F"/>
    <w:rsid w:val="04AA3B27"/>
    <w:rsid w:val="054D119E"/>
    <w:rsid w:val="056F42AF"/>
    <w:rsid w:val="05F257ED"/>
    <w:rsid w:val="06394CDF"/>
    <w:rsid w:val="06BB52C6"/>
    <w:rsid w:val="07AA65AE"/>
    <w:rsid w:val="092C1FB2"/>
    <w:rsid w:val="09E065FD"/>
    <w:rsid w:val="0A6C3A55"/>
    <w:rsid w:val="0ACA573B"/>
    <w:rsid w:val="0B8D2650"/>
    <w:rsid w:val="0BC01DF3"/>
    <w:rsid w:val="0BD84323"/>
    <w:rsid w:val="0BFC15F3"/>
    <w:rsid w:val="0C323571"/>
    <w:rsid w:val="0C571B38"/>
    <w:rsid w:val="0CD210B0"/>
    <w:rsid w:val="0E083676"/>
    <w:rsid w:val="0E6843D9"/>
    <w:rsid w:val="0E6B1786"/>
    <w:rsid w:val="0EC40C38"/>
    <w:rsid w:val="0F0A5D32"/>
    <w:rsid w:val="0F62103D"/>
    <w:rsid w:val="0F6751EA"/>
    <w:rsid w:val="0FFE3EC3"/>
    <w:rsid w:val="10A2678D"/>
    <w:rsid w:val="121B5010"/>
    <w:rsid w:val="12EE7133"/>
    <w:rsid w:val="131B0C86"/>
    <w:rsid w:val="13961EAE"/>
    <w:rsid w:val="14F7697C"/>
    <w:rsid w:val="151515CB"/>
    <w:rsid w:val="1528677A"/>
    <w:rsid w:val="157E7309"/>
    <w:rsid w:val="17903B89"/>
    <w:rsid w:val="18045ADA"/>
    <w:rsid w:val="182061EA"/>
    <w:rsid w:val="18846779"/>
    <w:rsid w:val="1A21135A"/>
    <w:rsid w:val="1A4E294A"/>
    <w:rsid w:val="1A5605E9"/>
    <w:rsid w:val="1A606D71"/>
    <w:rsid w:val="1A8C7766"/>
    <w:rsid w:val="1A8F00D3"/>
    <w:rsid w:val="1A98650B"/>
    <w:rsid w:val="1B4E306E"/>
    <w:rsid w:val="1B707488"/>
    <w:rsid w:val="1C177904"/>
    <w:rsid w:val="1CEF00ED"/>
    <w:rsid w:val="1D0E621C"/>
    <w:rsid w:val="1D9E208B"/>
    <w:rsid w:val="1DD9034F"/>
    <w:rsid w:val="1E2D5C83"/>
    <w:rsid w:val="1F061279"/>
    <w:rsid w:val="1F8E25CF"/>
    <w:rsid w:val="216D06F2"/>
    <w:rsid w:val="218B2455"/>
    <w:rsid w:val="21E34F81"/>
    <w:rsid w:val="22A354C4"/>
    <w:rsid w:val="230010F2"/>
    <w:rsid w:val="23566F63"/>
    <w:rsid w:val="24950199"/>
    <w:rsid w:val="24A76E49"/>
    <w:rsid w:val="25357778"/>
    <w:rsid w:val="25F8565A"/>
    <w:rsid w:val="25FC78AD"/>
    <w:rsid w:val="2661315B"/>
    <w:rsid w:val="27611E06"/>
    <w:rsid w:val="27CB7F20"/>
    <w:rsid w:val="27D36DD5"/>
    <w:rsid w:val="282B09BF"/>
    <w:rsid w:val="28B126D9"/>
    <w:rsid w:val="2AA720D9"/>
    <w:rsid w:val="2AF7636C"/>
    <w:rsid w:val="2B4705BF"/>
    <w:rsid w:val="2BA03472"/>
    <w:rsid w:val="2BC26DFE"/>
    <w:rsid w:val="2C2C2F57"/>
    <w:rsid w:val="2CAF60BD"/>
    <w:rsid w:val="2CCE2260"/>
    <w:rsid w:val="2E090FF0"/>
    <w:rsid w:val="2EA20A5F"/>
    <w:rsid w:val="2F0E6134"/>
    <w:rsid w:val="2FAC4ADB"/>
    <w:rsid w:val="2FD44032"/>
    <w:rsid w:val="30955D3B"/>
    <w:rsid w:val="30DA0D30"/>
    <w:rsid w:val="30F54450"/>
    <w:rsid w:val="31771616"/>
    <w:rsid w:val="31C14142"/>
    <w:rsid w:val="32146ADF"/>
    <w:rsid w:val="32427031"/>
    <w:rsid w:val="32715B68"/>
    <w:rsid w:val="33446DD8"/>
    <w:rsid w:val="336625E7"/>
    <w:rsid w:val="336A0317"/>
    <w:rsid w:val="34452E08"/>
    <w:rsid w:val="344E43B3"/>
    <w:rsid w:val="34B85CD0"/>
    <w:rsid w:val="35847897"/>
    <w:rsid w:val="35C40D7A"/>
    <w:rsid w:val="36D72B72"/>
    <w:rsid w:val="37850378"/>
    <w:rsid w:val="379C0310"/>
    <w:rsid w:val="390908A8"/>
    <w:rsid w:val="39575F0C"/>
    <w:rsid w:val="3AB331C1"/>
    <w:rsid w:val="3B351E28"/>
    <w:rsid w:val="3B712845"/>
    <w:rsid w:val="3BE633E5"/>
    <w:rsid w:val="3C677BC6"/>
    <w:rsid w:val="3D074E58"/>
    <w:rsid w:val="3D18555E"/>
    <w:rsid w:val="3E392E81"/>
    <w:rsid w:val="3E646581"/>
    <w:rsid w:val="3EC93318"/>
    <w:rsid w:val="3FFA53EF"/>
    <w:rsid w:val="40491ED2"/>
    <w:rsid w:val="40F77B80"/>
    <w:rsid w:val="41AC096A"/>
    <w:rsid w:val="42B5384F"/>
    <w:rsid w:val="449A6429"/>
    <w:rsid w:val="458F0387"/>
    <w:rsid w:val="45AA6F6F"/>
    <w:rsid w:val="461B60BF"/>
    <w:rsid w:val="471D19C3"/>
    <w:rsid w:val="47FE35A2"/>
    <w:rsid w:val="48673AEE"/>
    <w:rsid w:val="488048C1"/>
    <w:rsid w:val="49971F00"/>
    <w:rsid w:val="4A36326D"/>
    <w:rsid w:val="4A8561FD"/>
    <w:rsid w:val="4A985947"/>
    <w:rsid w:val="4AF20FCC"/>
    <w:rsid w:val="4B3317B5"/>
    <w:rsid w:val="4C1C43D8"/>
    <w:rsid w:val="4C59349D"/>
    <w:rsid w:val="4C664A17"/>
    <w:rsid w:val="4CD34FFD"/>
    <w:rsid w:val="4CDD28E6"/>
    <w:rsid w:val="4D673998"/>
    <w:rsid w:val="4EA50C1B"/>
    <w:rsid w:val="4F135B85"/>
    <w:rsid w:val="4F781E8C"/>
    <w:rsid w:val="50C7131D"/>
    <w:rsid w:val="50D751B8"/>
    <w:rsid w:val="51D35A9F"/>
    <w:rsid w:val="53073FE6"/>
    <w:rsid w:val="539C2973"/>
    <w:rsid w:val="53D17DBD"/>
    <w:rsid w:val="53DA6A38"/>
    <w:rsid w:val="53DF072C"/>
    <w:rsid w:val="546450D5"/>
    <w:rsid w:val="54D51B2F"/>
    <w:rsid w:val="552467E3"/>
    <w:rsid w:val="557756C6"/>
    <w:rsid w:val="564600FD"/>
    <w:rsid w:val="56904C9A"/>
    <w:rsid w:val="57160908"/>
    <w:rsid w:val="57394B9F"/>
    <w:rsid w:val="583302AF"/>
    <w:rsid w:val="58D36385"/>
    <w:rsid w:val="592310BA"/>
    <w:rsid w:val="5A9376C8"/>
    <w:rsid w:val="5AC33B31"/>
    <w:rsid w:val="5B4F2965"/>
    <w:rsid w:val="5B500161"/>
    <w:rsid w:val="5BC8419B"/>
    <w:rsid w:val="5C690891"/>
    <w:rsid w:val="5CA80EB3"/>
    <w:rsid w:val="5CC50606"/>
    <w:rsid w:val="5E0019CA"/>
    <w:rsid w:val="61031243"/>
    <w:rsid w:val="61B76844"/>
    <w:rsid w:val="61E41603"/>
    <w:rsid w:val="621C7457"/>
    <w:rsid w:val="62D966BD"/>
    <w:rsid w:val="62FA20CA"/>
    <w:rsid w:val="634E31D8"/>
    <w:rsid w:val="63700796"/>
    <w:rsid w:val="656F4CDF"/>
    <w:rsid w:val="666E7703"/>
    <w:rsid w:val="66B50838"/>
    <w:rsid w:val="66CF1E96"/>
    <w:rsid w:val="66DD0DAB"/>
    <w:rsid w:val="674212A6"/>
    <w:rsid w:val="677A27ED"/>
    <w:rsid w:val="689D5A87"/>
    <w:rsid w:val="69303AFB"/>
    <w:rsid w:val="695D4322"/>
    <w:rsid w:val="6A955B90"/>
    <w:rsid w:val="6C3C4515"/>
    <w:rsid w:val="6C90660F"/>
    <w:rsid w:val="6C9E241E"/>
    <w:rsid w:val="6CD47B3A"/>
    <w:rsid w:val="6D2D5AF9"/>
    <w:rsid w:val="6D5147C7"/>
    <w:rsid w:val="6D5E34F1"/>
    <w:rsid w:val="6D620EAB"/>
    <w:rsid w:val="6E296D72"/>
    <w:rsid w:val="6E3D27C7"/>
    <w:rsid w:val="6E9B2C85"/>
    <w:rsid w:val="6EEA6DAD"/>
    <w:rsid w:val="6FB95E7D"/>
    <w:rsid w:val="6FC82564"/>
    <w:rsid w:val="702544FA"/>
    <w:rsid w:val="704C6CF1"/>
    <w:rsid w:val="707D308E"/>
    <w:rsid w:val="707E4309"/>
    <w:rsid w:val="71141F49"/>
    <w:rsid w:val="71213793"/>
    <w:rsid w:val="72802170"/>
    <w:rsid w:val="72AB41A3"/>
    <w:rsid w:val="73BF4626"/>
    <w:rsid w:val="73DC5E24"/>
    <w:rsid w:val="740C4E37"/>
    <w:rsid w:val="74CD5A06"/>
    <w:rsid w:val="75794C4E"/>
    <w:rsid w:val="75DE00BA"/>
    <w:rsid w:val="75F257F1"/>
    <w:rsid w:val="76F7541E"/>
    <w:rsid w:val="77C806AA"/>
    <w:rsid w:val="77DC095A"/>
    <w:rsid w:val="79413807"/>
    <w:rsid w:val="79477F7A"/>
    <w:rsid w:val="79FD2E0A"/>
    <w:rsid w:val="7A0D74F1"/>
    <w:rsid w:val="7B7F31AB"/>
    <w:rsid w:val="7BF1391E"/>
    <w:rsid w:val="7C1E59E5"/>
    <w:rsid w:val="7C495B19"/>
    <w:rsid w:val="7C4D0079"/>
    <w:rsid w:val="7C546669"/>
    <w:rsid w:val="7CB579CC"/>
    <w:rsid w:val="7D072120"/>
    <w:rsid w:val="7EA45F4A"/>
  </w:rsids>
  <w:docVars>
    <w:docVar w:name="commondata" w:val="eyJoZGlkIjoiMmQyNWQ4MmFmNjM5OGY4ZDVmYWFlYjdmMDM3MjJlMzY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next w:val="BodyTextFirstIndent"/>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qFormat/>
    <w:pPr>
      <w:keepNext/>
      <w:keepLines/>
      <w:outlineLvl w:val="1"/>
    </w:pPr>
    <w:rPr>
      <w:rFonts w:ascii="仿宋_GB2312" w:eastAsia="仿宋_GB2312"/>
      <w:b/>
      <w:sz w:val="28"/>
      <w:szCs w:val="20"/>
    </w:rPr>
  </w:style>
  <w:style w:type="paragraph" w:styleId="Heading3">
    <w:name w:val="heading 3"/>
    <w:basedOn w:val="Normal"/>
    <w:next w:val="NormalIndent"/>
    <w:link w:val="3"/>
    <w:qFormat/>
    <w:pPr>
      <w:keepNext/>
      <w:keepLines/>
      <w:spacing w:before="260" w:after="260" w:line="416" w:lineRule="auto"/>
      <w:outlineLvl w:val="2"/>
    </w:pPr>
    <w:rPr>
      <w:b/>
      <w:bCs/>
      <w:sz w:val="32"/>
      <w:szCs w:val="32"/>
    </w:rPr>
  </w:style>
  <w:style w:type="paragraph" w:styleId="Heading4">
    <w:name w:val="heading 4"/>
    <w:basedOn w:val="Normal"/>
    <w:next w:val="Normal"/>
    <w:link w:val="4"/>
    <w:qFormat/>
    <w:pPr>
      <w:keepNext/>
      <w:keepLines/>
      <w:spacing w:before="280" w:after="290" w:line="376" w:lineRule="auto"/>
      <w:outlineLvl w:val="3"/>
    </w:pPr>
    <w:rPr>
      <w:rFonts w:ascii="Helvetica" w:eastAsia="黑体" w:hAnsi="Helvetica"/>
      <w:b/>
      <w:bCs/>
      <w:sz w:val="28"/>
      <w:szCs w:val="28"/>
    </w:rPr>
  </w:style>
  <w:style w:type="paragraph" w:styleId="Heading5">
    <w:name w:val="heading 5"/>
    <w:basedOn w:val="Normal"/>
    <w:next w:val="Normal"/>
    <w:link w:val="5"/>
    <w:qFormat/>
    <w:pPr>
      <w:keepNext/>
      <w:keepLines/>
      <w:spacing w:before="280" w:after="290" w:line="376" w:lineRule="auto"/>
      <w:outlineLvl w:val="4"/>
    </w:pPr>
    <w:rPr>
      <w:b/>
      <w:bCs/>
      <w:sz w:val="28"/>
      <w:szCs w:val="28"/>
    </w:rPr>
  </w:style>
  <w:style w:type="paragraph" w:styleId="Heading9">
    <w:name w:val="heading 9"/>
    <w:basedOn w:val="Normal"/>
    <w:next w:val="Normal"/>
    <w:link w:val="9"/>
    <w:qFormat/>
    <w:pPr>
      <w:keepNext/>
      <w:keepLines/>
      <w:spacing w:before="240" w:after="64" w:line="320" w:lineRule="auto"/>
      <w:outlineLvl w:val="8"/>
    </w:pPr>
    <w:rPr>
      <w:rFonts w:ascii="Cambria" w:hAnsi="Cambria"/>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BodyTextFirstIndent">
    <w:name w:val="Body Text First Indent"/>
    <w:basedOn w:val="BodyText"/>
    <w:next w:val="Normal"/>
    <w:link w:val="a0"/>
    <w:qFormat/>
    <w:pPr>
      <w:ind w:firstLine="420" w:firstLineChars="100"/>
    </w:pPr>
    <w:rPr>
      <w:sz w:val="21"/>
    </w:rPr>
  </w:style>
  <w:style w:type="paragraph" w:styleId="BodyText">
    <w:name w:val="Body Text"/>
    <w:basedOn w:val="Normal"/>
    <w:next w:val="Normal"/>
    <w:link w:val="a"/>
    <w:pPr>
      <w:spacing w:after="120"/>
    </w:pPr>
    <w:rPr>
      <w:sz w:val="24"/>
    </w:rPr>
  </w:style>
  <w:style w:type="character" w:customStyle="1" w:styleId="a">
    <w:name w:val="正文文本 字符"/>
    <w:link w:val="BodyText"/>
    <w:rPr>
      <w:kern w:val="2"/>
      <w:sz w:val="24"/>
      <w:szCs w:val="24"/>
    </w:rPr>
  </w:style>
  <w:style w:type="character" w:customStyle="1" w:styleId="a0">
    <w:name w:val="正文首行缩进 字符"/>
    <w:link w:val="BodyTextFirstIndent"/>
    <w:rPr>
      <w:kern w:val="2"/>
      <w:sz w:val="21"/>
      <w:szCs w:val="24"/>
    </w:rPr>
  </w:style>
  <w:style w:type="character" w:customStyle="1" w:styleId="1">
    <w:name w:val="标题 1 字符"/>
    <w:link w:val="Heading1"/>
    <w:rPr>
      <w:b/>
      <w:bCs/>
      <w:kern w:val="44"/>
      <w:sz w:val="44"/>
      <w:szCs w:val="44"/>
    </w:rPr>
  </w:style>
  <w:style w:type="character" w:customStyle="1" w:styleId="2">
    <w:name w:val="标题 2 字符"/>
    <w:link w:val="Heading2"/>
    <w:locked/>
    <w:rPr>
      <w:rFonts w:ascii="仿宋_GB2312" w:eastAsia="仿宋_GB2312"/>
      <w:b/>
      <w:kern w:val="2"/>
      <w:sz w:val="28"/>
      <w:lang w:val="en-US" w:eastAsia="zh-CN" w:bidi="ar-SA"/>
    </w:rPr>
  </w:style>
  <w:style w:type="character" w:customStyle="1" w:styleId="3">
    <w:name w:val="标题 3 字符"/>
    <w:link w:val="Heading3"/>
    <w:rPr>
      <w:b/>
      <w:bCs/>
      <w:kern w:val="2"/>
      <w:sz w:val="32"/>
      <w:szCs w:val="32"/>
    </w:rPr>
  </w:style>
  <w:style w:type="paragraph" w:styleId="NormalIndent">
    <w:name w:val="Normal Indent"/>
    <w:basedOn w:val="Normal"/>
    <w:link w:val="a1"/>
    <w:qFormat/>
    <w:pPr>
      <w:ind w:firstLine="420"/>
    </w:pPr>
    <w:rPr>
      <w:rFonts w:eastAsia="幼圆"/>
      <w:sz w:val="24"/>
      <w:szCs w:val="20"/>
    </w:rPr>
  </w:style>
  <w:style w:type="character" w:customStyle="1" w:styleId="a1">
    <w:name w:val="正文缩进 字符"/>
    <w:link w:val="NormalIndent"/>
    <w:rPr>
      <w:rFonts w:eastAsia="幼圆"/>
      <w:kern w:val="2"/>
      <w:sz w:val="24"/>
    </w:rPr>
  </w:style>
  <w:style w:type="character" w:customStyle="1" w:styleId="4">
    <w:name w:val="标题 4 字符"/>
    <w:link w:val="Heading4"/>
    <w:rPr>
      <w:rFonts w:ascii="Helvetica" w:eastAsia="黑体" w:hAnsi="Helvetica"/>
      <w:b/>
      <w:bCs/>
      <w:kern w:val="2"/>
      <w:sz w:val="28"/>
      <w:szCs w:val="28"/>
    </w:rPr>
  </w:style>
  <w:style w:type="character" w:customStyle="1" w:styleId="5">
    <w:name w:val="标题 5 字符"/>
    <w:link w:val="Heading5"/>
    <w:rPr>
      <w:b/>
      <w:bCs/>
      <w:kern w:val="2"/>
      <w:sz w:val="28"/>
      <w:szCs w:val="28"/>
    </w:rPr>
  </w:style>
  <w:style w:type="character" w:customStyle="1" w:styleId="9">
    <w:name w:val="标题 9 字符"/>
    <w:link w:val="Heading9"/>
    <w:rPr>
      <w:rFonts w:ascii="Cambria" w:hAnsi="Cambria"/>
      <w:kern w:val="2"/>
      <w:sz w:val="21"/>
      <w:szCs w:val="21"/>
    </w:rPr>
  </w:style>
  <w:style w:type="paragraph" w:styleId="TOC7">
    <w:name w:val="toc 7"/>
    <w:basedOn w:val="Normal"/>
    <w:next w:val="Normal"/>
    <w:pPr>
      <w:spacing w:line="500" w:lineRule="exact"/>
      <w:ind w:left="1680"/>
      <w:jc w:val="left"/>
    </w:pPr>
    <w:rPr>
      <w:sz w:val="18"/>
      <w:szCs w:val="18"/>
    </w:rPr>
  </w:style>
  <w:style w:type="paragraph" w:styleId="Caption">
    <w:name w:val="caption"/>
    <w:basedOn w:val="Normal"/>
    <w:next w:val="Normal"/>
    <w:qFormat/>
    <w:rPr>
      <w:rFonts w:ascii="Arial" w:eastAsia="黑体" w:hAnsi="Arial" w:cs="Arial"/>
      <w:sz w:val="20"/>
      <w:szCs w:val="20"/>
    </w:rPr>
  </w:style>
  <w:style w:type="paragraph" w:styleId="DocumentMap">
    <w:name w:val="Document Map"/>
    <w:basedOn w:val="Normal"/>
    <w:link w:val="a2"/>
    <w:pPr>
      <w:shd w:val="clear" w:color="auto" w:fill="000080"/>
    </w:pPr>
  </w:style>
  <w:style w:type="character" w:customStyle="1" w:styleId="a2">
    <w:name w:val="文档结构图 字符"/>
    <w:link w:val="DocumentMap"/>
    <w:rPr>
      <w:kern w:val="2"/>
      <w:sz w:val="21"/>
      <w:szCs w:val="24"/>
      <w:shd w:val="clear" w:color="auto" w:fill="000080"/>
    </w:rPr>
  </w:style>
  <w:style w:type="paragraph" w:styleId="CommentText">
    <w:name w:val="annotation text"/>
    <w:basedOn w:val="Normal"/>
    <w:link w:val="a3"/>
    <w:pPr>
      <w:jc w:val="left"/>
    </w:pPr>
  </w:style>
  <w:style w:type="character" w:customStyle="1" w:styleId="a3">
    <w:name w:val="批注文字 字符"/>
    <w:link w:val="CommentText"/>
    <w:rPr>
      <w:kern w:val="2"/>
      <w:sz w:val="21"/>
      <w:szCs w:val="24"/>
    </w:rPr>
  </w:style>
  <w:style w:type="paragraph" w:styleId="BodyText3">
    <w:name w:val="Body Text 3"/>
    <w:basedOn w:val="Normal"/>
    <w:link w:val="30"/>
    <w:pPr>
      <w:spacing w:after="120"/>
    </w:pPr>
    <w:rPr>
      <w:sz w:val="16"/>
      <w:szCs w:val="16"/>
    </w:rPr>
  </w:style>
  <w:style w:type="character" w:customStyle="1" w:styleId="30">
    <w:name w:val="正文文本 3 字符"/>
    <w:link w:val="BodyText3"/>
    <w:rPr>
      <w:kern w:val="2"/>
      <w:sz w:val="16"/>
      <w:szCs w:val="16"/>
    </w:rPr>
  </w:style>
  <w:style w:type="paragraph" w:styleId="BodyTextIndent">
    <w:name w:val="Body Text Indent"/>
    <w:basedOn w:val="Normal"/>
    <w:link w:val="a4"/>
    <w:pPr>
      <w:ind w:firstLine="541" w:firstLineChars="215"/>
    </w:pPr>
    <w:rPr>
      <w:rFonts w:eastAsia="幼圆"/>
      <w:sz w:val="24"/>
    </w:rPr>
  </w:style>
  <w:style w:type="character" w:customStyle="1" w:styleId="a4">
    <w:name w:val="正文文本缩进 字符"/>
    <w:link w:val="BodyTextIndent"/>
    <w:locked/>
    <w:rPr>
      <w:rFonts w:eastAsia="幼圆"/>
      <w:kern w:val="2"/>
      <w:sz w:val="24"/>
      <w:szCs w:val="24"/>
      <w:lang w:val="en-US" w:eastAsia="zh-CN" w:bidi="ar-SA"/>
    </w:rPr>
  </w:style>
  <w:style w:type="paragraph" w:styleId="TOC5">
    <w:name w:val="toc 5"/>
    <w:basedOn w:val="Normal"/>
    <w:next w:val="Normal"/>
    <w:pPr>
      <w:spacing w:line="500" w:lineRule="exact"/>
      <w:ind w:left="1120"/>
      <w:jc w:val="left"/>
    </w:pPr>
    <w:rPr>
      <w:sz w:val="18"/>
      <w:szCs w:val="18"/>
    </w:rPr>
  </w:style>
  <w:style w:type="paragraph" w:styleId="TOC3">
    <w:name w:val="toc 3"/>
    <w:basedOn w:val="Normal"/>
    <w:next w:val="Normal"/>
    <w:semiHidden/>
    <w:pPr>
      <w:ind w:left="840" w:leftChars="400"/>
    </w:pPr>
  </w:style>
  <w:style w:type="paragraph" w:styleId="PlainText">
    <w:name w:val="Plain Text"/>
    <w:basedOn w:val="Normal"/>
    <w:link w:val="a5"/>
    <w:qFormat/>
    <w:rPr>
      <w:rFonts w:ascii="宋体" w:hAnsi="Courier New"/>
      <w:szCs w:val="21"/>
    </w:rPr>
  </w:style>
  <w:style w:type="character" w:customStyle="1" w:styleId="a5">
    <w:name w:val="纯文本 字符"/>
    <w:link w:val="PlainText"/>
    <w:rPr>
      <w:rFonts w:ascii="宋体" w:hAnsi="Courier New" w:cs="Courier New"/>
      <w:kern w:val="2"/>
      <w:sz w:val="21"/>
      <w:szCs w:val="21"/>
    </w:rPr>
  </w:style>
  <w:style w:type="paragraph" w:styleId="TOC8">
    <w:name w:val="toc 8"/>
    <w:basedOn w:val="Normal"/>
    <w:next w:val="Normal"/>
    <w:pPr>
      <w:spacing w:line="500" w:lineRule="exact"/>
      <w:ind w:left="1960"/>
      <w:jc w:val="left"/>
    </w:pPr>
    <w:rPr>
      <w:sz w:val="18"/>
      <w:szCs w:val="18"/>
    </w:rPr>
  </w:style>
  <w:style w:type="paragraph" w:styleId="Date">
    <w:name w:val="Date"/>
    <w:basedOn w:val="Normal"/>
    <w:next w:val="Normal"/>
    <w:link w:val="a6"/>
    <w:rPr>
      <w:szCs w:val="20"/>
    </w:rPr>
  </w:style>
  <w:style w:type="character" w:customStyle="1" w:styleId="a6">
    <w:name w:val="日期 字符"/>
    <w:link w:val="Date"/>
    <w:rPr>
      <w:kern w:val="2"/>
      <w:sz w:val="21"/>
    </w:rPr>
  </w:style>
  <w:style w:type="paragraph" w:styleId="BodyTextIndent2">
    <w:name w:val="Body Text Indent 2"/>
    <w:basedOn w:val="Normal"/>
    <w:link w:val="20"/>
    <w:pPr>
      <w:spacing w:after="120" w:line="480" w:lineRule="auto"/>
      <w:ind w:left="420"/>
    </w:pPr>
  </w:style>
  <w:style w:type="character" w:customStyle="1" w:styleId="20">
    <w:name w:val="正文文本缩进 2 字符"/>
    <w:link w:val="BodyTextIndent2"/>
    <w:rPr>
      <w:kern w:val="2"/>
      <w:sz w:val="21"/>
      <w:szCs w:val="24"/>
    </w:rPr>
  </w:style>
  <w:style w:type="paragraph" w:styleId="BalloonText">
    <w:name w:val="Balloon Text"/>
    <w:basedOn w:val="Normal"/>
    <w:link w:val="a7"/>
    <w:rPr>
      <w:sz w:val="18"/>
      <w:szCs w:val="18"/>
    </w:rPr>
  </w:style>
  <w:style w:type="character" w:customStyle="1" w:styleId="a7">
    <w:name w:val="批注框文本 字符"/>
    <w:link w:val="BalloonText"/>
    <w:rPr>
      <w:kern w:val="2"/>
      <w:sz w:val="18"/>
      <w:szCs w:val="18"/>
    </w:rPr>
  </w:style>
  <w:style w:type="paragraph" w:styleId="Footer">
    <w:name w:val="footer"/>
    <w:basedOn w:val="Normal"/>
    <w:link w:val="a8"/>
    <w:pPr>
      <w:tabs>
        <w:tab w:val="center" w:pos="4153"/>
        <w:tab w:val="right" w:pos="8306"/>
      </w:tabs>
      <w:snapToGrid w:val="0"/>
      <w:jc w:val="left"/>
    </w:pPr>
    <w:rPr>
      <w:sz w:val="18"/>
      <w:szCs w:val="20"/>
    </w:rPr>
  </w:style>
  <w:style w:type="character" w:customStyle="1" w:styleId="a8">
    <w:name w:val="页脚 字符"/>
    <w:link w:val="Footer"/>
    <w:rPr>
      <w:kern w:val="2"/>
      <w:sz w:val="18"/>
    </w:rPr>
  </w:style>
  <w:style w:type="paragraph" w:styleId="Header">
    <w:name w:val="header"/>
    <w:basedOn w:val="Normal"/>
    <w:link w:val="a9"/>
    <w:pPr>
      <w:pBdr>
        <w:bottom w:val="single" w:sz="6" w:space="1" w:color="auto"/>
      </w:pBdr>
      <w:tabs>
        <w:tab w:val="center" w:pos="4153"/>
        <w:tab w:val="right" w:pos="8306"/>
      </w:tabs>
      <w:snapToGrid w:val="0"/>
      <w:jc w:val="center"/>
    </w:pPr>
    <w:rPr>
      <w:sz w:val="18"/>
      <w:szCs w:val="18"/>
    </w:rPr>
  </w:style>
  <w:style w:type="character" w:customStyle="1" w:styleId="a9">
    <w:name w:val="页眉 字符"/>
    <w:link w:val="Header"/>
    <w:rPr>
      <w:kern w:val="2"/>
      <w:sz w:val="18"/>
      <w:szCs w:val="18"/>
    </w:rPr>
  </w:style>
  <w:style w:type="paragraph" w:styleId="TOC1">
    <w:name w:val="toc 1"/>
    <w:basedOn w:val="Normal"/>
    <w:next w:val="Normal"/>
  </w:style>
  <w:style w:type="paragraph" w:styleId="TOC4">
    <w:name w:val="toc 4"/>
    <w:basedOn w:val="Normal"/>
    <w:next w:val="Normal"/>
    <w:pPr>
      <w:spacing w:line="500" w:lineRule="exact"/>
      <w:ind w:left="840"/>
      <w:jc w:val="left"/>
    </w:pPr>
    <w:rPr>
      <w:sz w:val="18"/>
      <w:szCs w:val="18"/>
    </w:rPr>
  </w:style>
  <w:style w:type="paragraph" w:styleId="TOC6">
    <w:name w:val="toc 6"/>
    <w:basedOn w:val="Normal"/>
    <w:next w:val="Normal"/>
    <w:pPr>
      <w:spacing w:line="500" w:lineRule="exact"/>
      <w:ind w:left="1400"/>
      <w:jc w:val="left"/>
    </w:pPr>
    <w:rPr>
      <w:sz w:val="18"/>
      <w:szCs w:val="18"/>
    </w:rPr>
  </w:style>
  <w:style w:type="paragraph" w:styleId="BodyTextIndent3">
    <w:name w:val="Body Text Indent 3"/>
    <w:basedOn w:val="Normal"/>
    <w:pPr>
      <w:spacing w:after="120"/>
      <w:ind w:left="420" w:leftChars="200"/>
    </w:pPr>
    <w:rPr>
      <w:sz w:val="16"/>
      <w:szCs w:val="16"/>
    </w:rPr>
  </w:style>
  <w:style w:type="paragraph" w:styleId="TableofFigures">
    <w:name w:val="table of figures"/>
    <w:basedOn w:val="Normal"/>
    <w:next w:val="Normal"/>
    <w:pPr>
      <w:ind w:hanging="200" w:leftChars="200" w:hangingChars="200"/>
    </w:pPr>
  </w:style>
  <w:style w:type="paragraph" w:styleId="TOC2">
    <w:name w:val="toc 2"/>
    <w:basedOn w:val="Normal"/>
    <w:next w:val="Normal"/>
    <w:pPr>
      <w:ind w:left="420" w:leftChars="200"/>
    </w:pPr>
  </w:style>
  <w:style w:type="paragraph" w:styleId="TOC9">
    <w:name w:val="toc 9"/>
    <w:basedOn w:val="Normal"/>
    <w:next w:val="Normal"/>
    <w:pPr>
      <w:spacing w:line="500" w:lineRule="exact"/>
      <w:ind w:left="2240"/>
      <w:jc w:val="left"/>
    </w:pPr>
    <w:rPr>
      <w:sz w:val="18"/>
      <w:szCs w:val="18"/>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link w:val="a10"/>
    <w:qFormat/>
    <w:pPr>
      <w:spacing w:before="240" w:after="60"/>
      <w:jc w:val="center"/>
      <w:outlineLvl w:val="0"/>
    </w:pPr>
    <w:rPr>
      <w:rFonts w:ascii="Cambria" w:hAnsi="Cambria"/>
      <w:b/>
      <w:bCs/>
      <w:sz w:val="32"/>
      <w:szCs w:val="32"/>
    </w:rPr>
  </w:style>
  <w:style w:type="character" w:customStyle="1" w:styleId="a10">
    <w:name w:val="标题 字符"/>
    <w:link w:val="Title"/>
    <w:rPr>
      <w:rFonts w:ascii="Cambria" w:hAnsi="Cambria" w:cs="Times New Roman"/>
      <w:b/>
      <w:bCs/>
      <w:kern w:val="2"/>
      <w:sz w:val="32"/>
      <w:szCs w:val="32"/>
    </w:rPr>
  </w:style>
  <w:style w:type="paragraph" w:styleId="CommentSubject">
    <w:name w:val="annotation subject"/>
    <w:basedOn w:val="CommentText"/>
    <w:next w:val="CommentText"/>
    <w:link w:val="a11"/>
    <w:rPr>
      <w:b/>
      <w:bCs/>
    </w:rPr>
  </w:style>
  <w:style w:type="character" w:customStyle="1" w:styleId="a11">
    <w:name w:val="批注主题 字符"/>
    <w:link w:val="CommentSubject"/>
    <w:rPr>
      <w:b/>
      <w:bCs/>
      <w:kern w:val="2"/>
      <w:sz w:val="21"/>
      <w:szCs w:val="24"/>
    </w:rPr>
  </w:style>
  <w:style w:type="paragraph" w:styleId="BodyTextFirstIndent2">
    <w:name w:val="Body Text First Indent 2"/>
    <w:basedOn w:val="Normal"/>
    <w:next w:val="Normal"/>
    <w:link w:val="21"/>
    <w:pPr>
      <w:spacing w:after="120"/>
      <w:ind w:left="200" w:firstLine="420" w:leftChars="200" w:firstLineChars="200"/>
    </w:pPr>
    <w:rPr>
      <w:sz w:val="21"/>
    </w:rPr>
  </w:style>
  <w:style w:type="character" w:customStyle="1" w:styleId="21">
    <w:name w:val="正文首行缩进 2 字符"/>
    <w:link w:val="BodyTextFirstIndent2"/>
    <w:rPr>
      <w:rFonts w:eastAsia="幼圆"/>
      <w:kern w:val="2"/>
      <w:sz w:val="21"/>
      <w:szCs w:val="24"/>
      <w:lang w:val="en-US" w:eastAsia="zh-CN" w:bidi="ar-SA"/>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style>
  <w:style w:type="character" w:styleId="FollowedHyperlink">
    <w:name w:val="FollowedHyperlink"/>
    <w:uiPriority w:val="99"/>
    <w:rPr>
      <w:color w:val="800080"/>
      <w:u w:val="single"/>
    </w:rPr>
  </w:style>
  <w:style w:type="character" w:styleId="Emphasis">
    <w:name w:val="Emphasis"/>
    <w:qFormat/>
    <w:rPr>
      <w:color w:val="CC0000"/>
    </w:rPr>
  </w:style>
  <w:style w:type="character" w:styleId="Hyperlink">
    <w:name w:val="Hyperlink"/>
    <w:uiPriority w:val="99"/>
    <w:rPr>
      <w:color w:val="136EC2"/>
      <w:u w:val="single"/>
    </w:rPr>
  </w:style>
  <w:style w:type="character" w:styleId="CommentReference">
    <w:name w:val="annotation reference"/>
    <w:rPr>
      <w:sz w:val="21"/>
      <w:szCs w:val="21"/>
    </w:rPr>
  </w:style>
  <w:style w:type="character" w:customStyle="1" w:styleId="4CharChar">
    <w:name w:val="标题 4 Char Char"/>
    <w:rPr>
      <w:rFonts w:ascii="Helvetica" w:eastAsia="黑体" w:hAnsi="Helvetica"/>
      <w:b/>
      <w:bCs/>
      <w:kern w:val="2"/>
      <w:sz w:val="28"/>
      <w:szCs w:val="28"/>
      <w:lang w:val="en-US" w:eastAsia="zh-CN" w:bidi="ar-SA"/>
    </w:rPr>
  </w:style>
  <w:style w:type="character" w:customStyle="1" w:styleId="tex41">
    <w:name w:val="tex41"/>
  </w:style>
  <w:style w:type="character" w:customStyle="1" w:styleId="Char">
    <w:name w:val="图表、图名 Char"/>
    <w:link w:val="a12"/>
    <w:rPr>
      <w:color w:val="000000"/>
      <w:kern w:val="2"/>
      <w:sz w:val="24"/>
      <w:szCs w:val="22"/>
    </w:rPr>
  </w:style>
  <w:style w:type="paragraph" w:customStyle="1" w:styleId="a12">
    <w:name w:val="图表、图名"/>
    <w:basedOn w:val="Normal"/>
    <w:link w:val="Char"/>
    <w:qFormat/>
    <w:pPr>
      <w:adjustRightInd w:val="0"/>
      <w:snapToGrid w:val="0"/>
      <w:spacing w:line="360" w:lineRule="auto"/>
      <w:ind w:firstLine="480" w:firstLineChars="200"/>
      <w:jc w:val="center"/>
    </w:pPr>
    <w:rPr>
      <w:color w:val="000000"/>
      <w:sz w:val="24"/>
      <w:szCs w:val="22"/>
    </w:rPr>
  </w:style>
  <w:style w:type="character" w:customStyle="1" w:styleId="CharChar">
    <w:name w:val="正文 Char Char"/>
    <w:rPr>
      <w:kern w:val="2"/>
      <w:sz w:val="24"/>
    </w:rPr>
  </w:style>
  <w:style w:type="character" w:customStyle="1" w:styleId="Char1">
    <w:name w:val="表正文 Char1"/>
    <w:aliases w:val="ALT+Z Char1,Body text ident 1 Char,Normal Indent Char Char,body text Char,四号 Char1,标题4 Char Char,正文不缩进 Char1,正文非缩进 Char Char Char,正文（首行缩进两字） Char2,段1 Char1,水上软件 Char,特点 Char Char Char,特点 Char Char1,特点 Char1,表正文 Char Char"/>
    <w:rPr>
      <w:rFonts w:eastAsia="宋体"/>
      <w:szCs w:val="24"/>
    </w:rPr>
  </w:style>
  <w:style w:type="character" w:customStyle="1" w:styleId="Char3">
    <w:name w:val="样式 日期 + 幼圆 加粗 Char"/>
    <w:link w:val="a13"/>
    <w:rPr>
      <w:rFonts w:ascii="幼圆" w:eastAsia="黑体" w:hAnsi="幼圆"/>
      <w:b/>
      <w:bCs/>
      <w:kern w:val="2"/>
      <w:sz w:val="21"/>
    </w:rPr>
  </w:style>
  <w:style w:type="paragraph" w:customStyle="1" w:styleId="a13">
    <w:name w:val="样式 日期 + 幼圆 加粗"/>
    <w:basedOn w:val="Date"/>
    <w:link w:val="Char3"/>
    <w:rPr>
      <w:rFonts w:ascii="幼圆" w:eastAsia="黑体" w:hAnsi="幼圆"/>
      <w:b/>
      <w:bCs/>
    </w:rPr>
  </w:style>
  <w:style w:type="character" w:customStyle="1" w:styleId="1217Char">
    <w:name w:val="正文1217 Char"/>
    <w:link w:val="1217"/>
    <w:rPr>
      <w:sz w:val="24"/>
      <w:szCs w:val="24"/>
    </w:rPr>
  </w:style>
  <w:style w:type="paragraph" w:customStyle="1" w:styleId="1217">
    <w:name w:val="正文1217"/>
    <w:basedOn w:val="NormalIndent"/>
    <w:link w:val="1217Char"/>
    <w:qFormat/>
    <w:pPr>
      <w:adjustRightInd w:val="0"/>
      <w:snapToGrid w:val="0"/>
      <w:spacing w:line="360" w:lineRule="auto"/>
      <w:ind w:firstLine="482"/>
      <w:jc w:val="left"/>
    </w:pPr>
    <w:rPr>
      <w:rFonts w:eastAsia="宋体"/>
      <w:kern w:val="0"/>
      <w:szCs w:val="24"/>
    </w:rPr>
  </w:style>
  <w:style w:type="character" w:customStyle="1" w:styleId="1Char">
    <w:name w:val="标题 1 Char"/>
    <w:rPr>
      <w:rFonts w:eastAsia="黑体"/>
      <w:b/>
      <w:bCs/>
      <w:kern w:val="44"/>
      <w:sz w:val="32"/>
      <w:szCs w:val="44"/>
      <w:lang w:val="en-US" w:eastAsia="zh-CN" w:bidi="ar-SA"/>
    </w:rPr>
  </w:style>
  <w:style w:type="character" w:customStyle="1" w:styleId="31">
    <w:name w:val="正文文本 (3)_"/>
    <w:link w:val="310"/>
    <w:uiPriority w:val="99"/>
    <w:locked/>
    <w:rPr>
      <w:rFonts w:ascii="MS Mincho" w:eastAsia="MS Mincho"/>
      <w:sz w:val="28"/>
      <w:szCs w:val="28"/>
      <w:shd w:val="clear" w:color="auto" w:fill="FFFFFF"/>
      <w:lang w:eastAsia="en-US"/>
    </w:rPr>
  </w:style>
  <w:style w:type="paragraph" w:customStyle="1" w:styleId="310">
    <w:name w:val="正文文本 (3)1"/>
    <w:basedOn w:val="Normal"/>
    <w:link w:val="31"/>
    <w:uiPriority w:val="99"/>
    <w:pPr>
      <w:suppressLineNumbers/>
      <w:shd w:val="clear" w:color="auto" w:fill="FFFFFF"/>
      <w:suppressAutoHyphens/>
      <w:spacing w:before="300" w:line="623" w:lineRule="exact"/>
      <w:jc w:val="distribute"/>
    </w:pPr>
    <w:rPr>
      <w:rFonts w:ascii="MS Mincho" w:eastAsia="MS Mincho"/>
      <w:kern w:val="0"/>
      <w:sz w:val="28"/>
      <w:szCs w:val="28"/>
      <w:lang w:eastAsia="en-US"/>
    </w:rPr>
  </w:style>
  <w:style w:type="character" w:customStyle="1" w:styleId="Char13">
    <w:name w:val="正文文本 Char1"/>
    <w:aliases w:val="正文文字 Char1"/>
    <w:rPr>
      <w:rFonts w:ascii="宋体" w:eastAsia="宋体" w:hAnsi="宋体"/>
      <w:kern w:val="2"/>
      <w:sz w:val="24"/>
      <w:szCs w:val="24"/>
      <w:lang w:val="en-US" w:eastAsia="zh-CN" w:bidi="ar-SA"/>
    </w:rPr>
  </w:style>
  <w:style w:type="character" w:customStyle="1" w:styleId="CharCharChar1">
    <w:name w:val="Char Char Char1"/>
    <w:rPr>
      <w:rFonts w:eastAsia="黑体"/>
      <w:b/>
      <w:bCs/>
      <w:kern w:val="44"/>
      <w:sz w:val="32"/>
      <w:szCs w:val="44"/>
      <w:lang w:val="en-US" w:eastAsia="zh-CN" w:bidi="ar-SA"/>
    </w:rPr>
  </w:style>
  <w:style w:type="character" w:customStyle="1" w:styleId="CharCharChar2">
    <w:name w:val="Char Char Char"/>
    <w:rPr>
      <w:rFonts w:eastAsia="黑体"/>
      <w:b/>
      <w:bCs/>
      <w:kern w:val="44"/>
      <w:sz w:val="32"/>
      <w:szCs w:val="44"/>
      <w:lang w:val="en-US" w:eastAsia="zh-CN" w:bidi="ar-SA"/>
    </w:rPr>
  </w:style>
  <w:style w:type="character" w:customStyle="1" w:styleId="CharChar17">
    <w:name w:val=" Char Char17"/>
    <w:rPr>
      <w:rFonts w:eastAsia="黑体"/>
      <w:b/>
      <w:bCs/>
      <w:kern w:val="44"/>
      <w:sz w:val="36"/>
      <w:szCs w:val="44"/>
    </w:rPr>
  </w:style>
  <w:style w:type="character" w:customStyle="1" w:styleId="CharCharChar3">
    <w:name w:val="正文文字 Char Char Char"/>
    <w:aliases w:val="正文文字 Char Char Char1"/>
    <w:rPr>
      <w:rFonts w:ascii="宋体" w:eastAsia="宋体" w:hAnsi="宋体"/>
      <w:kern w:val="2"/>
      <w:sz w:val="24"/>
      <w:szCs w:val="24"/>
      <w:lang w:val="en-US" w:eastAsia="zh-CN" w:bidi="ar-SA"/>
    </w:rPr>
  </w:style>
  <w:style w:type="character" w:customStyle="1" w:styleId="Char4">
    <w:name w:val="日期 Char"/>
    <w:rPr>
      <w:kern w:val="2"/>
      <w:sz w:val="21"/>
      <w:szCs w:val="24"/>
    </w:rPr>
  </w:style>
  <w:style w:type="character" w:customStyle="1" w:styleId="CharChar2">
    <w:name w:val="普通文字 Char Char"/>
    <w:rPr>
      <w:rFonts w:ascii="宋体" w:eastAsia="宋体" w:hAnsi="Courier New" w:cs="Courier New"/>
      <w:kern w:val="2"/>
      <w:sz w:val="21"/>
      <w:szCs w:val="21"/>
      <w:lang w:val="en-US" w:eastAsia="zh-CN" w:bidi="ar-SA"/>
    </w:rPr>
  </w:style>
  <w:style w:type="character" w:customStyle="1" w:styleId="ttag">
    <w:name w:val="t_tag"/>
  </w:style>
  <w:style w:type="character" w:customStyle="1" w:styleId="a14">
    <w:name w:val="列出段落 字符"/>
    <w:link w:val="ListParagraph"/>
    <w:uiPriority w:val="34"/>
    <w:qFormat/>
    <w:rPr>
      <w:rFonts w:ascii="宋体" w:hAnsi="宋体" w:cs="宋体"/>
      <w:sz w:val="24"/>
      <w:szCs w:val="24"/>
    </w:rPr>
  </w:style>
  <w:style w:type="paragraph" w:styleId="ListParagraph">
    <w:name w:val="List Paragraph"/>
    <w:basedOn w:val="Normal"/>
    <w:link w:val="a14"/>
    <w:uiPriority w:val="34"/>
    <w:qFormat/>
    <w:pPr>
      <w:widowControl/>
      <w:ind w:firstLine="420" w:firstLineChars="200"/>
      <w:jc w:val="left"/>
    </w:pPr>
    <w:rPr>
      <w:rFonts w:ascii="宋体" w:hAnsi="宋体"/>
      <w:kern w:val="0"/>
      <w:sz w:val="24"/>
    </w:rPr>
  </w:style>
  <w:style w:type="character" w:customStyle="1" w:styleId="p21">
    <w:name w:val="p21"/>
    <w:rPr>
      <w:sz w:val="18"/>
      <w:szCs w:val="18"/>
    </w:rPr>
  </w:style>
  <w:style w:type="character" w:customStyle="1" w:styleId="Char5">
    <w:name w:val="正文（居中） Char"/>
    <w:link w:val="a15"/>
    <w:rPr>
      <w:rFonts w:ascii="仿宋" w:eastAsia="仿宋" w:hAnsi="仿宋"/>
      <w:sz w:val="28"/>
      <w:szCs w:val="21"/>
      <w:lang w:eastAsia="en-US" w:bidi="en-US"/>
    </w:rPr>
  </w:style>
  <w:style w:type="paragraph" w:customStyle="1" w:styleId="a15">
    <w:name w:val="正文（居中）"/>
    <w:basedOn w:val="Normal"/>
    <w:next w:val="Normal"/>
    <w:link w:val="Char5"/>
    <w:qFormat/>
    <w:pPr>
      <w:widowControl/>
      <w:spacing w:after="200" w:afterLines="50" w:line="432" w:lineRule="auto"/>
      <w:jc w:val="center"/>
    </w:pPr>
    <w:rPr>
      <w:rFonts w:ascii="仿宋" w:eastAsia="仿宋" w:hAnsi="仿宋"/>
      <w:kern w:val="0"/>
      <w:sz w:val="28"/>
      <w:szCs w:val="21"/>
      <w:lang w:eastAsia="en-US" w:bidi="en-US"/>
    </w:rPr>
  </w:style>
  <w:style w:type="character" w:customStyle="1" w:styleId="apple-converted-space">
    <w:name w:val="apple-converted-space"/>
  </w:style>
  <w:style w:type="character" w:customStyle="1" w:styleId="14CharChar">
    <w:name w:val="样式14 Char Char"/>
    <w:link w:val="14"/>
    <w:rPr>
      <w:rFonts w:ascii="宋体" w:eastAsia="仿宋_GB2312" w:hAnsi="宋体"/>
      <w:kern w:val="2"/>
      <w:sz w:val="28"/>
      <w:szCs w:val="28"/>
    </w:rPr>
  </w:style>
  <w:style w:type="paragraph" w:customStyle="1" w:styleId="14">
    <w:name w:val="样式14"/>
    <w:basedOn w:val="Normal"/>
    <w:link w:val="14CharChar"/>
    <w:pPr>
      <w:snapToGrid w:val="0"/>
      <w:spacing w:line="355" w:lineRule="auto"/>
      <w:ind w:firstLine="560" w:firstLineChars="200"/>
    </w:pPr>
    <w:rPr>
      <w:rFonts w:ascii="宋体" w:eastAsia="仿宋_GB2312" w:hAnsi="宋体"/>
      <w:sz w:val="28"/>
      <w:szCs w:val="28"/>
    </w:rPr>
  </w:style>
  <w:style w:type="character" w:customStyle="1" w:styleId="CharChar3">
    <w:name w:val="样式 日期 + 幼圆 加粗 Char Char"/>
    <w:rPr>
      <w:rFonts w:ascii="幼圆" w:eastAsia="黑体" w:hAnsi="幼圆"/>
      <w:b/>
      <w:bCs/>
      <w:kern w:val="2"/>
      <w:sz w:val="21"/>
      <w:lang w:val="en-US" w:eastAsia="zh-CN" w:bidi="ar-SA"/>
    </w:rPr>
  </w:style>
  <w:style w:type="character" w:customStyle="1" w:styleId="apple-style-span">
    <w:name w:val="apple-style-span"/>
  </w:style>
  <w:style w:type="character" w:customStyle="1" w:styleId="javascript">
    <w:name w:val="javascript"/>
  </w:style>
  <w:style w:type="character" w:customStyle="1" w:styleId="CharChar4">
    <w:name w:val="Char Char"/>
    <w:rPr>
      <w:rFonts w:ascii="Helvetica (PCL6)" w:eastAsia="黑体" w:hAnsi="Helvetica (PCL6)"/>
      <w:b/>
      <w:bCs/>
      <w:kern w:val="2"/>
      <w:sz w:val="32"/>
      <w:szCs w:val="32"/>
      <w:lang w:val="en-US" w:eastAsia="zh-CN" w:bidi="ar-SA"/>
    </w:rPr>
  </w:style>
  <w:style w:type="paragraph" w:customStyle="1" w:styleId="328">
    <w:name w:val="样式 标题 3 + 小三 行距: 固定值 28 磅"/>
    <w:basedOn w:val="Heading3"/>
    <w:pPr>
      <w:keepNext w:val="0"/>
      <w:keepLines w:val="0"/>
      <w:spacing w:before="0" w:after="0" w:line="560" w:lineRule="exact"/>
      <w:jc w:val="left"/>
    </w:pPr>
    <w:rPr>
      <w:rFonts w:ascii="黑体" w:eastAsia="黑体" w:hAnsi="宋体" w:cs="宋体"/>
      <w:sz w:val="28"/>
      <w:szCs w:val="20"/>
    </w:rPr>
  </w:style>
  <w:style w:type="paragraph" w:customStyle="1" w:styleId="xl254">
    <w:name w:val="xl25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Body-wjs">
    <w:name w:val="Body-wjs"/>
    <w:basedOn w:val="Normal"/>
    <w:qFormat/>
    <w:pPr>
      <w:spacing w:line="360" w:lineRule="auto"/>
      <w:ind w:firstLine="480" w:firstLineChars="200"/>
    </w:pPr>
    <w:rPr>
      <w:rFonts w:ascii="宋体" w:hAnsi="宋体" w:cs="宋体"/>
      <w:sz w:val="24"/>
      <w:szCs w:val="20"/>
    </w:rPr>
  </w:style>
  <w:style w:type="paragraph" w:customStyle="1" w:styleId="228">
    <w:name w:val="样式 标题 2 + 小三 行距: 固定值 28 磅"/>
    <w:basedOn w:val="Heading2"/>
    <w:pPr>
      <w:spacing w:line="500" w:lineRule="exact"/>
    </w:pPr>
    <w:rPr>
      <w:rFonts w:hAnsi="Arial" w:cs="宋体"/>
      <w:bCs/>
    </w:rPr>
  </w:style>
  <w:style w:type="paragraph" w:customStyle="1" w:styleId="CharCharCharCharCharCharCharCharChar1CharCharCharChar">
    <w:name w:val=" Char Char Char Char Char Char Char Char Char1 Char Char Char Char"/>
    <w:basedOn w:val="Normal"/>
    <w:pPr>
      <w:widowControl/>
      <w:spacing w:after="160" w:line="240" w:lineRule="exact"/>
      <w:jc w:val="left"/>
    </w:pPr>
    <w:rPr>
      <w:szCs w:val="20"/>
    </w:rPr>
  </w:style>
  <w:style w:type="paragraph" w:customStyle="1" w:styleId="xl77">
    <w:name w:val="xl77"/>
    <w:basedOn w:val="Normal"/>
    <w:pPr>
      <w:widowControl/>
      <w:pBdr>
        <w:top w:val="single" w:sz="4" w:space="0" w:color="auto"/>
        <w:left w:val="single" w:sz="4" w:space="0" w:color="auto"/>
        <w:right w:val="single" w:sz="4" w:space="0" w:color="auto"/>
      </w:pBdr>
      <w:spacing w:before="100" w:beforeAutospacing="1" w:after="100" w:afterAutospacing="1" w:line="500" w:lineRule="exact"/>
      <w:jc w:val="center"/>
      <w:textAlignment w:val="center"/>
    </w:pPr>
    <w:rPr>
      <w:rFonts w:ascii="宋体" w:hAnsi="宋体"/>
      <w:kern w:val="0"/>
      <w:sz w:val="24"/>
    </w:rPr>
  </w:style>
  <w:style w:type="paragraph" w:customStyle="1" w:styleId="-">
    <w:name w:val="正文-第几条"/>
    <w:basedOn w:val="Normal"/>
    <w:pPr>
      <w:spacing w:line="360" w:lineRule="auto"/>
    </w:pPr>
    <w:rPr>
      <w:b/>
      <w:sz w:val="24"/>
    </w:rPr>
  </w:style>
  <w:style w:type="paragraph" w:customStyle="1" w:styleId="a16">
    <w:name w:val="内容"/>
    <w:basedOn w:val="Normal"/>
    <w:qFormat/>
    <w:pPr>
      <w:widowControl/>
      <w:spacing w:after="200" w:line="360" w:lineRule="auto"/>
      <w:ind w:firstLine="420"/>
      <w:jc w:val="left"/>
    </w:pPr>
    <w:rPr>
      <w:rFonts w:ascii="Calibri" w:eastAsia="宋体" w:hAnsi="Calibri" w:cs="Times New Roman"/>
      <w:kern w:val="0"/>
      <w:sz w:val="28"/>
      <w:szCs w:val="20"/>
      <w:lang w:eastAsia="en-US" w:bidi="en-US"/>
    </w:rPr>
  </w:style>
  <w:style w:type="paragraph" w:customStyle="1" w:styleId="xl255">
    <w:name w:val="xl25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rPr>
  </w:style>
  <w:style w:type="paragraph" w:customStyle="1" w:styleId="GB23122424">
    <w:name w:val="样式 (西文) 宋体 (中文) 楷体_GB2312 五号 居中 段前: 2.4 磅 段后: 2.4 磅 行距: 单倍..."/>
    <w:basedOn w:val="Normal"/>
    <w:pPr>
      <w:spacing w:before="48" w:after="48"/>
      <w:jc w:val="center"/>
    </w:pPr>
    <w:rPr>
      <w:rFonts w:ascii="宋体" w:eastAsia="楷体_GB2312" w:hAnsi="宋体" w:cs="宋体"/>
      <w:kern w:val="0"/>
      <w:szCs w:val="20"/>
    </w:rPr>
  </w:style>
  <w:style w:type="paragraph" w:customStyle="1" w:styleId="xl25">
    <w:name w:val="xl2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63">
    <w:name w:val="xl63"/>
    <w:basedOn w:val="Normal"/>
    <w:pPr>
      <w:widowControl/>
      <w:spacing w:before="100" w:beforeAutospacing="1" w:after="100" w:afterAutospacing="1" w:line="500" w:lineRule="exact"/>
      <w:jc w:val="center"/>
    </w:pPr>
    <w:rPr>
      <w:rFonts w:ascii="幼圆" w:eastAsia="幼圆" w:hAnsi="宋体" w:hint="eastAsia"/>
      <w:b/>
      <w:bCs/>
      <w:kern w:val="0"/>
      <w:sz w:val="32"/>
      <w:szCs w:val="32"/>
    </w:rPr>
  </w:style>
  <w:style w:type="paragraph" w:customStyle="1" w:styleId="xl232">
    <w:name w:val="xl23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3CharCharCharCharCharCharCharCharChar1CharCharCharChar">
    <w:name w:val="3 Char Char Char Char Char Char Char Char Char1 Char Char Char Char"/>
    <w:basedOn w:val="Normal"/>
    <w:pPr>
      <w:snapToGrid w:val="0"/>
      <w:spacing w:line="360" w:lineRule="auto"/>
      <w:ind w:firstLine="200" w:firstLineChars="200"/>
    </w:pPr>
    <w:rPr>
      <w:rFonts w:eastAsia="仿宋_GB2312"/>
      <w:sz w:val="24"/>
    </w:rPr>
  </w:style>
  <w:style w:type="paragraph" w:customStyle="1" w:styleId="xl61">
    <w:name w:val="xl61"/>
    <w:basedOn w:val="Normal"/>
    <w:pPr>
      <w:widowControl/>
      <w:pBdr>
        <w:top w:val="single" w:sz="4" w:space="0" w:color="auto"/>
        <w:left w:val="single" w:sz="4" w:space="0" w:color="auto"/>
        <w:right w:val="single" w:sz="8" w:space="0" w:color="auto"/>
      </w:pBdr>
      <w:spacing w:before="100" w:beforeAutospacing="1" w:after="100" w:afterAutospacing="1" w:line="500" w:lineRule="exact"/>
      <w:jc w:val="center"/>
    </w:pPr>
    <w:rPr>
      <w:rFonts w:ascii="幼圆" w:eastAsia="幼圆" w:hAnsi="宋体" w:hint="eastAsia"/>
      <w:kern w:val="0"/>
      <w:sz w:val="24"/>
    </w:rPr>
  </w:style>
  <w:style w:type="paragraph" w:customStyle="1" w:styleId="a17">
    <w:name w:val="表文字"/>
    <w:basedOn w:val="Normal"/>
    <w:pPr>
      <w:tabs>
        <w:tab w:val="left" w:pos="2040"/>
      </w:tabs>
      <w:adjustRightInd w:val="0"/>
      <w:jc w:val="center"/>
      <w:textAlignment w:val="baseline"/>
    </w:pPr>
    <w:rPr>
      <w:spacing w:val="20"/>
      <w:kern w:val="0"/>
      <w:sz w:val="24"/>
      <w:szCs w:val="20"/>
    </w:rPr>
  </w:style>
  <w:style w:type="paragraph" w:customStyle="1" w:styleId="-0">
    <w:name w:val="王正慧-正文"/>
    <w:basedOn w:val="Normal"/>
    <w:pPr>
      <w:spacing w:line="360" w:lineRule="auto"/>
      <w:ind w:firstLine="480" w:firstLineChars="200"/>
    </w:pPr>
    <w:rPr>
      <w:rFonts w:cs="宋体"/>
      <w:sz w:val="24"/>
      <w:szCs w:val="20"/>
    </w:rPr>
  </w:style>
  <w:style w:type="paragraph" w:customStyle="1" w:styleId="1252">
    <w:name w:val="样式 黑体 小四 行距: 多倍行距 1.25 字行2"/>
    <w:basedOn w:val="Normal"/>
    <w:pPr>
      <w:spacing w:line="300" w:lineRule="auto"/>
      <w:ind w:firstLine="240" w:firstLineChars="100"/>
    </w:pPr>
    <w:rPr>
      <w:rFonts w:ascii="黑体" w:eastAsia="黑体" w:hAnsi="黑体" w:cs="宋体"/>
      <w:kern w:val="0"/>
      <w:sz w:val="24"/>
      <w:szCs w:val="20"/>
    </w:rPr>
  </w:style>
  <w:style w:type="paragraph" w:customStyle="1" w:styleId="xl41">
    <w:name w:val="xl4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l68">
    <w:name w:val="xl68"/>
    <w:basedOn w:val="Normal"/>
    <w:pPr>
      <w:widowControl/>
      <w:pBdr>
        <w:top w:val="single" w:sz="4" w:space="0" w:color="auto"/>
        <w:left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l256">
    <w:name w:val="xl25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44">
    <w:name w:val="xl4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left"/>
      <w:textAlignment w:val="center"/>
    </w:pPr>
    <w:rPr>
      <w:rFonts w:ascii="幼圆" w:eastAsia="幼圆" w:hAnsi="宋体" w:hint="eastAsia"/>
      <w:kern w:val="0"/>
      <w:sz w:val="24"/>
    </w:rPr>
  </w:style>
  <w:style w:type="paragraph" w:customStyle="1" w:styleId="xl50">
    <w:name w:val="xl5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left"/>
    </w:pPr>
    <w:rPr>
      <w:rFonts w:ascii="宋体" w:hAnsi="宋体"/>
      <w:kern w:val="0"/>
      <w:sz w:val="24"/>
    </w:rPr>
  </w:style>
  <w:style w:type="paragraph" w:customStyle="1" w:styleId="xl228">
    <w:name w:val="xl22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rPr>
  </w:style>
  <w:style w:type="paragraph" w:customStyle="1" w:styleId="xl262">
    <w:name w:val="xl26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64">
    <w:name w:val="xl64"/>
    <w:basedOn w:val="Normal"/>
    <w:pPr>
      <w:widowControl/>
      <w:pBdr>
        <w:top w:val="single" w:sz="8" w:space="0" w:color="auto"/>
        <w:left w:val="single" w:sz="8" w:space="0" w:color="auto"/>
        <w:bottom w:val="single" w:sz="4" w:space="0" w:color="auto"/>
      </w:pBdr>
      <w:spacing w:before="100" w:beforeAutospacing="1" w:after="100" w:afterAutospacing="1" w:line="500" w:lineRule="exact"/>
      <w:jc w:val="center"/>
    </w:pPr>
    <w:rPr>
      <w:rFonts w:ascii="幼圆" w:eastAsia="幼圆" w:hAnsi="宋体" w:hint="eastAsia"/>
      <w:b/>
      <w:bCs/>
      <w:kern w:val="0"/>
      <w:sz w:val="28"/>
      <w:szCs w:val="28"/>
    </w:rPr>
  </w:style>
  <w:style w:type="paragraph" w:customStyle="1" w:styleId="xl65">
    <w:name w:val="xl65"/>
    <w:basedOn w:val="Normal"/>
    <w:pPr>
      <w:widowControl/>
      <w:pBdr>
        <w:top w:val="single" w:sz="8" w:space="0" w:color="auto"/>
        <w:bottom w:val="single" w:sz="4" w:space="0" w:color="auto"/>
      </w:pBdr>
      <w:spacing w:before="100" w:beforeAutospacing="1" w:after="100" w:afterAutospacing="1" w:line="500" w:lineRule="exact"/>
      <w:jc w:val="center"/>
    </w:pPr>
    <w:rPr>
      <w:rFonts w:ascii="幼圆" w:eastAsia="幼圆" w:hAnsi="宋体" w:hint="eastAsia"/>
      <w:b/>
      <w:bCs/>
      <w:kern w:val="0"/>
      <w:sz w:val="28"/>
      <w:szCs w:val="28"/>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246">
    <w:name w:val="xl24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62">
    <w:name w:val="xl62"/>
    <w:basedOn w:val="Normal"/>
    <w:pPr>
      <w:widowControl/>
      <w:pBdr>
        <w:left w:val="single" w:sz="4" w:space="0" w:color="auto"/>
        <w:bottom w:val="single" w:sz="4" w:space="0" w:color="auto"/>
        <w:right w:val="single" w:sz="8" w:space="0" w:color="auto"/>
      </w:pBdr>
      <w:spacing w:before="100" w:beforeAutospacing="1" w:after="100" w:afterAutospacing="1" w:line="500" w:lineRule="exact"/>
      <w:jc w:val="center"/>
    </w:pPr>
    <w:rPr>
      <w:rFonts w:ascii="幼圆" w:eastAsia="幼圆" w:hAnsi="宋体" w:hint="eastAsia"/>
      <w:kern w:val="0"/>
      <w:sz w:val="24"/>
    </w:rPr>
  </w:style>
  <w:style w:type="paragraph" w:customStyle="1" w:styleId="xl265">
    <w:name w:val="xl265"/>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47">
    <w:name w:val="xl4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textAlignment w:val="center"/>
    </w:pPr>
    <w:rPr>
      <w:kern w:val="0"/>
      <w:sz w:val="24"/>
    </w:rPr>
  </w:style>
  <w:style w:type="paragraph" w:customStyle="1" w:styleId="a18">
    <w:name w:val="表"/>
    <w:basedOn w:val="TableofFigures"/>
    <w:next w:val="Normal"/>
    <w:pPr>
      <w:spacing w:before="120" w:line="500" w:lineRule="exact"/>
      <w:ind w:firstLine="0" w:leftChars="0" w:firstLineChars="0"/>
      <w:jc w:val="center"/>
    </w:pPr>
    <w:rPr>
      <w:rFonts w:ascii="黑体" w:eastAsia="黑体"/>
      <w:smallCaps/>
      <w:sz w:val="24"/>
    </w:rPr>
  </w:style>
  <w:style w:type="paragraph" w:customStyle="1" w:styleId="xl42">
    <w:name w:val="xl42"/>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a19">
    <w:name w:val="表样式"/>
    <w:pPr>
      <w:spacing w:before="50" w:after="50"/>
      <w:jc w:val="center"/>
    </w:pPr>
    <w:rPr>
      <w:sz w:val="28"/>
      <w:lang w:val="en-US" w:eastAsia="zh-CN" w:bidi="ar-SA"/>
    </w:rPr>
  </w:style>
  <w:style w:type="paragraph" w:customStyle="1" w:styleId="xl55">
    <w:name w:val="xl55"/>
    <w:basedOn w:val="Normal"/>
    <w:pPr>
      <w:widowControl/>
      <w:pBdr>
        <w:top w:val="single" w:sz="4" w:space="0" w:color="auto"/>
        <w:left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l277">
    <w:name w:val="xl277"/>
    <w:basedOn w:val="Normal"/>
    <w:pPr>
      <w:widowControl/>
      <w:pBdr>
        <w:top w:val="single" w:sz="4" w:space="0" w:color="auto"/>
        <w:bottom w:val="single" w:sz="4" w:space="0" w:color="auto"/>
      </w:pBdr>
      <w:spacing w:before="100" w:beforeAutospacing="1" w:after="100" w:afterAutospacing="1"/>
      <w:jc w:val="center"/>
    </w:pPr>
    <w:rPr>
      <w:rFonts w:ascii="宋体" w:hAnsi="宋体" w:cs="宋体"/>
      <w:kern w:val="0"/>
      <w:sz w:val="22"/>
      <w:szCs w:val="22"/>
    </w:rPr>
  </w:style>
  <w:style w:type="paragraph" w:customStyle="1" w:styleId="xdbt3">
    <w:name w:val="xdbt3"/>
    <w:basedOn w:val="Normal"/>
    <w:qFormat/>
    <w:pPr>
      <w:adjustRightInd w:val="0"/>
      <w:snapToGrid w:val="0"/>
      <w:spacing w:line="360" w:lineRule="auto"/>
      <w:jc w:val="left"/>
    </w:pPr>
    <w:rPr>
      <w:rFonts w:eastAsia="黑体"/>
      <w:sz w:val="24"/>
    </w:rPr>
  </w:style>
  <w:style w:type="paragraph" w:customStyle="1" w:styleId="CharCharChar1CharCharCharCharCharCharCharCharCharCharCharCharChar">
    <w:name w:val="Char Char Char1 Char Char Char Char Char Char Char Char Char Char Char Char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xl249">
    <w:name w:val="xl24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0"/>
      <w:szCs w:val="20"/>
    </w:rPr>
  </w:style>
  <w:style w:type="paragraph" w:customStyle="1" w:styleId="xl35">
    <w:name w:val="xl35"/>
    <w:basedOn w:val="Normal"/>
    <w:pPr>
      <w:widowControl/>
      <w:spacing w:before="100" w:beforeAutospacing="1" w:after="100" w:afterAutospacing="1"/>
      <w:jc w:val="left"/>
    </w:pPr>
    <w:rPr>
      <w:rFonts w:ascii="宋体" w:hAnsi="宋体" w:cs="宋体"/>
      <w:kern w:val="0"/>
      <w:sz w:val="18"/>
      <w:szCs w:val="18"/>
    </w:rPr>
  </w:style>
  <w:style w:type="paragraph" w:customStyle="1" w:styleId="xl278">
    <w:name w:val="xl278"/>
    <w:basedOn w:val="Normal"/>
    <w:pPr>
      <w:widowControl/>
      <w:pBdr>
        <w:top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2"/>
      <w:szCs w:val="22"/>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20">
    <w:name w:val="表格"/>
    <w:basedOn w:val="Normal"/>
    <w:next w:val="Normal"/>
    <w:qFormat/>
    <w:pPr>
      <w:widowControl/>
      <w:spacing w:after="200" w:line="360" w:lineRule="exact"/>
      <w:jc w:val="center"/>
    </w:pPr>
    <w:rPr>
      <w:rFonts w:ascii="Book Antiqua" w:eastAsia="宋体" w:hAnsi="Book Antiqua" w:cs="Times New Roman"/>
      <w:kern w:val="0"/>
      <w:sz w:val="24"/>
      <w:szCs w:val="22"/>
      <w:lang w:eastAsia="en-US" w:bidi="en-US"/>
    </w:rPr>
  </w:style>
  <w:style w:type="paragraph" w:customStyle="1" w:styleId="22">
    <w:name w:val="样式 标题 2 + 小四"/>
    <w:basedOn w:val="Heading2"/>
    <w:pPr>
      <w:spacing w:beforeLines="100"/>
    </w:pPr>
    <w:rPr>
      <w:rFonts w:ascii="Arial" w:eastAsia="黑体" w:hAnsi="Arial"/>
      <w:b w:val="0"/>
      <w:sz w:val="24"/>
      <w:szCs w:val="24"/>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291">
    <w:name w:val="xl29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67">
    <w:name w:val="xl67"/>
    <w:basedOn w:val="Normal"/>
    <w:pPr>
      <w:widowControl/>
      <w:pBdr>
        <w:top w:val="single" w:sz="8" w:space="0" w:color="auto"/>
        <w:bottom w:val="single" w:sz="4" w:space="0" w:color="auto"/>
        <w:right w:val="single" w:sz="8" w:space="0" w:color="auto"/>
      </w:pBdr>
      <w:spacing w:before="100" w:beforeAutospacing="1" w:after="100" w:afterAutospacing="1" w:line="500" w:lineRule="exact"/>
      <w:jc w:val="center"/>
    </w:pPr>
    <w:rPr>
      <w:rFonts w:ascii="幼圆" w:eastAsia="幼圆" w:hAnsi="宋体" w:hint="eastAsia"/>
      <w:b/>
      <w:bCs/>
      <w:kern w:val="0"/>
      <w:sz w:val="28"/>
      <w:szCs w:val="28"/>
    </w:rPr>
  </w:style>
  <w:style w:type="paragraph" w:customStyle="1" w:styleId="font5">
    <w:name w:val="font5"/>
    <w:basedOn w:val="Normal"/>
    <w:pPr>
      <w:widowControl/>
      <w:spacing w:before="100" w:beforeAutospacing="1" w:after="100" w:afterAutospacing="1"/>
      <w:jc w:val="left"/>
    </w:pPr>
    <w:rPr>
      <w:rFonts w:ascii="宋体" w:hAnsi="宋体" w:cs="宋体"/>
      <w:kern w:val="0"/>
      <w:sz w:val="18"/>
      <w:szCs w:val="18"/>
    </w:rPr>
  </w:style>
  <w:style w:type="paragraph" w:customStyle="1" w:styleId="xl48">
    <w:name w:val="xl4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left"/>
      <w:textAlignment w:val="center"/>
    </w:pPr>
    <w:rPr>
      <w:rFonts w:ascii="宋体" w:hAnsi="宋体"/>
      <w:kern w:val="0"/>
      <w:sz w:val="24"/>
    </w:rPr>
  </w:style>
  <w:style w:type="paragraph" w:customStyle="1" w:styleId="xl289">
    <w:name w:val="xl28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45">
    <w:name w:val="xl4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58">
    <w:name w:val="xl58"/>
    <w:basedOn w:val="Normal"/>
    <w:pPr>
      <w:widowControl/>
      <w:pBdr>
        <w:top w:val="single" w:sz="4" w:space="0" w:color="auto"/>
        <w:left w:val="single" w:sz="4" w:space="0" w:color="auto"/>
        <w:right w:val="single" w:sz="4" w:space="0" w:color="auto"/>
      </w:pBdr>
      <w:spacing w:before="100" w:beforeAutospacing="1" w:after="100" w:afterAutospacing="1" w:line="500" w:lineRule="exact"/>
      <w:jc w:val="center"/>
      <w:textAlignment w:val="center"/>
    </w:pPr>
    <w:rPr>
      <w:rFonts w:ascii="宋体" w:hAnsi="宋体"/>
      <w:kern w:val="0"/>
      <w:sz w:val="24"/>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227">
    <w:name w:val="xl227"/>
    <w:basedOn w:val="Normal"/>
    <w:pPr>
      <w:widowControl/>
      <w:spacing w:before="100" w:beforeAutospacing="1" w:after="100" w:afterAutospacing="1"/>
    </w:pPr>
    <w:rPr>
      <w:rFonts w:ascii="宋体" w:hAnsi="宋体" w:cs="宋体"/>
      <w:kern w:val="0"/>
      <w:sz w:val="24"/>
    </w:rPr>
  </w:style>
  <w:style w:type="paragraph" w:customStyle="1" w:styleId="xl234">
    <w:name w:val="xl23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70">
    <w:name w:val="xl270"/>
    <w:basedOn w:val="Normal"/>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Default">
    <w:name w:val="Default"/>
    <w:qFormat/>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xl253">
    <w:name w:val="xl25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a21">
    <w:name w:val="一级..."/>
    <w:basedOn w:val="Normal"/>
    <w:pPr>
      <w:widowControl/>
      <w:tabs>
        <w:tab w:val="left" w:pos="360"/>
        <w:tab w:val="left" w:pos="862"/>
      </w:tabs>
      <w:adjustRightInd w:val="0"/>
      <w:snapToGrid w:val="0"/>
      <w:ind w:left="862" w:hanging="340"/>
    </w:pPr>
    <w:rPr>
      <w:kern w:val="0"/>
      <w:sz w:val="24"/>
      <w:szCs w:val="20"/>
    </w:rPr>
  </w:style>
  <w:style w:type="paragraph" w:customStyle="1" w:styleId="xl284">
    <w:name w:val="xl284"/>
    <w:basedOn w:val="Normal"/>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a22">
    <w:name w:val="表题注"/>
    <w:basedOn w:val="Caption"/>
    <w:pPr>
      <w:spacing w:beforeLines="50" w:afterLines="50" w:line="300" w:lineRule="auto"/>
    </w:pPr>
    <w:rPr>
      <w:rFonts w:ascii="黑体" w:hAnsi="宋体" w:cs="宋体"/>
      <w:sz w:val="24"/>
      <w:szCs w:val="24"/>
    </w:rPr>
  </w:style>
  <w:style w:type="paragraph" w:customStyle="1" w:styleId="xl275">
    <w:name w:val="xl275"/>
    <w:basedOn w:val="Normal"/>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32">
    <w:name w:val="xl32"/>
    <w:basedOn w:val="Normal"/>
    <w:pPr>
      <w:widowControl/>
      <w:pBdr>
        <w:bottom w:val="single" w:sz="4" w:space="0" w:color="auto"/>
        <w:right w:val="single" w:sz="4" w:space="0" w:color="auto"/>
      </w:pBdr>
      <w:spacing w:before="100" w:beforeAutospacing="1" w:after="100" w:afterAutospacing="1"/>
      <w:jc w:val="center"/>
      <w:textAlignment w:val="top"/>
    </w:pPr>
    <w:rPr>
      <w:kern w:val="0"/>
      <w:szCs w:val="21"/>
    </w:rPr>
  </w:style>
  <w:style w:type="paragraph" w:customStyle="1" w:styleId="xl281">
    <w:name w:val="xl281"/>
    <w:basedOn w:val="Normal"/>
    <w:pPr>
      <w:widowControl/>
      <w:spacing w:before="100" w:beforeAutospacing="1" w:after="100" w:afterAutospacing="1"/>
      <w:jc w:val="center"/>
    </w:pPr>
    <w:rPr>
      <w:rFonts w:ascii="黑体" w:eastAsia="黑体" w:hAnsi="宋体" w:cs="宋体"/>
      <w:b/>
      <w:bCs/>
      <w:kern w:val="0"/>
      <w:sz w:val="44"/>
      <w:szCs w:val="44"/>
    </w:rPr>
  </w:style>
  <w:style w:type="paragraph" w:customStyle="1" w:styleId="xl269">
    <w:name w:val="xl269"/>
    <w:basedOn w:val="Normal"/>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23">
    <w:name w:val="插图名称"/>
    <w:next w:val="Normal"/>
    <w:qFormat/>
    <w:pPr>
      <w:spacing w:beforeLines="50" w:after="120" w:line="0" w:lineRule="atLeast"/>
      <w:jc w:val="center"/>
    </w:pPr>
    <w:rPr>
      <w:rFonts w:ascii="宋体" w:hAnsi="宋体" w:cs="宋体"/>
      <w:kern w:val="2"/>
      <w:sz w:val="24"/>
      <w:szCs w:val="22"/>
      <w:lang w:val="en-US" w:eastAsia="en-US" w:bidi="en-US"/>
    </w:rPr>
  </w:style>
  <w:style w:type="paragraph" w:customStyle="1" w:styleId="xl279">
    <w:name w:val="xl279"/>
    <w:basedOn w:val="Normal"/>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76">
    <w:name w:val="xl76"/>
    <w:basedOn w:val="Normal"/>
    <w:pPr>
      <w:widowControl/>
      <w:pBdr>
        <w:left w:val="single" w:sz="4" w:space="0" w:color="auto"/>
        <w:bottom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245">
    <w:name w:val="xl24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24">
    <w:name w:val="表格内容"/>
    <w:basedOn w:val="Normal"/>
    <w:pPr>
      <w:jc w:val="center"/>
    </w:pPr>
    <w:rPr>
      <w:rFonts w:ascii="宋体" w:hAnsi="宋体" w:cs="宋体"/>
      <w:kern w:val="0"/>
      <w:szCs w:val="21"/>
    </w:rPr>
  </w:style>
  <w:style w:type="paragraph" w:customStyle="1" w:styleId="xl258">
    <w:name w:val="xl25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72">
    <w:name w:val="xl72"/>
    <w:basedOn w:val="Normal"/>
    <w:pPr>
      <w:widowControl/>
      <w:pBdr>
        <w:left w:val="single" w:sz="4" w:space="0" w:color="auto"/>
        <w:right w:val="single" w:sz="4" w:space="0" w:color="auto"/>
      </w:pBdr>
      <w:spacing w:before="100" w:beforeAutospacing="1" w:after="100" w:afterAutospacing="1" w:line="500" w:lineRule="exact"/>
      <w:jc w:val="left"/>
    </w:pPr>
    <w:rPr>
      <w:rFonts w:ascii="宋体" w:hAnsi="宋体"/>
      <w:kern w:val="0"/>
      <w:sz w:val="24"/>
    </w:rPr>
  </w:style>
  <w:style w:type="paragraph" w:customStyle="1" w:styleId="10">
    <w:name w:val="样式1"/>
    <w:basedOn w:val="NormalIndent"/>
    <w:pPr>
      <w:tabs>
        <w:tab w:val="left" w:pos="618"/>
      </w:tabs>
      <w:wordWrap w:val="0"/>
      <w:spacing w:before="100" w:beforeAutospacing="1" w:after="100" w:afterAutospacing="1" w:line="240" w:lineRule="atLeast"/>
      <w:ind w:right="395" w:firstLine="0" w:rightChars="188"/>
      <w:jc w:val="right"/>
    </w:pPr>
    <w:rPr>
      <w:rFonts w:ascii="宋体" w:eastAsia="宋体" w:hAnsi="宋体"/>
      <w:b/>
      <w:kern w:val="28"/>
      <w:sz w:val="21"/>
      <w:szCs w:val="21"/>
    </w:rPr>
  </w:style>
  <w:style w:type="paragraph" w:customStyle="1" w:styleId="xl236">
    <w:name w:val="xl23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29">
    <w:name w:val="xl22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27">
    <w:name w:val="样式 行距: 固定值 27 磅"/>
    <w:basedOn w:val="Normal"/>
    <w:pPr>
      <w:spacing w:before="120" w:after="120" w:line="540" w:lineRule="exact"/>
    </w:pPr>
    <w:rPr>
      <w:rFonts w:eastAsia="仿宋_GB2312" w:cs="宋体"/>
      <w:sz w:val="28"/>
      <w:szCs w:val="20"/>
    </w:rPr>
  </w:style>
  <w:style w:type="paragraph" w:customStyle="1" w:styleId="xl226">
    <w:name w:val="xl22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Char6">
    <w:name w:val=" Char"/>
    <w:basedOn w:val="Normal"/>
    <w:rPr>
      <w:rFonts w:ascii="仿宋_GB2312" w:eastAsia="仿宋_GB2312"/>
      <w:b/>
      <w:sz w:val="32"/>
      <w:szCs w:val="32"/>
    </w:rPr>
  </w:style>
  <w:style w:type="paragraph" w:customStyle="1" w:styleId="xl286">
    <w:name w:val="xl28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247">
    <w:name w:val="xl24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宋体" w:cs="宋体"/>
      <w:b/>
      <w:bCs/>
      <w:kern w:val="0"/>
      <w:sz w:val="24"/>
    </w:rPr>
  </w:style>
  <w:style w:type="paragraph" w:customStyle="1" w:styleId="a25">
    <w:name w:val="表头"/>
    <w:basedOn w:val="Normal"/>
    <w:next w:val="Normal"/>
    <w:pPr>
      <w:jc w:val="center"/>
    </w:pPr>
    <w:rPr>
      <w:sz w:val="24"/>
    </w:rPr>
  </w:style>
  <w:style w:type="paragraph" w:customStyle="1" w:styleId="12">
    <w:name w:val="列出段落12"/>
    <w:basedOn w:val="Normal"/>
    <w:uiPriority w:val="34"/>
    <w:qFormat/>
    <w:pPr>
      <w:widowControl/>
      <w:spacing w:after="200" w:line="276" w:lineRule="auto"/>
      <w:ind w:firstLine="420" w:firstLineChars="200"/>
      <w:jc w:val="left"/>
    </w:pPr>
    <w:rPr>
      <w:rFonts w:ascii="Calibri" w:eastAsia="宋体" w:hAnsi="Calibri" w:cs="Times New Roman"/>
      <w:kern w:val="0"/>
      <w:sz w:val="28"/>
      <w:szCs w:val="20"/>
      <w:lang w:eastAsia="en-US" w:bidi="en-US"/>
    </w:rPr>
  </w:style>
  <w:style w:type="paragraph" w:customStyle="1" w:styleId="xl57">
    <w:name w:val="xl57"/>
    <w:basedOn w:val="Normal"/>
    <w:pPr>
      <w:widowControl/>
      <w:pBdr>
        <w:left w:val="single" w:sz="4" w:space="0" w:color="auto"/>
        <w:bottom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l274">
    <w:name w:val="xl274"/>
    <w:basedOn w:val="Normal"/>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260">
    <w:name w:val="xl26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0">
    <w:name w:val="xl60"/>
    <w:basedOn w:val="Normal"/>
    <w:pPr>
      <w:widowControl/>
      <w:pBdr>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宋体" w:hAnsi="宋体"/>
      <w:b/>
      <w:bCs/>
      <w:kern w:val="0"/>
      <w:sz w:val="24"/>
    </w:rPr>
  </w:style>
  <w:style w:type="paragraph" w:customStyle="1" w:styleId="Body">
    <w:name w:val="Body 图表编号"/>
    <w:basedOn w:val="Normal"/>
    <w:qFormat/>
    <w:pPr>
      <w:spacing w:line="360" w:lineRule="auto"/>
      <w:ind w:right="50" w:firstLine="200" w:rightChars="50" w:firstLineChars="200"/>
      <w:jc w:val="center"/>
    </w:pPr>
    <w:rPr>
      <w:rFonts w:ascii="宋体" w:hAnsi="宋体" w:cs="宋体"/>
      <w:szCs w:val="20"/>
    </w:rPr>
  </w:style>
  <w:style w:type="paragraph" w:customStyle="1" w:styleId="l-">
    <w:name w:val="l-正文"/>
    <w:pPr>
      <w:spacing w:before="100" w:after="100" w:line="360" w:lineRule="auto"/>
      <w:ind w:firstLine="567"/>
    </w:pPr>
    <w:rPr>
      <w:rFonts w:ascii="宋体" w:hAnsi="宋体" w:cs="宋体"/>
      <w:kern w:val="2"/>
      <w:sz w:val="28"/>
      <w:lang w:val="en-US" w:eastAsia="zh-CN" w:bidi="ar-SA"/>
    </w:rPr>
  </w:style>
  <w:style w:type="paragraph" w:customStyle="1" w:styleId="xl273">
    <w:name w:val="xl273"/>
    <w:basedOn w:val="Normal"/>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250">
    <w:name w:val="xl25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宋体" w:hAnsi="宋体" w:cs="宋体"/>
      <w:kern w:val="0"/>
      <w:sz w:val="20"/>
      <w:szCs w:val="20"/>
    </w:rPr>
  </w:style>
  <w:style w:type="paragraph" w:customStyle="1" w:styleId="xl75">
    <w:name w:val="xl75"/>
    <w:basedOn w:val="Normal"/>
    <w:pPr>
      <w:widowControl/>
      <w:pBdr>
        <w:left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233">
    <w:name w:val="xl23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11">
    <w:name w:val="无间隔1"/>
    <w:basedOn w:val="Normal"/>
    <w:uiPriority w:val="1"/>
    <w:qFormat/>
    <w:pPr>
      <w:widowControl/>
      <w:spacing w:after="200" w:line="276" w:lineRule="auto"/>
      <w:jc w:val="left"/>
    </w:pPr>
    <w:rPr>
      <w:rFonts w:ascii="Calibri" w:eastAsia="宋体" w:hAnsi="Calibri" w:cs="Times New Roman"/>
      <w:kern w:val="0"/>
      <w:sz w:val="24"/>
      <w:szCs w:val="32"/>
      <w:lang w:eastAsia="en-US" w:bidi="en-US"/>
    </w:rPr>
  </w:style>
  <w:style w:type="paragraph" w:customStyle="1" w:styleId="xl83">
    <w:name w:val="xl83"/>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line="500" w:lineRule="exact"/>
      <w:jc w:val="center"/>
      <w:textAlignment w:val="center"/>
    </w:pPr>
    <w:rPr>
      <w:kern w:val="0"/>
      <w:sz w:val="16"/>
      <w:szCs w:val="16"/>
    </w:rPr>
  </w:style>
  <w:style w:type="paragraph" w:customStyle="1" w:styleId="xl237">
    <w:name w:val="xl23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styleId="NoSpacing">
    <w:name w:val="No Spacing"/>
    <w:uiPriority w:val="1"/>
    <w:qFormat/>
    <w:pPr>
      <w:widowControl w:val="0"/>
      <w:spacing w:line="360" w:lineRule="auto"/>
      <w:jc w:val="both"/>
    </w:pPr>
    <w:rPr>
      <w:rFonts w:eastAsia="仿宋_GB2312"/>
      <w:kern w:val="2"/>
      <w:sz w:val="24"/>
      <w:szCs w:val="24"/>
      <w:lang w:val="en-US" w:eastAsia="zh-CN" w:bidi="ar-SA"/>
    </w:rPr>
  </w:style>
  <w:style w:type="paragraph" w:customStyle="1" w:styleId="xl264">
    <w:name w:val="xl26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Normal"/>
    <w:pPr>
      <w:widowControl/>
      <w:pBdr>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font6">
    <w:name w:val="font6"/>
    <w:basedOn w:val="Normal"/>
    <w:pPr>
      <w:widowControl/>
      <w:spacing w:before="100" w:beforeAutospacing="1" w:after="100" w:afterAutospacing="1"/>
      <w:jc w:val="left"/>
    </w:pPr>
    <w:rPr>
      <w:rFonts w:ascii="宋体" w:hAnsi="宋体" w:cs="宋体"/>
      <w:kern w:val="0"/>
      <w:sz w:val="24"/>
    </w:rPr>
  </w:style>
  <w:style w:type="paragraph" w:customStyle="1" w:styleId="xl36">
    <w:name w:val="xl3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l268">
    <w:name w:val="xl268"/>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2"/>
      <w:szCs w:val="22"/>
    </w:rPr>
  </w:style>
  <w:style w:type="paragraph" w:customStyle="1" w:styleId="xl82">
    <w:name w:val="xl82"/>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kern w:val="0"/>
      <w:sz w:val="16"/>
      <w:szCs w:val="16"/>
    </w:rPr>
  </w:style>
  <w:style w:type="paragraph" w:customStyle="1" w:styleId="xl285">
    <w:name w:val="xl28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51">
    <w:name w:val="xl5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pPr>
    <w:rPr>
      <w:rFonts w:ascii="宋体" w:hAnsi="宋体"/>
      <w:b/>
      <w:bCs/>
      <w:kern w:val="0"/>
      <w:sz w:val="24"/>
    </w:rPr>
  </w:style>
  <w:style w:type="paragraph" w:customStyle="1" w:styleId="xl78">
    <w:name w:val="xl78"/>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kern w:val="0"/>
      <w:sz w:val="18"/>
      <w:szCs w:val="18"/>
    </w:rPr>
  </w:style>
  <w:style w:type="paragraph" w:customStyle="1" w:styleId="13">
    <w:name w:val="三级(1)"/>
    <w:basedOn w:val="Normal"/>
    <w:pPr>
      <w:adjustRightInd w:val="0"/>
      <w:snapToGrid w:val="0"/>
      <w:spacing w:line="360" w:lineRule="exact"/>
      <w:textAlignment w:val="baseline"/>
    </w:pPr>
    <w:rPr>
      <w:kern w:val="0"/>
      <w:szCs w:val="20"/>
    </w:rPr>
  </w:style>
  <w:style w:type="paragraph" w:customStyle="1" w:styleId="xl52">
    <w:name w:val="xl52"/>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line="500" w:lineRule="exact"/>
      <w:jc w:val="left"/>
    </w:pPr>
    <w:rPr>
      <w:rFonts w:ascii="宋体" w:hAnsi="宋体"/>
      <w:kern w:val="0"/>
      <w:sz w:val="24"/>
    </w:rPr>
  </w:style>
  <w:style w:type="paragraph" w:customStyle="1" w:styleId="15">
    <w:name w:val="标准样式1"/>
    <w:basedOn w:val="Normal"/>
    <w:pPr>
      <w:spacing w:line="600" w:lineRule="exact"/>
      <w:ind w:firstLine="200" w:firstLineChars="200"/>
    </w:pPr>
    <w:rPr>
      <w:sz w:val="28"/>
      <w:szCs w:val="20"/>
    </w:rPr>
  </w:style>
  <w:style w:type="paragraph" w:customStyle="1" w:styleId="ParaCharCharCharCharCharCharCharCharCharCharCharCharChar">
    <w:name w:val="默认段落字体 Para Char Char Char Char Char Char Char Char Char Char Char Char Char"/>
    <w:basedOn w:val="Normal"/>
  </w:style>
  <w:style w:type="paragraph" w:customStyle="1" w:styleId="head">
    <w:name w:val="head"/>
    <w:basedOn w:val="Normal"/>
    <w:pPr>
      <w:widowControl/>
      <w:spacing w:before="100" w:beforeAutospacing="1" w:after="100" w:afterAutospacing="1"/>
      <w:jc w:val="left"/>
    </w:pPr>
    <w:rPr>
      <w:rFonts w:ascii="宋体" w:hAnsi="宋体" w:cs="宋体"/>
      <w:color w:val="000000"/>
      <w:kern w:val="0"/>
      <w:sz w:val="24"/>
    </w:rPr>
  </w:style>
  <w:style w:type="paragraph" w:customStyle="1" w:styleId="p2">
    <w:name w:val="p2"/>
    <w:basedOn w:val="Normal"/>
    <w:pPr>
      <w:widowControl/>
      <w:spacing w:before="100" w:beforeAutospacing="1" w:after="100" w:afterAutospacing="1"/>
      <w:jc w:val="left"/>
    </w:pPr>
    <w:rPr>
      <w:rFonts w:ascii="宋体" w:hAnsi="宋体" w:cs="宋体"/>
      <w:color w:val="000000"/>
      <w:kern w:val="0"/>
      <w:sz w:val="18"/>
      <w:szCs w:val="18"/>
    </w:rPr>
  </w:style>
  <w:style w:type="paragraph" w:customStyle="1" w:styleId="xl235">
    <w:name w:val="xl23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rPr>
  </w:style>
  <w:style w:type="paragraph" w:customStyle="1" w:styleId="xl30">
    <w:name w:val="xl3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23">
    <w:name w:val="2"/>
    <w:basedOn w:val="Normal"/>
    <w:next w:val="BodyTextIndent"/>
    <w:pPr>
      <w:spacing w:line="480" w:lineRule="exact"/>
      <w:ind w:firstLine="540"/>
    </w:pPr>
    <w:rPr>
      <w:sz w:val="28"/>
      <w:szCs w:val="20"/>
    </w:rPr>
  </w:style>
  <w:style w:type="paragraph" w:customStyle="1" w:styleId="28">
    <w:name w:val="样式 正文文本缩进 + 幼圆 行距: 固定值 28 磅"/>
    <w:basedOn w:val="BodyTextIndent"/>
    <w:pPr>
      <w:spacing w:line="360" w:lineRule="auto"/>
      <w:ind w:firstLine="480" w:firstLineChars="200"/>
    </w:pPr>
    <w:rPr>
      <w:rFonts w:ascii="宋体" w:eastAsia="宋体" w:hAnsi="宋体"/>
    </w:rPr>
  </w:style>
  <w:style w:type="paragraph" w:customStyle="1" w:styleId="xl54">
    <w:name w:val="xl54"/>
    <w:basedOn w:val="Normal"/>
    <w:pPr>
      <w:widowControl/>
      <w:pBdr>
        <w:left w:val="single" w:sz="4" w:space="0" w:color="auto"/>
        <w:right w:val="single" w:sz="4" w:space="0" w:color="auto"/>
      </w:pBdr>
      <w:spacing w:before="100" w:beforeAutospacing="1" w:after="100" w:afterAutospacing="1" w:line="500" w:lineRule="exact"/>
      <w:jc w:val="left"/>
    </w:pPr>
    <w:rPr>
      <w:rFonts w:ascii="宋体" w:hAnsi="宋体"/>
      <w:b/>
      <w:bCs/>
      <w:kern w:val="0"/>
      <w:sz w:val="24"/>
    </w:rPr>
  </w:style>
  <w:style w:type="paragraph" w:customStyle="1" w:styleId="xl283">
    <w:name w:val="xl283"/>
    <w:basedOn w:val="Normal"/>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290">
    <w:name w:val="xl29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56">
    <w:name w:val="xl56"/>
    <w:basedOn w:val="Normal"/>
    <w:pPr>
      <w:widowControl/>
      <w:pBdr>
        <w:left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dbt2">
    <w:name w:val="xdbt2"/>
    <w:basedOn w:val="1217"/>
    <w:qFormat/>
    <w:pPr>
      <w:ind w:firstLine="0"/>
      <w:outlineLvl w:val="1"/>
    </w:pPr>
    <w:rPr>
      <w:rFonts w:eastAsia="黑体"/>
      <w:sz w:val="28"/>
    </w:rPr>
  </w:style>
  <w:style w:type="paragraph" w:customStyle="1" w:styleId="xl257">
    <w:name w:val="xl25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241">
    <w:name w:val="xl24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xl40">
    <w:name w:val="xl40"/>
    <w:basedOn w:val="Normal"/>
    <w:pPr>
      <w:widowControl/>
      <w:pBdr>
        <w:top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a26">
    <w:name w:val="一般文字"/>
    <w:basedOn w:val="Normal"/>
    <w:pPr>
      <w:numPr>
        <w:ilvl w:val="0"/>
        <w:numId w:val="1"/>
      </w:numPr>
      <w:tabs>
        <w:tab w:val="left" w:pos="900"/>
      </w:tabs>
      <w:spacing w:afterLines="50" w:line="300" w:lineRule="auto"/>
    </w:pPr>
    <w:rPr>
      <w:rFonts w:ascii="Arial" w:hAnsi="Arial" w:cs="宋体"/>
      <w:color w:val="000000"/>
      <w:sz w:val="24"/>
      <w:szCs w:val="20"/>
    </w:rPr>
  </w:style>
  <w:style w:type="paragraph" w:customStyle="1" w:styleId="xl242">
    <w:name w:val="xl24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240">
    <w:name w:val="xl24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2"/>
      <w:szCs w:val="22"/>
    </w:rPr>
  </w:style>
  <w:style w:type="paragraph" w:customStyle="1" w:styleId="xl239">
    <w:name w:val="xl23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rPr>
  </w:style>
  <w:style w:type="paragraph" w:customStyle="1" w:styleId="formfirst">
    <w:name w:val="form_first"/>
    <w:basedOn w:val="Normal"/>
    <w:pPr>
      <w:autoSpaceDE w:val="0"/>
      <w:autoSpaceDN w:val="0"/>
      <w:adjustRightInd w:val="0"/>
      <w:spacing w:line="360" w:lineRule="auto"/>
      <w:jc w:val="center"/>
    </w:pPr>
    <w:rPr>
      <w:color w:val="000000"/>
      <w:kern w:val="0"/>
    </w:rPr>
  </w:style>
  <w:style w:type="paragraph" w:customStyle="1" w:styleId="205052">
    <w:name w:val="样式 样式 我的正文 + 首行缩进:  2 字符 段前: 0.5 行 段后: 0.5 行 + 首行缩进:  2 字符 段前: ..."/>
    <w:basedOn w:val="Normal"/>
    <w:pPr>
      <w:spacing w:beforeLines="20" w:afterLines="20" w:line="360" w:lineRule="auto"/>
      <w:ind w:firstLine="200" w:firstLineChars="200"/>
    </w:pPr>
    <w:rPr>
      <w:rFonts w:cs="宋体"/>
      <w:sz w:val="24"/>
      <w:szCs w:val="20"/>
    </w:rPr>
  </w:style>
  <w:style w:type="paragraph" w:customStyle="1" w:styleId="font9">
    <w:name w:val="font9"/>
    <w:basedOn w:val="Normal"/>
    <w:pPr>
      <w:widowControl/>
      <w:spacing w:before="100" w:beforeAutospacing="1" w:after="100" w:afterAutospacing="1" w:line="500" w:lineRule="exact"/>
      <w:jc w:val="left"/>
    </w:pPr>
    <w:rPr>
      <w:rFonts w:ascii="幼圆" w:eastAsia="幼圆" w:hAnsi="宋体" w:hint="eastAsia"/>
      <w:kern w:val="0"/>
      <w:sz w:val="16"/>
      <w:szCs w:val="16"/>
    </w:rPr>
  </w:style>
  <w:style w:type="paragraph" w:customStyle="1" w:styleId="xl71">
    <w:name w:val="xl71"/>
    <w:basedOn w:val="Normal"/>
    <w:pPr>
      <w:widowControl/>
      <w:pBdr>
        <w:top w:val="single" w:sz="4" w:space="0" w:color="auto"/>
        <w:left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69">
    <w:name w:val="xl69"/>
    <w:basedOn w:val="Normal"/>
    <w:pPr>
      <w:widowControl/>
      <w:pBdr>
        <w:left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15528">
    <w:name w:val="样式 标题 1 + 三号 段前: 5 磅 段后: 5 磅 行距: 固定值 28 磅"/>
    <w:basedOn w:val="Heading1"/>
    <w:pPr>
      <w:spacing w:before="0" w:after="0" w:line="500" w:lineRule="exact"/>
    </w:pPr>
    <w:rPr>
      <w:rFonts w:cs="宋体"/>
      <w:sz w:val="28"/>
      <w:szCs w:val="20"/>
      <w:lang w:val="en-US" w:eastAsia="zh-CN"/>
    </w:rPr>
  </w:style>
  <w:style w:type="paragraph" w:customStyle="1" w:styleId="Char7">
    <w:name w:val="Char"/>
    <w:basedOn w:val="Normal"/>
    <w:pPr>
      <w:spacing w:before="50" w:beforeLines="50" w:after="50" w:afterLines="50"/>
      <w:ind w:firstLine="200" w:firstLineChars="200"/>
    </w:pPr>
    <w:rPr>
      <w:rFonts w:ascii="宋体" w:hAnsi="宋体" w:cs="Courier New"/>
      <w:spacing w:val="-2"/>
      <w:sz w:val="32"/>
      <w:szCs w:val="32"/>
    </w:rPr>
  </w:style>
  <w:style w:type="paragraph" w:customStyle="1" w:styleId="xl282">
    <w:name w:val="xl282"/>
    <w:basedOn w:val="Normal"/>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CharCharChar1CharCharCharCharCharCharCharCharCharCharCharCharCharCharCharChar">
    <w:name w:val="Char Char Char1 Char Char Char Char Char Char Char Char Char Char Char Char Char Char Char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xl272">
    <w:name w:val="xl272"/>
    <w:basedOn w:val="Normal"/>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261">
    <w:name w:val="xl26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230">
    <w:name w:val="xl23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spacing w:before="100" w:beforeAutospacing="1" w:after="100" w:afterAutospacing="1"/>
      <w:jc w:val="center"/>
    </w:pPr>
    <w:rPr>
      <w:rFonts w:ascii="宋体" w:hAnsi="宋体" w:cs="宋体"/>
      <w:kern w:val="0"/>
      <w:sz w:val="18"/>
      <w:szCs w:val="18"/>
    </w:rPr>
  </w:style>
  <w:style w:type="paragraph" w:customStyle="1" w:styleId="xl252">
    <w:name w:val="xl25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263">
    <w:name w:val="xl263"/>
    <w:basedOn w:val="Normal"/>
    <w:pPr>
      <w:widowControl/>
      <w:spacing w:before="100" w:beforeAutospacing="1" w:after="100" w:afterAutospacing="1"/>
      <w:jc w:val="left"/>
    </w:pPr>
    <w:rPr>
      <w:rFonts w:ascii="宋体" w:hAnsi="宋体" w:cs="宋体"/>
      <w:kern w:val="0"/>
      <w:sz w:val="24"/>
    </w:rPr>
  </w:style>
  <w:style w:type="paragraph" w:customStyle="1" w:styleId="xl38">
    <w:name w:val="xl38"/>
    <w:basedOn w:val="Normal"/>
    <w:pPr>
      <w:widowControl/>
      <w:pBdr>
        <w:top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81">
    <w:name w:val="xl81"/>
    <w:basedOn w:val="Normal"/>
    <w:pPr>
      <w:widowControl/>
      <w:pBdr>
        <w:left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18"/>
      <w:szCs w:val="18"/>
    </w:rPr>
  </w:style>
  <w:style w:type="paragraph" w:customStyle="1" w:styleId="a27">
    <w:name w:val="文本"/>
    <w:basedOn w:val="Normal"/>
    <w:pPr>
      <w:widowControl/>
      <w:spacing w:line="360" w:lineRule="auto"/>
      <w:ind w:firstLine="480" w:firstLineChars="200"/>
      <w:jc w:val="left"/>
    </w:pPr>
    <w:rPr>
      <w:rFonts w:ascii="宋体" w:hAnsi="宋体"/>
      <w:sz w:val="24"/>
    </w:rPr>
  </w:style>
  <w:style w:type="paragraph" w:customStyle="1" w:styleId="ParaCharCharCharCharCharCharCharCharCharChar">
    <w:name w:val="默认段落字体 Para Char Char Char Char Char Char Char Char Char Char"/>
    <w:basedOn w:val="Normal"/>
    <w:rPr>
      <w:szCs w:val="20"/>
    </w:rPr>
  </w:style>
  <w:style w:type="paragraph" w:customStyle="1" w:styleId="a28">
    <w:name w:val="正文格式"/>
    <w:basedOn w:val="Normal"/>
    <w:pPr>
      <w:spacing w:line="400" w:lineRule="exact"/>
      <w:ind w:firstLine="200" w:firstLineChars="200"/>
    </w:pPr>
    <w:rPr>
      <w:rFonts w:ascii="宋体" w:hAnsi="宋体" w:cs="宋体"/>
      <w:sz w:val="24"/>
    </w:rPr>
  </w:style>
  <w:style w:type="paragraph" w:customStyle="1" w:styleId="xl80">
    <w:name w:val="xl8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宋体" w:hAnsi="宋体"/>
      <w:kern w:val="0"/>
      <w:sz w:val="20"/>
      <w:szCs w:val="20"/>
    </w:rPr>
  </w:style>
  <w:style w:type="paragraph" w:customStyle="1" w:styleId="a29">
    <w:name w:val="图表正文"/>
    <w:basedOn w:val="NormalIndent"/>
    <w:qFormat/>
    <w:pPr>
      <w:adjustRightInd w:val="0"/>
      <w:snapToGrid w:val="0"/>
      <w:spacing w:line="360" w:lineRule="auto"/>
      <w:ind w:firstLine="0"/>
      <w:jc w:val="left"/>
    </w:pPr>
    <w:rPr>
      <w:rFonts w:ascii="Calibri" w:eastAsia="宋体" w:hAnsi="Calibri"/>
      <w:kern w:val="0"/>
      <w:sz w:val="21"/>
      <w:szCs w:val="24"/>
      <w:lang w:val="en-US" w:eastAsia="zh-CN"/>
    </w:rPr>
  </w:style>
  <w:style w:type="paragraph" w:customStyle="1" w:styleId="a30">
    <w:name w:val="表格文字样式"/>
    <w:basedOn w:val="Normal"/>
    <w:next w:val="Normal"/>
    <w:rPr>
      <w:rFonts w:eastAsia="仿宋_GB2312"/>
      <w:sz w:val="28"/>
    </w:rPr>
  </w:style>
  <w:style w:type="paragraph" w:customStyle="1" w:styleId="xl37">
    <w:name w:val="xl37"/>
    <w:basedOn w:val="Normal"/>
    <w:pPr>
      <w:widowControl/>
      <w:pBdr>
        <w:top w:val="single" w:sz="4" w:space="0" w:color="auto"/>
        <w:left w:val="single" w:sz="4" w:space="0" w:color="auto"/>
        <w:bottom w:val="single" w:sz="4"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73">
    <w:name w:val="xl73"/>
    <w:basedOn w:val="Normal"/>
    <w:pPr>
      <w:widowControl/>
      <w:pBdr>
        <w:left w:val="single" w:sz="4" w:space="0" w:color="auto"/>
        <w:bottom w:val="single" w:sz="4" w:space="0" w:color="auto"/>
        <w:right w:val="single" w:sz="4" w:space="0" w:color="auto"/>
      </w:pBdr>
      <w:spacing w:before="100" w:beforeAutospacing="1" w:after="100" w:afterAutospacing="1" w:line="500" w:lineRule="exact"/>
      <w:jc w:val="left"/>
    </w:pPr>
    <w:rPr>
      <w:rFonts w:ascii="宋体" w:hAnsi="宋体"/>
      <w:kern w:val="0"/>
      <w:sz w:val="24"/>
    </w:rPr>
  </w:style>
  <w:style w:type="paragraph" w:customStyle="1" w:styleId="CharChar10">
    <w:name w:val="Char Char1"/>
    <w:basedOn w:val="Normal"/>
    <w:semiHidden/>
    <w:pPr>
      <w:adjustRightInd w:val="0"/>
      <w:snapToGrid w:val="0"/>
      <w:spacing w:beforeLines="50" w:afterLines="50" w:line="480" w:lineRule="exact"/>
      <w:ind w:firstLine="200" w:firstLineChars="200"/>
    </w:pPr>
    <w:rPr>
      <w:rFonts w:ascii="Tahoma" w:hAnsi="Tahoma"/>
      <w:sz w:val="24"/>
      <w:szCs w:val="20"/>
    </w:rPr>
  </w:style>
  <w:style w:type="paragraph" w:customStyle="1" w:styleId="xl39">
    <w:name w:val="xl3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59">
    <w:name w:val="xl59"/>
    <w:basedOn w:val="Normal"/>
    <w:pPr>
      <w:widowControl/>
      <w:pBdr>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宋体" w:hAnsi="宋体"/>
      <w:kern w:val="0"/>
      <w:sz w:val="24"/>
    </w:rPr>
  </w:style>
  <w:style w:type="paragraph" w:customStyle="1" w:styleId="CharCharChar1CharCharCharCharCharCharCharCharCharCharCharCharCharChar">
    <w:name w:val="Char Char Char1 Char Char Char Char Char Char Char Char Char Char Char Char Char Char"/>
    <w:basedOn w:val="Normal"/>
    <w:pPr>
      <w:spacing w:line="360" w:lineRule="auto"/>
      <w:ind w:firstLine="200" w:firstLineChars="200"/>
    </w:pPr>
    <w:rPr>
      <w:rFonts w:ascii="宋体" w:hAnsi="宋体" w:cs="宋体"/>
      <w:sz w:val="24"/>
    </w:rPr>
  </w:style>
  <w:style w:type="paragraph" w:customStyle="1" w:styleId="xl46">
    <w:name w:val="xl46"/>
    <w:basedOn w:val="Normal"/>
    <w:pPr>
      <w:widowControl/>
      <w:pBdr>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kern w:val="0"/>
      <w:sz w:val="24"/>
    </w:rPr>
  </w:style>
  <w:style w:type="paragraph" w:customStyle="1" w:styleId="xl287">
    <w:name w:val="xl28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259">
    <w:name w:val="xl25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266">
    <w:name w:val="xl266"/>
    <w:basedOn w:val="Normal"/>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2"/>
      <w:szCs w:val="22"/>
    </w:rPr>
  </w:style>
  <w:style w:type="paragraph" w:customStyle="1" w:styleId="xl243">
    <w:name w:val="xl24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CharCharCharCharCharCharCharChar">
    <w:name w:val="Char Char Char Char Char Char Char Char Char Char"/>
    <w:basedOn w:val="Normal"/>
    <w:pPr>
      <w:spacing w:line="360" w:lineRule="auto"/>
      <w:ind w:firstLine="200" w:firstLineChars="200"/>
    </w:pPr>
    <w:rPr>
      <w:rFonts w:ascii="宋体" w:hAnsi="宋体" w:cs="宋体"/>
      <w:sz w:val="24"/>
    </w:rPr>
  </w:style>
  <w:style w:type="paragraph" w:customStyle="1" w:styleId="font8">
    <w:name w:val="font8"/>
    <w:basedOn w:val="Normal"/>
    <w:pPr>
      <w:widowControl/>
      <w:spacing w:before="100" w:beforeAutospacing="1" w:after="100" w:afterAutospacing="1" w:line="500" w:lineRule="exact"/>
      <w:jc w:val="left"/>
    </w:pPr>
    <w:rPr>
      <w:rFonts w:ascii="幼圆" w:eastAsia="幼圆" w:hAnsi="宋体" w:hint="eastAsia"/>
      <w:kern w:val="0"/>
      <w:sz w:val="20"/>
      <w:szCs w:val="20"/>
    </w:rPr>
  </w:style>
  <w:style w:type="paragraph" w:customStyle="1" w:styleId="16">
    <w:name w:val="1"/>
    <w:basedOn w:val="Normal"/>
    <w:next w:val="BodyTextIndent"/>
    <w:pPr>
      <w:ind w:firstLine="538" w:firstLineChars="192"/>
    </w:pPr>
    <w:rPr>
      <w:sz w:val="28"/>
    </w:rPr>
  </w:style>
  <w:style w:type="paragraph" w:customStyle="1" w:styleId="xl238">
    <w:name w:val="xl23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Normal"/>
    <w:pPr>
      <w:widowControl/>
      <w:spacing w:before="100" w:beforeAutospacing="1" w:after="100" w:afterAutospacing="1"/>
      <w:jc w:val="left"/>
    </w:pPr>
    <w:rPr>
      <w:rFonts w:ascii="宋体" w:hAnsi="宋体" w:cs="宋体"/>
      <w:kern w:val="0"/>
      <w:sz w:val="24"/>
    </w:rPr>
  </w:style>
  <w:style w:type="paragraph" w:customStyle="1" w:styleId="xl49">
    <w:name w:val="xl4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宋体" w:hAnsi="宋体"/>
      <w:kern w:val="0"/>
      <w:sz w:val="24"/>
    </w:rPr>
  </w:style>
  <w:style w:type="paragraph" w:customStyle="1" w:styleId="Char40">
    <w:name w:val=" Char4"/>
    <w:basedOn w:val="Normal"/>
    <w:pPr>
      <w:spacing w:line="360" w:lineRule="auto"/>
      <w:ind w:firstLine="200" w:firstLineChars="200"/>
    </w:pPr>
    <w:rPr>
      <w:rFonts w:ascii="宋体" w:hAnsi="宋体" w:cs="宋体"/>
      <w:sz w:val="24"/>
    </w:rPr>
  </w:style>
  <w:style w:type="paragraph" w:customStyle="1" w:styleId="xl231">
    <w:name w:val="xl23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rPr>
  </w:style>
  <w:style w:type="paragraph" w:customStyle="1" w:styleId="xl271">
    <w:name w:val="xl271"/>
    <w:basedOn w:val="Normal"/>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6">
    <w:name w:val="xl66"/>
    <w:basedOn w:val="Normal"/>
    <w:pPr>
      <w:widowControl/>
      <w:pBdr>
        <w:top w:val="single" w:sz="8" w:space="0" w:color="auto"/>
        <w:bottom w:val="single" w:sz="4" w:space="0" w:color="auto"/>
        <w:right w:val="single" w:sz="4" w:space="0" w:color="auto"/>
      </w:pBdr>
      <w:spacing w:before="100" w:beforeAutospacing="1" w:after="100" w:afterAutospacing="1" w:line="500" w:lineRule="exact"/>
      <w:jc w:val="center"/>
    </w:pPr>
    <w:rPr>
      <w:rFonts w:ascii="幼圆" w:eastAsia="幼圆" w:hAnsi="宋体" w:hint="eastAsia"/>
      <w:b/>
      <w:bCs/>
      <w:kern w:val="0"/>
      <w:sz w:val="28"/>
      <w:szCs w:val="28"/>
    </w:rPr>
  </w:style>
  <w:style w:type="paragraph" w:customStyle="1" w:styleId="xl43">
    <w:name w:val="xl43"/>
    <w:basedOn w:val="Normal"/>
    <w:pPr>
      <w:widowControl/>
      <w:pBdr>
        <w:top w:val="single" w:sz="4" w:space="0" w:color="auto"/>
        <w:bottom w:val="single" w:sz="4" w:space="0" w:color="auto"/>
        <w:right w:val="single" w:sz="4"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244">
    <w:name w:val="xl24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251">
    <w:name w:val="xl25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53">
    <w:name w:val="xl53"/>
    <w:basedOn w:val="Normal"/>
    <w:pPr>
      <w:widowControl/>
      <w:pBdr>
        <w:top w:val="single" w:sz="4" w:space="0" w:color="auto"/>
        <w:left w:val="single" w:sz="4" w:space="0" w:color="auto"/>
        <w:right w:val="single" w:sz="4" w:space="0" w:color="auto"/>
      </w:pBdr>
      <w:spacing w:before="100" w:beforeAutospacing="1" w:after="100" w:afterAutospacing="1" w:line="500" w:lineRule="exact"/>
      <w:jc w:val="center"/>
      <w:textAlignment w:val="center"/>
    </w:pPr>
    <w:rPr>
      <w:rFonts w:ascii="宋体" w:hAnsi="宋体"/>
      <w:b/>
      <w:bCs/>
      <w:kern w:val="0"/>
      <w:sz w:val="24"/>
    </w:rPr>
  </w:style>
  <w:style w:type="paragraph" w:customStyle="1" w:styleId="xl267">
    <w:name w:val="xl26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26202202">
    <w:name w:val="样式 样式 样式 正文文本缩进 + 幼圆 行距: 固定值 26 磅 + 首行缩进:  2.02 字符 + 首行缩进:  2.02..."/>
    <w:basedOn w:val="Normal"/>
    <w:pPr>
      <w:spacing w:line="520" w:lineRule="exact"/>
      <w:ind w:firstLine="566" w:firstLineChars="202"/>
    </w:pPr>
    <w:rPr>
      <w:rFonts w:ascii="幼圆" w:hAnsi="宋体" w:cs="宋体"/>
      <w:sz w:val="28"/>
      <w:szCs w:val="20"/>
    </w:rPr>
  </w:style>
  <w:style w:type="paragraph" w:customStyle="1" w:styleId="xl74">
    <w:name w:val="xl74"/>
    <w:basedOn w:val="Normal"/>
    <w:pPr>
      <w:widowControl/>
      <w:pBdr>
        <w:top w:val="single" w:sz="4" w:space="0" w:color="auto"/>
        <w:left w:val="single" w:sz="4" w:space="0" w:color="auto"/>
        <w:right w:val="single" w:sz="8" w:space="0" w:color="auto"/>
      </w:pBdr>
      <w:spacing w:before="100" w:beforeAutospacing="1" w:after="100" w:afterAutospacing="1" w:line="500" w:lineRule="exact"/>
      <w:jc w:val="center"/>
      <w:textAlignment w:val="center"/>
    </w:pPr>
    <w:rPr>
      <w:rFonts w:ascii="幼圆" w:eastAsia="幼圆" w:hAnsi="宋体" w:hint="eastAsia"/>
      <w:b/>
      <w:bCs/>
      <w:kern w:val="0"/>
      <w:sz w:val="24"/>
    </w:rPr>
  </w:style>
  <w:style w:type="paragraph" w:customStyle="1" w:styleId="xl79">
    <w:name w:val="xl7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exact"/>
      <w:jc w:val="left"/>
      <w:textAlignment w:val="center"/>
    </w:pPr>
    <w:rPr>
      <w:rFonts w:ascii="宋体" w:hAnsi="宋体"/>
      <w:kern w:val="0"/>
      <w:sz w:val="20"/>
      <w:szCs w:val="20"/>
    </w:rPr>
  </w:style>
  <w:style w:type="paragraph" w:customStyle="1" w:styleId="a31">
    <w:name w:val="正文标准样式"/>
    <w:basedOn w:val="Normal"/>
    <w:pPr>
      <w:adjustRightInd w:val="0"/>
      <w:snapToGrid w:val="0"/>
      <w:spacing w:line="360" w:lineRule="auto"/>
      <w:ind w:firstLine="360" w:firstLineChars="150"/>
    </w:pPr>
    <w:rPr>
      <w:color w:val="000000"/>
    </w:rPr>
  </w:style>
  <w:style w:type="paragraph" w:customStyle="1" w:styleId="xl288">
    <w:name w:val="xl28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248">
    <w:name w:val="xl24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276">
    <w:name w:val="xl276"/>
    <w:basedOn w:val="Normal"/>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2"/>
      <w:szCs w:val="22"/>
    </w:rPr>
  </w:style>
  <w:style w:type="paragraph" w:customStyle="1" w:styleId="xl280">
    <w:name w:val="xl280"/>
    <w:basedOn w:val="Normal"/>
    <w:pPr>
      <w:widowControl/>
      <w:pBdr>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2"/>
      <w:szCs w:val="22"/>
    </w:rPr>
  </w:style>
  <w:style w:type="paragraph" w:customStyle="1" w:styleId="a32">
    <w:name w:val="图表内容"/>
    <w:basedOn w:val="Normal"/>
    <w:next w:val="Normal"/>
    <w:qFormat/>
    <w:pPr>
      <w:widowControl/>
      <w:spacing w:line="240" w:lineRule="auto"/>
      <w:ind w:firstLine="0" w:firstLineChars="0"/>
      <w:jc w:val="center"/>
    </w:pPr>
    <w:rPr>
      <w:rFonts w:ascii="仿宋" w:eastAsia="仿宋" w:hAnsi="仿宋"/>
      <w:kern w:val="0"/>
      <w:sz w:val="24"/>
    </w:rPr>
  </w:style>
  <w:style w:type="paragraph" w:customStyle="1" w:styleId="a33">
    <w:name w:val="三级标题"/>
    <w:basedOn w:val="a34"/>
    <w:qFormat/>
    <w:pPr>
      <w:spacing w:before="50" w:after="50"/>
      <w:outlineLvl w:val="2"/>
    </w:pPr>
  </w:style>
  <w:style w:type="paragraph" w:customStyle="1" w:styleId="a34">
    <w:name w:val="二级标题"/>
    <w:basedOn w:val="PlainText"/>
    <w:qFormat/>
    <w:pPr>
      <w:spacing w:line="360" w:lineRule="auto"/>
      <w:outlineLvl w:val="1"/>
    </w:pPr>
    <w:rPr>
      <w:rFonts w:ascii="Times New Roman" w:eastAsia="仿宋_GB2312" w:hAnsi="Times New Roman"/>
      <w:b/>
      <w:sz w:val="28"/>
      <w:szCs w:val="2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hyperlink" Target="https://d.book118.com/948064125011006042" TargetMode="External" /><Relationship Id="rId28" Type="http://schemas.openxmlformats.org/officeDocument/2006/relationships/header" Target="header11.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numbering" Target="numbering.xml" /><Relationship Id="rId32"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baike.so.com/doc/6994030-7216901.html" TargetMode="External" /><Relationship Id="rId7" Type="http://schemas.openxmlformats.org/officeDocument/2006/relationships/hyperlink" Target="https://baike.so.com/doc/4090312-4289167.html" TargetMode="External" /><Relationship Id="rId8" Type="http://schemas.openxmlformats.org/officeDocument/2006/relationships/hyperlink" Target="https://baike.so.com/doc/4963982-5186202.html" TargetMode="Externa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4076</Words>
  <Characters>23235</Characters>
  <Application>Microsoft Office Word</Application>
  <DocSecurity>0</DocSecurity>
  <Lines>193</Lines>
  <Paragraphs>54</Paragraphs>
  <ScaleCrop>false</ScaleCrop>
  <Company>微软中国</Company>
  <LinksUpToDate>false</LinksUpToDate>
  <CharactersWithSpaces>27257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常贵智</dc:creator>
  <cp:lastModifiedBy>Administrator</cp:lastModifiedBy>
  <cp:revision>2</cp:revision>
  <cp:lastPrinted>2020-04-12T07:00:00Z</cp:lastPrinted>
  <dcterms:created xsi:type="dcterms:W3CDTF">2023-06-29T12:46:00Z</dcterms:created>
  <dcterms:modified xsi:type="dcterms:W3CDTF">2024-03-03T06:48:00Z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79C2F5E1A7784ED0832B50F66BBEE329_13</vt:lpwstr>
  </property>
  <property fmtid="{D5CDD505-2E9C-101B-9397-08002B2CF9AE}" pid="3" name="KSOProductBuildVer">
    <vt:lpwstr>2052-12.1.0.15712</vt:lpwstr>
  </property>
</Properties>
</file>