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  <w:bookmarkStart w:id="0" w:name="_GoBack"/>
      <w:bookmarkEnd w:id="0"/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  <w:r>
        <w:rPr>
          <w:rFonts w:ascii="微软雅黑" w:eastAsia="微软雅黑" w:hAnsi="微软雅黑" w:cs="微软雅黑"/>
          <w:b/>
          <w:bCs/>
          <w:color w:val="2D54A0"/>
          <w:spacing w:val="9"/>
          <w:sz w:val="59"/>
          <w:szCs w:val="59"/>
        </w:rPr>
        <w:t>2024年宠物清洁用品行业趋</w:t>
      </w:r>
      <w:r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  <w:t>势报告</w:t>
      </w: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 w:hint="default"/>
          <w:b/>
          <w:bCs/>
          <w:color w:val="2D54A0"/>
          <w:spacing w:val="8"/>
          <w:sz w:val="44"/>
          <w:szCs w:val="44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微软雅黑" w:eastAsia="微软雅黑" w:hAnsi="微软雅黑" w:cs="微软雅黑" w:hint="eastAsia"/>
          <w:b/>
          <w:bCs/>
          <w:color w:val="2D54A0"/>
          <w:spacing w:val="8"/>
          <w:sz w:val="44"/>
          <w:szCs w:val="44"/>
          <w:lang w:val="en-US" w:eastAsia="zh-CN"/>
        </w:rPr>
        <w:t>《2024年最新评估分析》</w:t>
      </w:r>
    </w:p>
    <w:p>
      <w:pPr>
        <w:spacing w:line="360" w:lineRule="auto"/>
        <w:jc w:val="center"/>
        <w:rPr>
          <w:rFonts w:ascii="微软雅黑" w:eastAsia="微软雅黑" w:hAnsi="微软雅黑" w:cs="微软雅黑" w:hint="eastAsia"/>
          <w:b/>
          <w:bCs w:val="0"/>
          <w:color w:val="2E54A1" w:themeColor="accent1" w:themeShade="BF"/>
          <w:sz w:val="40"/>
        </w:rPr>
      </w:pPr>
      <w:r>
        <w:rPr>
          <w:rFonts w:ascii="微软雅黑" w:eastAsia="微软雅黑" w:hAnsi="微软雅黑" w:cs="微软雅黑" w:hint="eastAsia"/>
          <w:b/>
          <w:bCs w:val="0"/>
          <w:color w:val="2E54A1" w:themeColor="accent1" w:themeShade="BF"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9601" w:history="1">
        <w:r>
          <w:rPr>
            <w:rFonts w:ascii="微软雅黑" w:eastAsia="微软雅黑" w:hAnsi="微软雅黑" w:cs="微软雅黑" w:hint="eastAsia"/>
            <w:color w:val="001CAC" w:themeColor="hyperlink" w:themeShade="BF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_Toc9601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929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一、宠物清洁用品行业选址方案分析</w:t>
        </w:r>
        <w:r>
          <w:tab/>
        </w:r>
        <w:r>
          <w:fldChar w:fldCharType="begin"/>
        </w:r>
        <w:r>
          <w:instrText xml:space="preserve"> PAGEREF _Toc11929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8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(一)、宠物清洁用品行业选址影响因素</w:t>
        </w:r>
        <w:r>
          <w:tab/>
        </w:r>
        <w:r>
          <w:fldChar w:fldCharType="begin"/>
        </w:r>
        <w:r>
          <w:instrText xml:space="preserve"> PAGEREF _Toc10281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1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(二)、宠物清洁用品行业选址原则</w:t>
        </w:r>
        <w:r>
          <w:tab/>
        </w:r>
        <w:r>
          <w:fldChar w:fldCharType="begin"/>
        </w:r>
        <w:r>
          <w:instrText xml:space="preserve"> PAGEREF _Toc7716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3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(三)、消费习惯对宠物清洁用品行业选址的影响</w:t>
        </w:r>
        <w:r>
          <w:tab/>
        </w:r>
        <w:r>
          <w:fldChar w:fldCharType="begin"/>
        </w:r>
        <w:r>
          <w:instrText xml:space="preserve"> PAGEREF _Toc28831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(四)、消费能力对宠物清洁用品行业选址的影响</w:t>
        </w:r>
        <w:r>
          <w:tab/>
        </w:r>
        <w:r>
          <w:fldChar w:fldCharType="begin"/>
        </w:r>
        <w:r>
          <w:instrText xml:space="preserve"> PAGEREF _Toc1691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2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(五)、经营成本对宠物清洁用品行业选址的影响</w:t>
        </w:r>
        <w:r>
          <w:tab/>
        </w:r>
        <w:r>
          <w:fldChar w:fldCharType="begin"/>
        </w:r>
        <w:r>
          <w:instrText xml:space="preserve"> PAGEREF _Toc23626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5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(六)、交通条件对宠物清洁用品行业选址的影响</w:t>
        </w:r>
        <w:r>
          <w:tab/>
        </w:r>
        <w:r>
          <w:fldChar w:fldCharType="begin"/>
        </w:r>
        <w:r>
          <w:instrText xml:space="preserve"> PAGEREF _Toc5256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609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二、宠物清洁用品行业公司治理与社会责任</w:t>
        </w:r>
        <w:r>
          <w:tab/>
        </w:r>
        <w:r>
          <w:fldChar w:fldCharType="begin"/>
        </w:r>
        <w:r>
          <w:instrText xml:space="preserve"> PAGEREF _Toc32609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(一)、公司治理结构</w:t>
        </w:r>
        <w:r>
          <w:tab/>
        </w:r>
        <w:r>
          <w:fldChar w:fldCharType="begin"/>
        </w:r>
        <w:r>
          <w:instrText xml:space="preserve"> PAGEREF _Toc1481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9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(二)、董事会运作与决策</w:t>
        </w:r>
        <w:r>
          <w:tab/>
        </w:r>
        <w:r>
          <w:fldChar w:fldCharType="begin"/>
        </w:r>
        <w:r>
          <w:instrText xml:space="preserve"> PAGEREF _Toc22699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8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(三)、内部控制与审计</w:t>
        </w:r>
        <w:r>
          <w:tab/>
        </w:r>
        <w:r>
          <w:fldChar w:fldCharType="begin"/>
        </w:r>
        <w:r>
          <w:instrText xml:space="preserve"> PAGEREF _Toc15589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(四)、法律法规合规体系</w:t>
        </w:r>
        <w:r>
          <w:tab/>
        </w:r>
        <w:r>
          <w:fldChar w:fldCharType="begin"/>
        </w:r>
        <w:r>
          <w:instrText xml:space="preserve"> PAGEREF _Toc3074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0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(五)、企业社会责任与道德经营</w:t>
        </w:r>
        <w:r>
          <w:tab/>
        </w:r>
        <w:r>
          <w:fldChar w:fldCharType="begin"/>
        </w:r>
        <w:r>
          <w:instrText xml:space="preserve"> PAGEREF _Toc13307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718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三、可持续发展与绿色经营</w:t>
        </w:r>
        <w:r>
          <w:tab/>
        </w:r>
        <w:r>
          <w:fldChar w:fldCharType="begin"/>
        </w:r>
        <w:r>
          <w:instrText xml:space="preserve"> PAGEREF _Toc8718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0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(一)、可持续发展战略与目标</w:t>
        </w:r>
        <w:r>
          <w:tab/>
        </w:r>
        <w:r>
          <w:fldChar w:fldCharType="begin"/>
        </w:r>
        <w:r>
          <w:instrText xml:space="preserve"> PAGEREF _Toc29708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7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(二)、环保政策与实践</w:t>
        </w:r>
        <w:r>
          <w:tab/>
        </w:r>
        <w:r>
          <w:fldChar w:fldCharType="begin"/>
        </w:r>
        <w:r>
          <w:instrText xml:space="preserve"> PAGEREF _Toc32479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8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(三)、资源利用与循环经济</w:t>
        </w:r>
        <w:r>
          <w:tab/>
        </w:r>
        <w:r>
          <w:fldChar w:fldCharType="begin"/>
        </w:r>
        <w:r>
          <w:instrText xml:space="preserve"> PAGEREF _Toc7088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5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(四)、碳中和与生态足迹</w:t>
        </w:r>
        <w:r>
          <w:tab/>
        </w:r>
        <w:r>
          <w:fldChar w:fldCharType="begin"/>
        </w:r>
        <w:r>
          <w:instrText xml:space="preserve"> PAGEREF _Toc3659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274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四、市场营销与推广策略</w:t>
        </w:r>
        <w:r>
          <w:tab/>
        </w:r>
        <w:r>
          <w:fldChar w:fldCharType="begin"/>
        </w:r>
        <w:r>
          <w:instrText xml:space="preserve"> PAGEREF _Toc6274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0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(一)、目标市场分析</w:t>
        </w:r>
        <w:r>
          <w:tab/>
        </w:r>
        <w:r>
          <w:fldChar w:fldCharType="begin"/>
        </w:r>
        <w:r>
          <w:instrText xml:space="preserve"> PAGEREF _Toc23607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8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(二)、市场定位与竞争分析</w:t>
        </w:r>
        <w:r>
          <w:tab/>
        </w:r>
        <w:r>
          <w:fldChar w:fldCharType="begin"/>
        </w:r>
        <w:r>
          <w:instrText xml:space="preserve"> PAGEREF _Toc4283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4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(三)、推广与宣传策略</w:t>
        </w:r>
        <w:r>
          <w:tab/>
        </w:r>
        <w:r>
          <w:fldChar w:fldCharType="begin"/>
        </w:r>
        <w:r>
          <w:instrText xml:space="preserve"> PAGEREF _Toc16440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942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五、宠物清洁用品行业运营管理及商业模式分析</w:t>
        </w:r>
        <w:r>
          <w:tab/>
        </w:r>
        <w:r>
          <w:fldChar w:fldCharType="begin"/>
        </w:r>
        <w:r>
          <w:instrText xml:space="preserve"> PAGEREF _Toc9942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7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(一)、宠物清洁用品行业数字化发展方案</w:t>
        </w:r>
        <w:r>
          <w:tab/>
        </w:r>
        <w:r>
          <w:fldChar w:fldCharType="begin"/>
        </w:r>
        <w:r>
          <w:instrText xml:space="preserve"> PAGEREF _Toc16175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8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(二)、宠物清洁用品行业新型运营方式</w:t>
        </w:r>
        <w:r>
          <w:tab/>
        </w:r>
        <w:r>
          <w:fldChar w:fldCharType="begin"/>
        </w:r>
        <w:r>
          <w:instrText xml:space="preserve"> PAGEREF _Toc20281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5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(三)、宠物清洁用品行业风险管理</w:t>
        </w:r>
        <w:r>
          <w:tab/>
        </w:r>
        <w:r>
          <w:fldChar w:fldCharType="begin"/>
        </w:r>
        <w:r>
          <w:instrText xml:space="preserve"> PAGEREF _Toc6859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721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六、项目实施与进度安排</w:t>
        </w:r>
        <w:r>
          <w:tab/>
        </w:r>
        <w:r>
          <w:fldChar w:fldCharType="begin"/>
        </w:r>
        <w:r>
          <w:instrText xml:space="preserve"> PAGEREF _Toc28721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(一)、项目计划与时间节点</w:t>
        </w:r>
        <w:r>
          <w:tab/>
        </w:r>
        <w:r>
          <w:fldChar w:fldCharType="begin"/>
        </w:r>
        <w:r>
          <w:instrText xml:space="preserve"> PAGEREF _Toc1561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(二)、项目进度安排</w:t>
        </w:r>
        <w:r>
          <w:tab/>
        </w:r>
        <w:r>
          <w:fldChar w:fldCharType="begin"/>
        </w:r>
        <w:r>
          <w:instrText xml:space="preserve"> PAGEREF _Toc1734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4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(三)、风险管理与对策</w:t>
        </w:r>
        <w:r>
          <w:tab/>
        </w:r>
        <w:r>
          <w:fldChar w:fldCharType="begin"/>
        </w:r>
        <w:r>
          <w:instrText xml:space="preserve"> PAGEREF _Toc28547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983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七、环境与社会责任</w:t>
        </w:r>
        <w:r>
          <w:tab/>
        </w:r>
        <w:r>
          <w:fldChar w:fldCharType="begin"/>
        </w:r>
        <w:r>
          <w:instrText xml:space="preserve"> PAGEREF _Toc7983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510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(一)、环境影响评估</w:t>
        </w:r>
        <w:r>
          <w:tab/>
        </w:r>
        <w:r>
          <w:fldChar w:fldCharType="begin"/>
        </w:r>
        <w:r>
          <w:instrText xml:space="preserve"> PAGEREF _Toc5109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1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(二)、社会责任与可持续发展</w:t>
        </w:r>
        <w:r>
          <w:tab/>
        </w:r>
        <w:r>
          <w:fldChar w:fldCharType="begin"/>
        </w:r>
        <w:r>
          <w:instrText xml:space="preserve"> PAGEREF _Toc9713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651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八、公司文化与社会责任</w:t>
        </w:r>
        <w:r>
          <w:tab/>
        </w:r>
        <w:r>
          <w:fldChar w:fldCharType="begin"/>
        </w:r>
        <w:r>
          <w:instrText xml:space="preserve"> PAGEREF _Toc27651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9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(一)、公司文化建设</w:t>
        </w:r>
        <w:r>
          <w:tab/>
        </w:r>
        <w:r>
          <w:fldChar w:fldCharType="begin"/>
        </w:r>
        <w:r>
          <w:instrText xml:space="preserve"> PAGEREF _Toc32493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5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(二)、企业社会责任与可持续发展</w:t>
        </w:r>
        <w:r>
          <w:tab/>
        </w:r>
        <w:r>
          <w:fldChar w:fldCharType="begin"/>
        </w:r>
        <w:r>
          <w:instrText xml:space="preserve"> PAGEREF _Toc19256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213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九、安全与劳动保护</w:t>
        </w:r>
        <w:r>
          <w:tab/>
        </w:r>
        <w:r>
          <w:fldChar w:fldCharType="begin"/>
        </w:r>
        <w:r>
          <w:instrText xml:space="preserve"> PAGEREF _Toc31213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(一)、设计依据与法规合规</w:t>
        </w:r>
        <w:r>
          <w:tab/>
        </w:r>
        <w:r>
          <w:fldChar w:fldCharType="begin"/>
        </w:r>
        <w:r>
          <w:instrText xml:space="preserve"> PAGEREF _Toc2817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3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(二)、劳动安全预期效果评价</w:t>
        </w:r>
        <w:r>
          <w:tab/>
        </w:r>
        <w:r>
          <w:fldChar w:fldCharType="begin"/>
        </w:r>
        <w:r>
          <w:instrText xml:space="preserve"> PAGEREF _Toc14436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7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(三)、主要防范措施</w:t>
        </w:r>
        <w:r>
          <w:tab/>
        </w:r>
        <w:r>
          <w:fldChar w:fldCharType="begin"/>
        </w:r>
        <w:r>
          <w:instrText xml:space="preserve"> PAGEREF _Toc9677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345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十、领导力发展与企业文化</w:t>
        </w:r>
        <w:r>
          <w:tab/>
        </w:r>
        <w:r>
          <w:fldChar w:fldCharType="begin"/>
        </w:r>
        <w:r>
          <w:instrText xml:space="preserve"> PAGEREF _Toc30345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(一)、高效团队建设原则</w:t>
        </w:r>
        <w:r>
          <w:tab/>
        </w:r>
        <w:r>
          <w:fldChar w:fldCharType="begin"/>
        </w:r>
        <w:r>
          <w:instrText xml:space="preserve"> PAGEREF _Toc3166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2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(二)、团队文化与价值观塑造</w:t>
        </w:r>
        <w:r>
          <w:tab/>
        </w:r>
        <w:r>
          <w:fldChar w:fldCharType="begin"/>
        </w:r>
        <w:r>
          <w:instrText xml:space="preserve"> PAGEREF _Toc31221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7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(三)、领导力发展计划</w:t>
        </w:r>
        <w:r>
          <w:tab/>
        </w:r>
        <w:r>
          <w:fldChar w:fldCharType="begin"/>
        </w:r>
        <w:r>
          <w:instrText xml:space="preserve"> PAGEREF _Toc3674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4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(四)、领导力在变革中的作用</w:t>
        </w:r>
        <w:r>
          <w:tab/>
        </w:r>
        <w:r>
          <w:fldChar w:fldCharType="begin"/>
        </w:r>
        <w:r>
          <w:instrText xml:space="preserve"> PAGEREF _Toc14945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486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十一、宠物清洁用品行业投资管理策略</w:t>
        </w:r>
        <w:r>
          <w:tab/>
        </w:r>
        <w:r>
          <w:fldChar w:fldCharType="begin"/>
        </w:r>
        <w:r>
          <w:instrText xml:space="preserve"> PAGEREF _Toc14486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8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(一)、宠物清洁用品行业投资估算主要内容</w:t>
        </w:r>
        <w:r>
          <w:tab/>
        </w:r>
        <w:r>
          <w:fldChar w:fldCharType="begin"/>
        </w:r>
        <w:r>
          <w:instrText xml:space="preserve"> PAGEREF _Toc15684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6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(二)、宠物清洁用品行业设备购置投资费用管理</w:t>
        </w:r>
        <w:r>
          <w:tab/>
        </w:r>
        <w:r>
          <w:fldChar w:fldCharType="begin"/>
        </w:r>
        <w:r>
          <w:instrText xml:space="preserve"> PAGEREF _Toc24260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4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(三)、宠物清洁用品行业装修施工投资费用管理</w:t>
        </w:r>
        <w:r>
          <w:tab/>
        </w:r>
        <w:r>
          <w:fldChar w:fldCharType="begin"/>
        </w:r>
        <w:r>
          <w:instrText xml:space="preserve"> PAGEREF _Toc9046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3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(四)、宠物清洁用品行业流动资金管理</w:t>
        </w:r>
        <w:r>
          <w:tab/>
        </w:r>
        <w:r>
          <w:fldChar w:fldCharType="begin"/>
        </w:r>
        <w:r>
          <w:instrText xml:space="preserve"> PAGEREF _Toc29531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010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十二、资金筹措与投资分析</w:t>
        </w:r>
        <w:r>
          <w:tab/>
        </w:r>
        <w:r>
          <w:fldChar w:fldCharType="begin"/>
        </w:r>
        <w:r>
          <w:instrText xml:space="preserve"> PAGEREF _Toc8010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2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(一)、资金需求与筹措计划</w:t>
        </w:r>
        <w:r>
          <w:tab/>
        </w:r>
        <w:r>
          <w:fldChar w:fldCharType="begin"/>
        </w:r>
        <w:r>
          <w:instrText xml:space="preserve"> PAGEREF _Toc10229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(二)、投资分析与回报预期</w:t>
        </w:r>
        <w:r>
          <w:tab/>
        </w:r>
        <w:r>
          <w:fldChar w:fldCharType="begin"/>
        </w:r>
        <w:r>
          <w:instrText xml:space="preserve"> PAGEREF _Toc1853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r>
        <w:fldChar w:fldCharType="end"/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https://d.book118.com/948104054053006027</w:t>
        </w:r>
      </w:hyperlink>
    </w:p>
    <w:p/>
    <w:sectPr>
      <w:headerReference w:type="default" r:id="rId9"/>
      <w:footerReference w:type="default" r:id="rId10"/>
      <w:type w:val="nextPage"/>
      <w:pgSz w:w="11906" w:h="16838"/>
      <w:pgMar w:top="1440" w:right="1800" w:bottom="1440" w:left="1800" w:header="851" w:footer="992" w:gutter="0"/>
      <w:pgNumType w:start="3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82775B3"/>
    <w:rsid w:val="02623C3C"/>
    <w:rsid w:val="03734037"/>
    <w:rsid w:val="13614867"/>
    <w:rsid w:val="3DAC44EE"/>
    <w:rsid w:val="453746B4"/>
    <w:rsid w:val="482775B3"/>
    <w:rsid w:val="49C53810"/>
    <w:rsid w:val="4E155AC7"/>
    <w:rsid w:val="50930768"/>
    <w:rsid w:val="62830878"/>
    <w:rsid w:val="62A91464"/>
    <w:rsid w:val="692E1C42"/>
  </w:rsids>
  <w:docVars>
    <w:docVar w:name="commondata" w:val="eyJoZGlkIjoiYjEzZTI3MzIxYzUxM2E3Y2YyMDVhZDRkMWU5YjExZ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 w:qFormat="1"/>
    <w:lsdException w:name="toc 2" w:semiHidden="0" w:uiPriority="0" w:unhideWhenUsed="0" w:qFormat="1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 w:qFormat="1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autoRedefine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autoRedefine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  <w:autoRedefine/>
    <w:qFormat/>
  </w:style>
  <w:style w:type="paragraph" w:styleId="TOC2">
    <w:name w:val="toc 2"/>
    <w:basedOn w:val="Normal"/>
    <w:next w:val="Normal"/>
    <w:autoRedefine/>
    <w:qFormat/>
    <w:pPr>
      <w:ind w:left="420" w:leftChars="200"/>
    </w:pPr>
  </w:style>
  <w:style w:type="character" w:styleId="PageNumber">
    <w:name w:val="page number"/>
    <w:basedOn w:val="DefaultParagraphFont"/>
    <w:autoRedefine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yperlink" Target="https://d.book118.com/948104054053006027" TargetMode="Externa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小海豹</cp:lastModifiedBy>
  <cp:revision>1</cp:revision>
  <dcterms:created xsi:type="dcterms:W3CDTF">2023-12-10T12:06:00Z</dcterms:created>
  <dcterms:modified xsi:type="dcterms:W3CDTF">2024-01-17T06:09:42Z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1E39AA5D4B7F4B19B7D16FD992F8235D_13</vt:lpwstr>
  </property>
  <property fmtid="{D5CDD505-2E9C-101B-9397-08002B2CF9AE}" pid="3" name="KSOProductBuildVer">
    <vt:lpwstr>2052-12.1.0.16120</vt:lpwstr>
  </property>
</Properties>
</file>