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14" w:line="177" w:lineRule="auto"/>
        <w:ind w:left="12589"/>
        <w:outlineLvl w:val="0"/>
        <w:rPr>
          <w:rFonts w:ascii="Arial" w:eastAsia="Arial" w:hAnsi="Arial" w:cs="Arial"/>
          <w:sz w:val="60"/>
          <w:szCs w:val="60"/>
        </w:rPr>
      </w:pPr>
      <w:r>
        <w:pict>
          <v:shape id="_x0000_s1025" style="width:411.05pt;height:0.6pt;margin-top:141.56pt;margin-left:424.98pt;mso-position-horizontal-relative:page;mso-position-vertical-relative:page;position:absolute;z-index:251658240" coordorigin="0,0" coordsize="8220,12" o:allowincell="f" path="m,5l8220,5e" filled="f" strokecolor="#485e88" strokeweight="0.57pt">
            <v:stroke joinstyle="miter"/>
          </v:shape>
        </w:pict>
      </w:r>
      <w:r>
        <w:pict>
          <v:shape id="_x0000_s1026" style="width:411.05pt;height:0.6pt;margin-top:495.89pt;margin-left:424.98pt;mso-position-horizontal-relative:page;mso-position-vertical-relative:page;position:absolute;z-index:251659264" coordorigin="0,0" coordsize="8220,12" o:allowincell="f" path="m,5l8220,5e" filled="f" strokecolor="#485e88" strokeweight="0.57pt">
            <v:stroke joinstyle="miter"/>
          </v:shape>
        </w:pict>
      </w:r>
      <w:r>
        <w:rPr>
          <w:rFonts w:ascii="Arial" w:eastAsia="Arial" w:hAnsi="Arial" w:cs="Arial"/>
          <w:color w:val="485E88"/>
          <w:spacing w:val="-9"/>
          <w:sz w:val="60"/>
          <w:szCs w:val="60"/>
          <w14:textOutline w14:w="7199">
            <w14:solidFill>
              <w14:srgbClr w14:val="485E88"/>
            </w14:solidFill>
            <w14:prstDash w14:val="solid"/>
            <w14:miter w14:lim="22"/>
          </w14:textOutline>
        </w:rPr>
        <w:t>DB</w:t>
      </w:r>
    </w:p>
    <w:p>
      <w:pPr>
        <w:pStyle w:val="BodyText"/>
        <w:spacing w:before="1" w:line="210" w:lineRule="auto"/>
        <w:ind w:left="8815"/>
        <w:rPr>
          <w:sz w:val="32"/>
          <w:szCs w:val="32"/>
        </w:rPr>
      </w:pPr>
      <w:r>
        <w:rPr>
          <w:color w:val="485E88"/>
          <w:spacing w:val="10"/>
          <w:sz w:val="32"/>
          <w:szCs w:val="32"/>
        </w:rPr>
        <w:t>安徽省地方标准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234" w:lineRule="auto"/>
        <w:ind w:left="6545"/>
        <w:rPr>
          <w:sz w:val="27"/>
          <w:szCs w:val="27"/>
        </w:rPr>
      </w:pP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J</w:t>
      </w:r>
      <w:r>
        <w:rPr>
          <w:color w:val="485E88"/>
          <w:spacing w:val="20"/>
          <w:sz w:val="27"/>
          <w:szCs w:val="27"/>
        </w:rPr>
        <w:t xml:space="preserve">     </w:t>
      </w:r>
      <w:r>
        <w:rPr>
          <w:color w:val="485E88"/>
          <w:spacing w:val="18"/>
          <w:position w:val="3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2024</w:t>
      </w:r>
      <w:r>
        <w:rPr>
          <w:color w:val="485E88"/>
          <w:spacing w:val="1"/>
          <w:sz w:val="27"/>
          <w:szCs w:val="27"/>
        </w:rPr>
        <w:t xml:space="preserve">                   </w:t>
      </w:r>
      <w:r>
        <w:rPr>
          <w:color w:val="485E8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DB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34</w:t>
      </w:r>
      <w:r>
        <w:rPr>
          <w:color w:val="485E88"/>
          <w:spacing w:val="-54"/>
          <w:sz w:val="27"/>
          <w:szCs w:val="27"/>
        </w:rPr>
        <w:t xml:space="preserve"> 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/</w:t>
      </w:r>
      <w:r>
        <w:rPr>
          <w:color w:val="485E88"/>
          <w:spacing w:val="-64"/>
          <w:sz w:val="27"/>
          <w:szCs w:val="27"/>
        </w:rPr>
        <w:t xml:space="preserve"> 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T</w:t>
      </w:r>
      <w:r>
        <w:rPr>
          <w:color w:val="485E88"/>
          <w:spacing w:val="18"/>
          <w:sz w:val="27"/>
          <w:szCs w:val="27"/>
        </w:rPr>
        <w:t xml:space="preserve"> 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4712</w:t>
      </w:r>
      <w:r>
        <w:rPr>
          <w:color w:val="485E88"/>
          <w:spacing w:val="18"/>
          <w:position w:val="3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8"/>
          <w:sz w:val="27"/>
          <w:szCs w:val="27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2024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17" w:line="208" w:lineRule="auto"/>
        <w:ind w:left="7156"/>
        <w:rPr>
          <w:sz w:val="36"/>
          <w:szCs w:val="36"/>
        </w:rPr>
      </w:pPr>
      <w:r>
        <w:rPr>
          <w:color w:val="485E88"/>
          <w:spacing w:val="-6"/>
          <w:sz w:val="36"/>
          <w:szCs w:val="36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城市</w:t>
      </w:r>
      <w:r>
        <w:rPr>
          <w:color w:val="485E88"/>
          <w:spacing w:val="-6"/>
          <w:position w:val="2"/>
          <w:sz w:val="36"/>
          <w:szCs w:val="36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“</w:t>
      </w:r>
      <w:r>
        <w:rPr>
          <w:color w:val="485E88"/>
          <w:spacing w:val="-6"/>
          <w:sz w:val="36"/>
          <w:szCs w:val="36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15分钟生活圈</w:t>
      </w:r>
      <w:r>
        <w:rPr>
          <w:color w:val="485E88"/>
          <w:spacing w:val="-6"/>
          <w:position w:val="2"/>
          <w:sz w:val="36"/>
          <w:szCs w:val="36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”</w:t>
      </w:r>
      <w:r>
        <w:rPr>
          <w:color w:val="485E88"/>
          <w:spacing w:val="-6"/>
          <w:sz w:val="36"/>
          <w:szCs w:val="36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建设技术指南</w:t>
      </w:r>
    </w:p>
    <w:p>
      <w:pPr>
        <w:pStyle w:val="BodyText"/>
        <w:spacing w:before="158" w:line="336" w:lineRule="exact"/>
        <w:ind w:left="7544"/>
      </w:pPr>
      <w:r>
        <w:rPr>
          <w:color w:val="485E88"/>
          <w:spacing w:val="-10"/>
          <w:position w:val="3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Technical</w:t>
      </w:r>
      <w:r>
        <w:rPr>
          <w:color w:val="485E88"/>
          <w:spacing w:val="-55"/>
          <w:position w:val="3"/>
        </w:rPr>
        <w:t xml:space="preserve"> </w:t>
      </w:r>
      <w:r>
        <w:rPr>
          <w:color w:val="485E88"/>
          <w:spacing w:val="-10"/>
          <w:position w:val="3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guide</w:t>
      </w:r>
      <w:r>
        <w:rPr>
          <w:color w:val="485E88"/>
          <w:spacing w:val="-62"/>
          <w:position w:val="3"/>
        </w:rPr>
        <w:t xml:space="preserve"> </w:t>
      </w:r>
      <w:r>
        <w:rPr>
          <w:color w:val="485E88"/>
          <w:spacing w:val="-10"/>
          <w:position w:val="3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for</w:t>
      </w:r>
      <w:r>
        <w:rPr>
          <w:color w:val="485E88"/>
          <w:spacing w:val="-61"/>
          <w:position w:val="3"/>
        </w:rPr>
        <w:t xml:space="preserve"> </w:t>
      </w:r>
      <w:r>
        <w:rPr>
          <w:color w:val="485E88"/>
          <w:spacing w:val="-10"/>
          <w:position w:val="3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the</w:t>
      </w:r>
      <w:r>
        <w:rPr>
          <w:color w:val="485E88"/>
          <w:spacing w:val="-55"/>
          <w:position w:val="3"/>
        </w:rPr>
        <w:t xml:space="preserve"> </w:t>
      </w:r>
      <w:r>
        <w:rPr>
          <w:color w:val="485E88"/>
          <w:spacing w:val="-10"/>
          <w:position w:val="3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construction</w:t>
      </w:r>
      <w:r>
        <w:rPr>
          <w:color w:val="485E88"/>
          <w:spacing w:val="-56"/>
          <w:position w:val="3"/>
        </w:rPr>
        <w:t xml:space="preserve"> </w:t>
      </w:r>
      <w:r>
        <w:rPr>
          <w:color w:val="485E88"/>
          <w:spacing w:val="-10"/>
          <w:position w:val="3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of</w:t>
      </w:r>
      <w:r>
        <w:rPr>
          <w:color w:val="485E88"/>
          <w:spacing w:val="-72"/>
          <w:position w:val="3"/>
        </w:rPr>
        <w:t xml:space="preserve"> </w:t>
      </w:r>
      <w:r>
        <w:rPr>
          <w:color w:val="485E88"/>
          <w:spacing w:val="-11"/>
          <w:position w:val="3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urban</w:t>
      </w:r>
    </w:p>
    <w:p>
      <w:pPr>
        <w:pStyle w:val="BodyText"/>
        <w:spacing w:before="94" w:line="372" w:lineRule="exact"/>
        <w:ind w:left="8565"/>
      </w:pPr>
      <w:r>
        <w:rPr>
          <w:color w:val="485E88"/>
          <w:spacing w:val="-6"/>
          <w:position w:val="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“</w:t>
      </w:r>
      <w:r>
        <w:rPr>
          <w:color w:val="485E88"/>
          <w:spacing w:val="-80"/>
          <w:position w:val="1"/>
        </w:rPr>
        <w:t xml:space="preserve"> </w:t>
      </w:r>
      <w:r>
        <w:rPr>
          <w:color w:val="485E88"/>
          <w:spacing w:val="-6"/>
          <w:position w:val="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15-minute</w:t>
      </w:r>
      <w:r>
        <w:rPr>
          <w:color w:val="485E88"/>
          <w:spacing w:val="-58"/>
          <w:position w:val="1"/>
        </w:rPr>
        <w:t xml:space="preserve"> </w:t>
      </w:r>
      <w:r>
        <w:rPr>
          <w:color w:val="485E88"/>
          <w:spacing w:val="-6"/>
          <w:position w:val="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life</w:t>
      </w:r>
      <w:r>
        <w:rPr>
          <w:color w:val="485E88"/>
          <w:spacing w:val="-55"/>
          <w:position w:val="1"/>
        </w:rPr>
        <w:t xml:space="preserve"> </w:t>
      </w:r>
      <w:r>
        <w:rPr>
          <w:color w:val="485E88"/>
          <w:spacing w:val="-6"/>
          <w:position w:val="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circle</w:t>
      </w:r>
      <w:r>
        <w:rPr>
          <w:color w:val="485E88"/>
          <w:spacing w:val="-92"/>
          <w:position w:val="1"/>
        </w:rPr>
        <w:t xml:space="preserve"> </w:t>
      </w:r>
      <w:r>
        <w:rPr>
          <w:color w:val="485E88"/>
          <w:spacing w:val="-6"/>
          <w:position w:val="1"/>
          <w14:textOutline w14:w="2743">
            <w14:solidFill>
              <w14:srgbClr w14:val="485E88"/>
            </w14:solidFill>
            <w14:prstDash w14:val="solid"/>
            <w14:miter w14:lim="22"/>
          </w14:textOutline>
        </w:rPr>
        <w:t>”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pgSz w:w="16838" w:h="11906"/>
          <w:pgMar w:top="1011" w:right="117" w:bottom="0" w:left="2525" w:header="0" w:footer="0" w:gutter="0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12" w:line="207" w:lineRule="auto"/>
        <w:ind w:left="6555"/>
        <w:rPr>
          <w:rFonts w:ascii="Microsoft YaHei" w:eastAsia="Microsoft YaHei" w:hAnsi="Microsoft YaHei" w:cs="Microsoft YaHei"/>
          <w:sz w:val="26"/>
          <w:szCs w:val="26"/>
        </w:rPr>
      </w:pP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2024</w:t>
      </w:r>
      <w:r>
        <w:rPr>
          <w:color w:val="485E88"/>
          <w:spacing w:val="11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01</w:t>
      </w:r>
      <w:r>
        <w:rPr>
          <w:color w:val="485E88"/>
          <w:spacing w:val="11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11</w:t>
      </w:r>
      <w:r>
        <w:rPr>
          <w:color w:val="485E88"/>
          <w:spacing w:val="33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color w:val="485E88"/>
          <w:spacing w:val="11"/>
          <w:sz w:val="26"/>
          <w:szCs w:val="26"/>
        </w:rPr>
        <w:t xml:space="preserve">发布                             </w:t>
      </w:r>
      <w:r>
        <w:rPr>
          <w:color w:val="485E88"/>
          <w:spacing w:val="1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20</w:t>
      </w:r>
      <w:r>
        <w:rPr>
          <w:color w:val="485E88"/>
          <w:spacing w:val="10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24</w:t>
      </w:r>
      <w:r>
        <w:rPr>
          <w:color w:val="485E88"/>
          <w:spacing w:val="10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0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07</w:t>
      </w:r>
      <w:r>
        <w:rPr>
          <w:color w:val="485E88"/>
          <w:spacing w:val="10"/>
          <w:position w:val="1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-</w:t>
      </w:r>
      <w:r>
        <w:rPr>
          <w:color w:val="485E88"/>
          <w:spacing w:val="10"/>
          <w:sz w:val="24"/>
          <w:szCs w:val="24"/>
          <w14:textOutline w14:w="3175">
            <w14:solidFill>
              <w14:srgbClr w14:val="485E88"/>
            </w14:solidFill>
            <w14:prstDash w14:val="solid"/>
            <w14:miter w14:lim="0"/>
          </w14:textOutline>
        </w:rPr>
        <w:t>11</w:t>
      </w:r>
      <w:r>
        <w:rPr>
          <w:color w:val="485E88"/>
          <w:spacing w:val="24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color w:val="485E88"/>
          <w:spacing w:val="10"/>
          <w:sz w:val="26"/>
          <w:szCs w:val="26"/>
        </w:rPr>
        <w:t>实施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12" w:line="207" w:lineRule="auto"/>
        <w:ind w:left="7676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安</w:t>
      </w:r>
      <w:r>
        <w:rPr>
          <w:rFonts w:ascii="Microsoft YaHei" w:eastAsia="Microsoft YaHei" w:hAnsi="Microsoft YaHei" w:cs="Microsoft YaHei"/>
          <w:color w:val="485E88"/>
          <w:spacing w:val="59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徽</w:t>
      </w:r>
      <w:r>
        <w:rPr>
          <w:rFonts w:ascii="Microsoft YaHei" w:eastAsia="Microsoft YaHei" w:hAnsi="Microsoft YaHei" w:cs="Microsoft YaHei"/>
          <w:color w:val="485E88"/>
          <w:spacing w:val="49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省</w:t>
      </w:r>
      <w:r>
        <w:rPr>
          <w:rFonts w:ascii="Microsoft YaHei" w:eastAsia="Microsoft YaHei" w:hAnsi="Microsoft YaHei" w:cs="Microsoft YaHei"/>
          <w:color w:val="485E88"/>
          <w:spacing w:val="57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市</w:t>
      </w:r>
      <w:r>
        <w:rPr>
          <w:rFonts w:ascii="Microsoft YaHei" w:eastAsia="Microsoft YaHei" w:hAnsi="Microsoft YaHei" w:cs="Microsoft YaHei"/>
          <w:color w:val="485E88"/>
          <w:spacing w:val="52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场</w:t>
      </w:r>
      <w:r>
        <w:rPr>
          <w:rFonts w:ascii="Microsoft YaHei" w:eastAsia="Microsoft YaHei" w:hAnsi="Microsoft YaHei" w:cs="Microsoft YaHei"/>
          <w:color w:val="485E88"/>
          <w:spacing w:val="54"/>
          <w:w w:val="101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监</w:t>
      </w:r>
      <w:r>
        <w:rPr>
          <w:rFonts w:ascii="Microsoft YaHei" w:eastAsia="Microsoft YaHei" w:hAnsi="Microsoft YaHei" w:cs="Microsoft YaHei"/>
          <w:color w:val="485E88"/>
          <w:spacing w:val="55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督</w:t>
      </w:r>
      <w:r>
        <w:rPr>
          <w:rFonts w:ascii="Microsoft YaHei" w:eastAsia="Microsoft YaHei" w:hAnsi="Microsoft YaHei" w:cs="Microsoft YaHei"/>
          <w:color w:val="485E88"/>
          <w:spacing w:val="54"/>
          <w:w w:val="101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管</w:t>
      </w:r>
      <w:r>
        <w:rPr>
          <w:rFonts w:ascii="Microsoft YaHei" w:eastAsia="Microsoft YaHei" w:hAnsi="Microsoft YaHei" w:cs="Microsoft YaHei"/>
          <w:color w:val="485E88"/>
          <w:spacing w:val="52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理</w:t>
      </w:r>
      <w:r>
        <w:rPr>
          <w:rFonts w:ascii="Microsoft YaHei" w:eastAsia="Microsoft YaHei" w:hAnsi="Microsoft YaHei" w:cs="Microsoft YaHei"/>
          <w:color w:val="485E88"/>
          <w:spacing w:val="50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局</w:t>
      </w:r>
      <w:r>
        <w:rPr>
          <w:rFonts w:ascii="Microsoft YaHei" w:eastAsia="Microsoft YaHei" w:hAnsi="Microsoft YaHei" w:cs="Microsoft YaHei"/>
          <w:color w:val="485E88"/>
          <w:spacing w:val="19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发</w:t>
      </w:r>
      <w:r>
        <w:rPr>
          <w:rFonts w:ascii="Microsoft YaHei" w:eastAsia="Microsoft YaHei" w:hAnsi="Microsoft YaHei" w:cs="Microsoft YaHei"/>
          <w:color w:val="485E88"/>
          <w:spacing w:val="49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485E88"/>
          <w:spacing w:val="-6"/>
          <w:w w:val="99"/>
          <w:sz w:val="26"/>
          <w:szCs w:val="26"/>
        </w:rPr>
        <w:t>布</w:t>
      </w:r>
    </w:p>
    <w:p>
      <w:pPr>
        <w:spacing w:line="207" w:lineRule="auto"/>
        <w:rPr>
          <w:rFonts w:ascii="Microsoft YaHei" w:eastAsia="Microsoft YaHei" w:hAnsi="Microsoft YaHei" w:cs="Microsoft YaHei"/>
          <w:sz w:val="26"/>
          <w:szCs w:val="26"/>
        </w:rPr>
        <w:sectPr>
          <w:type w:val="nextPage"/>
          <w:pgSz w:w="16838" w:h="11906"/>
          <w:pgMar w:top="1011" w:right="117" w:bottom="0" w:left="2525" w:header="0" w:footer="0" w:gutter="0"/>
          <w:pgNumType w:start="2"/>
          <w:cols w:space="708"/>
          <w:titlePg w:val="0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12" w:line="174" w:lineRule="auto"/>
        <w:ind w:left="192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4"/>
          <w:sz w:val="26"/>
          <w:szCs w:val="26"/>
        </w:rPr>
        <w:t>安徽省地方标准</w:t>
      </w:r>
    </w:p>
    <w:p>
      <w:pPr>
        <w:spacing w:before="283" w:line="185" w:lineRule="auto"/>
        <w:ind w:left="636"/>
        <w:outlineLvl w:val="0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11"/>
          <w:sz w:val="29"/>
          <w:szCs w:val="29"/>
        </w:rPr>
        <w:t>城市</w:t>
      </w:r>
      <w:r>
        <w:rPr>
          <w:rFonts w:ascii="Arial" w:eastAsia="Arial" w:hAnsi="Arial" w:cs="Arial"/>
          <w:spacing w:val="11"/>
          <w:position w:val="1"/>
          <w:sz w:val="29"/>
          <w:szCs w:val="29"/>
        </w:rPr>
        <w:t>“</w:t>
      </w:r>
      <w:r>
        <w:rPr>
          <w:rFonts w:ascii="Arial" w:eastAsia="Arial" w:hAnsi="Arial" w:cs="Arial"/>
          <w:spacing w:val="11"/>
          <w:sz w:val="29"/>
          <w:szCs w:val="29"/>
        </w:rPr>
        <w:t>15</w:t>
      </w:r>
      <w:r>
        <w:rPr>
          <w:rFonts w:ascii="Microsoft YaHei" w:eastAsia="Microsoft YaHei" w:hAnsi="Microsoft YaHei" w:cs="Microsoft YaHei"/>
          <w:spacing w:val="11"/>
          <w:sz w:val="29"/>
          <w:szCs w:val="29"/>
        </w:rPr>
        <w:t>分钟生活圈</w:t>
      </w:r>
      <w:r>
        <w:rPr>
          <w:rFonts w:ascii="Arial" w:eastAsia="Arial" w:hAnsi="Arial" w:cs="Arial"/>
          <w:spacing w:val="11"/>
          <w:position w:val="1"/>
          <w:sz w:val="29"/>
          <w:szCs w:val="29"/>
        </w:rPr>
        <w:t>"</w:t>
      </w:r>
      <w:r>
        <w:rPr>
          <w:rFonts w:ascii="Microsoft YaHei" w:eastAsia="Microsoft YaHei" w:hAnsi="Microsoft YaHei" w:cs="Microsoft YaHei"/>
          <w:spacing w:val="11"/>
          <w:sz w:val="29"/>
          <w:szCs w:val="29"/>
        </w:rPr>
        <w:t>建设技术指南</w:t>
      </w:r>
    </w:p>
    <w:p>
      <w:pPr>
        <w:spacing w:before="98" w:line="214" w:lineRule="auto"/>
        <w:ind w:left="7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2"/>
          <w:sz w:val="20"/>
          <w:szCs w:val="20"/>
        </w:rPr>
        <w:t>Technical</w:t>
      </w:r>
      <w:r>
        <w:rPr>
          <w:rFonts w:ascii="Arial" w:eastAsia="Arial" w:hAnsi="Arial" w:cs="Arial"/>
          <w:spacing w:val="4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guide</w:t>
      </w:r>
      <w:r>
        <w:rPr>
          <w:rFonts w:ascii="Arial" w:eastAsia="Arial" w:hAnsi="Arial" w:cs="Arial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for</w:t>
      </w:r>
      <w:r>
        <w:rPr>
          <w:rFonts w:ascii="Arial" w:eastAsia="Arial" w:hAnsi="Arial" w:cs="Arial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the</w:t>
      </w:r>
      <w:r>
        <w:rPr>
          <w:rFonts w:ascii="Arial" w:eastAsia="Arial" w:hAnsi="Arial" w:cs="Arial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construction</w:t>
      </w:r>
      <w:r>
        <w:rPr>
          <w:rFonts w:ascii="Arial" w:eastAsia="Arial" w:hAnsi="Arial" w:cs="Arial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of</w:t>
      </w:r>
      <w:r>
        <w:rPr>
          <w:rFonts w:ascii="Arial" w:eastAsia="Arial" w:hAnsi="Arial" w:cs="Arial"/>
          <w:spacing w:val="31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urban</w:t>
      </w:r>
    </w:p>
    <w:p>
      <w:pPr>
        <w:spacing w:before="82" w:line="212" w:lineRule="auto"/>
        <w:ind w:left="174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15"/>
          <w:position w:val="3"/>
          <w:sz w:val="20"/>
          <w:szCs w:val="20"/>
        </w:rPr>
        <w:t>“</w:t>
      </w:r>
      <w:r>
        <w:rPr>
          <w:rFonts w:ascii="Arial" w:eastAsia="Arial" w:hAnsi="Arial" w:cs="Arial"/>
          <w:spacing w:val="-32"/>
          <w:position w:val="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5"/>
          <w:sz w:val="20"/>
          <w:szCs w:val="20"/>
        </w:rPr>
        <w:t>15—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minute</w:t>
      </w:r>
      <w:r>
        <w:rPr>
          <w:rFonts w:ascii="Arial" w:eastAsia="Arial" w:hAnsi="Arial" w:cs="Arial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life</w:t>
      </w:r>
      <w:r>
        <w:rPr>
          <w:rFonts w:ascii="Arial" w:eastAsia="Arial" w:hAnsi="Arial" w:cs="Arial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circle</w:t>
      </w:r>
      <w:r>
        <w:rPr>
          <w:rFonts w:ascii="Arial" w:eastAsia="Arial" w:hAnsi="Arial" w:cs="Arial"/>
          <w:spacing w:val="-3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5"/>
          <w:position w:val="3"/>
          <w:sz w:val="20"/>
          <w:szCs w:val="20"/>
        </w:rPr>
        <w:t>"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86" w:line="192" w:lineRule="auto"/>
        <w:ind w:left="192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DB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34</w:t>
      </w:r>
      <w:r>
        <w:rPr>
          <w:rFonts w:ascii="Arial" w:eastAsia="Arial" w:hAnsi="Arial" w:cs="Arial"/>
          <w:spacing w:val="11"/>
          <w:sz w:val="20"/>
          <w:szCs w:val="20"/>
        </w:rPr>
        <w:t>/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T4712一2024</w:t>
      </w:r>
    </w:p>
    <w:p>
      <w:pPr>
        <w:spacing w:before="277" w:line="218" w:lineRule="auto"/>
        <w:ind w:left="1115" w:right="1113" w:firstLine="9"/>
        <w:jc w:val="both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主编部门 </w:t>
      </w:r>
      <w:r>
        <w:rPr>
          <w:rFonts w:ascii="Microsoft YaHei" w:eastAsia="Microsoft YaHei" w:hAnsi="Microsoft YaHei" w:cs="Microsoft YaHei"/>
          <w:spacing w:val="7"/>
          <w:sz w:val="4"/>
          <w:szCs w:val="4"/>
        </w:rPr>
        <w:t xml:space="preserve">：        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安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徽省住房和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城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乡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建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设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厅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批准部门 </w:t>
      </w:r>
      <w:r>
        <w:rPr>
          <w:rFonts w:ascii="Microsoft YaHei" w:eastAsia="Microsoft YaHei" w:hAnsi="Microsoft YaHei" w:cs="Microsoft YaHei"/>
          <w:spacing w:val="3"/>
          <w:sz w:val="4"/>
          <w:szCs w:val="4"/>
        </w:rPr>
        <w:t xml:space="preserve">：          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安 徽 省 市 场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监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督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管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理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局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施行日期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9"/>
          <w:position w:val="1"/>
          <w:sz w:val="4"/>
          <w:szCs w:val="4"/>
        </w:rPr>
        <w:t>：</w:t>
      </w:r>
      <w:r>
        <w:rPr>
          <w:rFonts w:ascii="Microsoft YaHei" w:eastAsia="Microsoft YaHei" w:hAnsi="Microsoft YaHei" w:cs="Microsoft YaHei"/>
          <w:spacing w:val="1"/>
          <w:position w:val="1"/>
          <w:sz w:val="4"/>
          <w:szCs w:val="4"/>
        </w:rPr>
        <w:t xml:space="preserve">           </w:t>
      </w:r>
      <w:r>
        <w:rPr>
          <w:rFonts w:ascii="Arial" w:eastAsia="Arial" w:hAnsi="Arial" w:cs="Arial"/>
          <w:spacing w:val="29"/>
          <w:sz w:val="19"/>
          <w:szCs w:val="19"/>
        </w:rPr>
        <w:t xml:space="preserve">2024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年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</w:t>
      </w:r>
      <w:r>
        <w:rPr>
          <w:rFonts w:ascii="Arial" w:eastAsia="Arial" w:hAnsi="Arial" w:cs="Arial"/>
          <w:spacing w:val="29"/>
          <w:sz w:val="19"/>
          <w:szCs w:val="19"/>
        </w:rPr>
        <w:t xml:space="preserve">07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 xml:space="preserve">月  </w:t>
      </w:r>
      <w:r>
        <w:rPr>
          <w:rFonts w:ascii="Arial" w:eastAsia="Arial" w:hAnsi="Arial" w:cs="Arial"/>
          <w:spacing w:val="29"/>
          <w:position w:val="-1"/>
          <w:sz w:val="19"/>
          <w:szCs w:val="19"/>
        </w:rPr>
        <w:t>1 1</w:t>
      </w:r>
      <w:r>
        <w:rPr>
          <w:rFonts w:ascii="Arial" w:eastAsia="Arial" w:hAnsi="Arial" w:cs="Arial"/>
          <w:spacing w:val="3"/>
          <w:position w:val="-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>日</w:t>
      </w:r>
    </w:p>
    <w:p>
      <w:pPr>
        <w:spacing w:line="218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4"/>
          <w:pgSz w:w="8219" w:h="11904"/>
          <w:pgMar w:top="1011" w:right="1232" w:bottom="1492" w:left="1232" w:header="0" w:footer="1235" w:gutter="0"/>
          <w:pgNumType w:start="3"/>
          <w:cols w:space="708"/>
        </w:sectPr>
      </w:pPr>
    </w:p>
    <w:p>
      <w:pPr>
        <w:spacing w:line="307" w:lineRule="auto"/>
        <w:rPr>
          <w:rFonts w:ascii="Arial"/>
          <w:sz w:val="21"/>
        </w:rPr>
      </w:pPr>
      <w:r>
        <w:pict>
          <v:shape id="_x0000_s1027" style="width:294.05pt;height:0.8pt;margin-top:199.45pt;margin-left:58.42pt;mso-position-horizontal-relative:page;mso-position-vertical-relative:page;position:absolute;z-index:251660288" coordorigin="0,0" coordsize="5880,16" o:allowincell="f" path="m,7l5880,7e" filled="f" strokecolor="black" strokeweight="0.76pt">
            <v:stroke joinstyle="miter"/>
          </v:shape>
        </w:pic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24" w:line="539" w:lineRule="exact"/>
        <w:ind w:left="1070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安 徽 省</w:t>
      </w:r>
      <w:r>
        <w:rPr>
          <w:rFonts w:ascii="Microsoft YaHei" w:eastAsia="Microsoft YaHei" w:hAnsi="Microsoft YaHei" w:cs="Microsoft YaHei"/>
          <w:spacing w:val="17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市</w:t>
      </w:r>
      <w:r>
        <w:rPr>
          <w:rFonts w:ascii="Microsoft YaHei" w:eastAsia="Microsoft YaHei" w:hAnsi="Microsoft YaHei" w:cs="Microsoft YaHei"/>
          <w:spacing w:val="7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场</w:t>
      </w:r>
      <w:r>
        <w:rPr>
          <w:rFonts w:ascii="Microsoft YaHei" w:eastAsia="Microsoft YaHei" w:hAnsi="Microsoft YaHei" w:cs="Microsoft YaHei"/>
          <w:spacing w:val="10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监</w:t>
      </w:r>
      <w:r>
        <w:rPr>
          <w:rFonts w:ascii="Microsoft YaHei" w:eastAsia="Microsoft YaHei" w:hAnsi="Microsoft YaHei" w:cs="Microsoft YaHei"/>
          <w:spacing w:val="11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督</w:t>
      </w:r>
      <w:r>
        <w:rPr>
          <w:rFonts w:ascii="Microsoft YaHei" w:eastAsia="Microsoft YaHei" w:hAnsi="Microsoft YaHei" w:cs="Microsoft YaHei"/>
          <w:spacing w:val="13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管</w:t>
      </w:r>
      <w:r>
        <w:rPr>
          <w:rFonts w:ascii="Microsoft YaHei" w:eastAsia="Microsoft YaHei" w:hAnsi="Microsoft YaHei" w:cs="Microsoft YaHei"/>
          <w:spacing w:val="7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理</w:t>
      </w:r>
      <w:r>
        <w:rPr>
          <w:rFonts w:ascii="Microsoft YaHei" w:eastAsia="Microsoft YaHei" w:hAnsi="Microsoft YaHei" w:cs="Microsoft YaHei"/>
          <w:spacing w:val="11"/>
          <w:position w:val="19"/>
          <w:sz w:val="29"/>
          <w:szCs w:val="29"/>
        </w:rPr>
        <w:t xml:space="preserve"> </w:t>
      </w:r>
      <w:r>
        <w:rPr>
          <w:rFonts w:ascii="Microsoft YaHei" w:eastAsia="Microsoft YaHei" w:hAnsi="Microsoft YaHei" w:cs="Microsoft YaHei"/>
          <w:position w:val="19"/>
          <w:sz w:val="29"/>
          <w:szCs w:val="29"/>
        </w:rPr>
        <w:t>局</w:t>
      </w:r>
    </w:p>
    <w:p>
      <w:pPr>
        <w:spacing w:before="1" w:line="183" w:lineRule="auto"/>
        <w:ind w:left="2485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-1"/>
          <w:sz w:val="29"/>
          <w:szCs w:val="29"/>
        </w:rPr>
        <w:t>公</w:t>
      </w:r>
      <w:r>
        <w:rPr>
          <w:rFonts w:ascii="Microsoft YaHei" w:eastAsia="Microsoft YaHei" w:hAnsi="Microsoft YaHei" w:cs="Microsoft YaHei"/>
          <w:spacing w:val="27"/>
          <w:sz w:val="29"/>
          <w:szCs w:val="29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9"/>
          <w:szCs w:val="29"/>
        </w:rPr>
        <w:t>告</w:t>
      </w:r>
    </w:p>
    <w:p>
      <w:pPr>
        <w:spacing w:line="409" w:lineRule="auto"/>
        <w:rPr>
          <w:rFonts w:ascii="Arial"/>
          <w:sz w:val="21"/>
        </w:rPr>
      </w:pPr>
    </w:p>
    <w:p>
      <w:pPr>
        <w:spacing w:before="82" w:line="187" w:lineRule="auto"/>
        <w:ind w:left="26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39"/>
          <w:w w:val="101"/>
          <w:sz w:val="19"/>
          <w:szCs w:val="19"/>
        </w:rPr>
        <w:t xml:space="preserve"> </w:t>
      </w:r>
      <w:r>
        <w:rPr>
          <w:rFonts w:ascii="Arial" w:eastAsia="Arial" w:hAnsi="Arial" w:cs="Arial"/>
          <w:spacing w:val="2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号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11" w:line="180" w:lineRule="auto"/>
        <w:ind w:left="720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安徽省市场监督管理局关于批准发布</w:t>
      </w:r>
    </w:p>
    <w:p>
      <w:pPr>
        <w:spacing w:before="41" w:line="178" w:lineRule="auto"/>
        <w:ind w:left="304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《区域性地震安全性评价数据库建设指南》</w:t>
      </w:r>
    </w:p>
    <w:p>
      <w:pPr>
        <w:spacing w:before="37" w:line="182" w:lineRule="auto"/>
        <w:ind w:left="1490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 xml:space="preserve">等 </w:t>
      </w:r>
      <w:r>
        <w:rPr>
          <w:rFonts w:ascii="Arial" w:eastAsia="Arial" w:hAnsi="Arial" w:cs="Arial"/>
          <w:spacing w:val="16"/>
          <w:sz w:val="26"/>
          <w:szCs w:val="26"/>
        </w:rPr>
        <w:t>78</w:t>
      </w: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>项地方标准的公告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86" w:line="196" w:lineRule="auto"/>
        <w:ind w:left="4" w:right="1" w:firstLine="43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安徽省市场监督管理局依法批准《区域性地震安全性评价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数据库建设指南》等</w:t>
      </w:r>
      <w:r>
        <w:rPr>
          <w:rFonts w:ascii="Microsoft YaHei" w:eastAsia="Microsoft YaHei" w:hAnsi="Microsoft YaHei" w:cs="Microsoft YaHei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spacing w:val="8"/>
          <w:sz w:val="20"/>
          <w:szCs w:val="20"/>
        </w:rPr>
        <w:t>78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项安徽省地方标准，现予以公布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。</w:t>
      </w:r>
    </w:p>
    <w:p>
      <w:pPr>
        <w:spacing w:before="58" w:line="200" w:lineRule="auto"/>
        <w:ind w:left="5" w:right="1" w:firstLine="43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请归口单位加强标准宣贯培训，强化标准实施应用，切实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发挥标准的支撑和引领作用。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86" w:line="435" w:lineRule="exact"/>
        <w:ind w:right="1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18"/>
          <w:sz w:val="20"/>
          <w:szCs w:val="20"/>
        </w:rPr>
        <w:t>安徽省市场监督管理局</w:t>
      </w:r>
    </w:p>
    <w:p>
      <w:pPr>
        <w:spacing w:before="1" w:line="184" w:lineRule="auto"/>
        <w:ind w:right="1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Arial" w:eastAsia="Arial" w:hAnsi="Arial" w:cs="Arial"/>
          <w:spacing w:val="12"/>
          <w:sz w:val="20"/>
          <w:szCs w:val="20"/>
        </w:rPr>
        <w:t>2024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年</w:t>
      </w:r>
      <w:r>
        <w:rPr>
          <w:rFonts w:ascii="Microsoft YaHei" w:eastAsia="Microsoft YaHei" w:hAnsi="Microsoft YaHei" w:cs="Microsoft YaHei"/>
          <w:spacing w:val="24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月</w:t>
      </w:r>
      <w:r>
        <w:rPr>
          <w:rFonts w:ascii="Microsoft YaHei" w:eastAsia="Microsoft YaHei" w:hAnsi="Microsoft YaHei" w:cs="Microsoft YaHei"/>
          <w:spacing w:val="23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"/>
          <w:sz w:val="20"/>
          <w:szCs w:val="20"/>
        </w:rPr>
        <w:t>11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日</w:t>
      </w:r>
    </w:p>
    <w:p>
      <w:pPr>
        <w:spacing w:line="184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5"/>
          <w:pgSz w:w="8219" w:h="11904"/>
          <w:pgMar w:top="1011" w:right="1169" w:bottom="1018" w:left="1168" w:header="0" w:footer="849" w:gutter="0"/>
          <w:pgNumType w:start="4"/>
          <w:cols w:space="708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11" w:line="181" w:lineRule="auto"/>
        <w:ind w:left="171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>安徽省地方标准清单</w:t>
      </w:r>
    </w:p>
    <w:p>
      <w:pPr>
        <w:spacing w:before="51"/>
      </w:pPr>
    </w:p>
    <w:tbl>
      <w:tblPr>
        <w:tblStyle w:val="TableNormal0"/>
        <w:tblW w:w="589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0"/>
        <w:gridCol w:w="904"/>
        <w:gridCol w:w="1978"/>
        <w:gridCol w:w="906"/>
        <w:gridCol w:w="904"/>
        <w:gridCol w:w="914"/>
      </w:tblGrid>
      <w:tr>
        <w:tblPrEx>
          <w:tblW w:w="589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5"/>
        </w:trPr>
        <w:tc>
          <w:tcPr>
            <w:tcW w:w="290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spacing w:before="106" w:line="180" w:lineRule="auto"/>
              <w:ind w:left="56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序</w:t>
            </w:r>
          </w:p>
          <w:p>
            <w:pPr>
              <w:spacing w:line="186" w:lineRule="auto"/>
              <w:ind w:left="57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号</w:t>
            </w:r>
          </w:p>
        </w:tc>
        <w:tc>
          <w:tcPr>
            <w:tcW w:w="904" w:type="dxa"/>
            <w:tcBorders>
              <w:top w:val="single" w:sz="6" w:space="0" w:color="000000"/>
            </w:tcBorders>
            <w:vAlign w:val="top"/>
          </w:tcPr>
          <w:p>
            <w:pPr>
              <w:spacing w:before="106" w:line="182" w:lineRule="auto"/>
              <w:ind w:left="190" w:right="106" w:hanging="9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6"/>
                <w:szCs w:val="16"/>
              </w:rPr>
              <w:t>地方标准</w:t>
            </w:r>
            <w:r>
              <w:rPr>
                <w:rFonts w:ascii="Microsoft YaHei" w:eastAsia="Microsoft YaHei" w:hAnsi="Microsoft YaHei" w:cs="Microsoft YaHe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16"/>
                <w:szCs w:val="16"/>
              </w:rPr>
              <w:t>编</w:t>
            </w:r>
            <w:r>
              <w:rPr>
                <w:rFonts w:ascii="Microsoft YaHei" w:eastAsia="Microsoft YaHei" w:hAnsi="Microsoft YaHei" w:cs="Microsoft YaHei"/>
                <w:spacing w:val="2"/>
                <w:sz w:val="16"/>
                <w:szCs w:val="16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pacing w:val="-3"/>
                <w:sz w:val="16"/>
                <w:szCs w:val="16"/>
              </w:rPr>
              <w:t>号</w:t>
            </w:r>
          </w:p>
        </w:tc>
        <w:tc>
          <w:tcPr>
            <w:tcW w:w="1978" w:type="dxa"/>
            <w:tcBorders>
              <w:top w:val="single" w:sz="6" w:space="0" w:color="000000"/>
            </w:tcBorders>
            <w:vAlign w:val="top"/>
          </w:tcPr>
          <w:p>
            <w:pPr>
              <w:spacing w:before="209" w:line="183" w:lineRule="auto"/>
              <w:ind w:left="63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6"/>
                <w:szCs w:val="16"/>
              </w:rPr>
              <w:t>标准名称</w:t>
            </w:r>
          </w:p>
        </w:tc>
        <w:tc>
          <w:tcPr>
            <w:tcW w:w="906" w:type="dxa"/>
            <w:tcBorders>
              <w:top w:val="single" w:sz="6" w:space="0" w:color="000000"/>
            </w:tcBorders>
            <w:vAlign w:val="top"/>
          </w:tcPr>
          <w:p>
            <w:pPr>
              <w:spacing w:before="106" w:line="180" w:lineRule="auto"/>
              <w:ind w:left="195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代</w:t>
            </w:r>
            <w:r>
              <w:rPr>
                <w:rFonts w:ascii="Microsoft YaHei" w:eastAsia="Microsoft YaHei" w:hAnsi="Microsoft YaHei" w:cs="Microsoft YaHei"/>
                <w:spacing w:val="2"/>
                <w:sz w:val="16"/>
                <w:szCs w:val="16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替</w:t>
            </w:r>
          </w:p>
          <w:p>
            <w:pPr>
              <w:spacing w:line="183" w:lineRule="auto"/>
              <w:ind w:left="195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2"/>
                <w:sz w:val="16"/>
                <w:szCs w:val="16"/>
              </w:rPr>
              <w:t>标准号</w:t>
            </w:r>
          </w:p>
        </w:tc>
        <w:tc>
          <w:tcPr>
            <w:tcW w:w="904" w:type="dxa"/>
            <w:tcBorders>
              <w:top w:val="single" w:sz="6" w:space="0" w:color="000000"/>
            </w:tcBorders>
            <w:vAlign w:val="top"/>
          </w:tcPr>
          <w:p>
            <w:pPr>
              <w:spacing w:before="209" w:line="182" w:lineRule="auto"/>
              <w:ind w:left="106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6"/>
                <w:szCs w:val="16"/>
              </w:rPr>
              <w:t>批准日期</w:t>
            </w:r>
          </w:p>
        </w:tc>
        <w:tc>
          <w:tcPr>
            <w:tcW w:w="914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209" w:line="182" w:lineRule="auto"/>
              <w:ind w:left="11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6"/>
                <w:szCs w:val="16"/>
              </w:rPr>
              <w:t>实施日期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09" w:line="190" w:lineRule="exact"/>
              <w:ind w:left="105"/>
            </w:pPr>
            <w:r>
              <w:rPr>
                <w:spacing w:val="21"/>
              </w:rPr>
              <w:t>1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06" w:line="206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4711-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13" w:line="183" w:lineRule="auto"/>
              <w:ind w:left="107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既有建筑改造设计指南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09" w:line="188" w:lineRule="exact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09" w:line="188" w:lineRule="exact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10" w:line="190" w:lineRule="exact"/>
              <w:ind w:left="102"/>
            </w:pPr>
            <w:r>
              <w:rPr>
                <w:spacing w:val="9"/>
                <w:w w:val="117"/>
              </w:rPr>
              <w:t>2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08" w:line="206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4712-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07" w:line="179" w:lineRule="auto"/>
              <w:ind w:left="109" w:right="32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/>
                <w:spacing w:val="3"/>
              </w:rPr>
              <w:t>城市</w:t>
            </w:r>
            <w:r>
              <w:rPr>
                <w:rFonts w:ascii="Microsoft YaHei" w:eastAsia="Microsoft YaHei" w:hAnsi="Microsoft YaHei" w:cs="Microsoft YaHei"/>
                <w:spacing w:val="-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position w:val="1"/>
              </w:rPr>
              <w:t>"</w:t>
            </w:r>
            <w:r>
              <w:rPr>
                <w:rFonts w:ascii="Microsoft YaHei" w:eastAsia="Microsoft YaHei" w:hAnsi="Microsoft YaHei" w:cs="Microsoft YaHei"/>
                <w:spacing w:val="-9"/>
                <w:position w:val="1"/>
              </w:rPr>
              <w:t xml:space="preserve"> </w:t>
            </w:r>
            <w:r>
              <w:rPr>
                <w:spacing w:val="3"/>
              </w:rPr>
              <w:t>15</w:t>
            </w:r>
            <w:r>
              <w:rPr>
                <w:rFonts w:ascii="Microsoft YaHei" w:eastAsia="Microsoft YaHei" w:hAnsi="Microsoft YaHei" w:cs="Microsoft YaHei"/>
                <w:spacing w:val="3"/>
              </w:rPr>
              <w:t>分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</w:rPr>
              <w:t>钟</w:t>
            </w:r>
            <w:r>
              <w:rPr>
                <w:rFonts w:ascii="Microsoft YaHei" w:eastAsia="Microsoft YaHei" w:hAnsi="Microsoft YaHei" w:cs="Microsoft YaHei"/>
                <w:spacing w:val="-1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</w:rPr>
              <w:t>生</w:t>
            </w:r>
            <w:r>
              <w:rPr>
                <w:rFonts w:ascii="Microsoft YaHei" w:eastAsia="Microsoft YaHei" w:hAnsi="Microsoft YaHei" w:cs="Microsoft YaHei"/>
                <w:spacing w:val="-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</w:rPr>
              <w:t>活 圈</w:t>
            </w:r>
            <w:r>
              <w:rPr>
                <w:rFonts w:ascii="Microsoft YaHei" w:eastAsia="Microsoft YaHei" w:hAnsi="Microsoft YaHei" w:cs="Microsoft YaHei"/>
                <w:spacing w:val="-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position w:val="1"/>
              </w:rPr>
              <w:t>”</w:t>
            </w:r>
            <w:r>
              <w:rPr>
                <w:rFonts w:ascii="Microsoft YaHei" w:eastAsia="Microsoft YaHei" w:hAnsi="Microsoft YaHei" w:cs="Microsoft YaHei"/>
                <w:position w:val="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5"/>
              </w:rPr>
              <w:t>建设技术指南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10" w:line="188" w:lineRule="exact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0" w:line="188" w:lineRule="exact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7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40" w:line="185" w:lineRule="auto"/>
              <w:ind w:left="103"/>
            </w:pPr>
            <w:r>
              <w:rPr>
                <w:spacing w:val="13"/>
                <w:w w:val="112"/>
              </w:rPr>
              <w:t>3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09" w:line="206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4713-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114" w:line="181" w:lineRule="auto"/>
              <w:ind w:left="109" w:right="10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城市 生</w:t>
            </w:r>
            <w:r>
              <w:rPr>
                <w:rFonts w:ascii="Microsoft YaHei" w:eastAsia="Microsoft YaHei" w:hAnsi="Microsoft YaHei" w:cs="Microsoft YaHe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命 线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工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程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>安</w:t>
            </w:r>
            <w:r>
              <w:rPr>
                <w:rFonts w:ascii="Microsoft YaHei" w:eastAsia="Microsoft YaHei" w:hAnsi="Microsoft YaHei" w:cs="Microsoft YaHei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 xml:space="preserve">全 </w:t>
            </w: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运行监测运营标准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12" w:line="188" w:lineRule="exact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2" w:line="188" w:lineRule="exact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39" w:line="188" w:lineRule="auto"/>
              <w:ind w:left="100"/>
            </w:pPr>
            <w:r>
              <w:rPr>
                <w:spacing w:val="4"/>
                <w:w w:val="125"/>
              </w:rPr>
              <w:t>4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1" w:line="206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4714-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19" w:line="182" w:lineRule="auto"/>
              <w:ind w:left="10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建筑信息模型应用指南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14" w:line="188" w:lineRule="exact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4" w:line="188" w:lineRule="exact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41" w:line="188" w:lineRule="auto"/>
              <w:ind w:left="103"/>
            </w:pPr>
            <w:r>
              <w:rPr>
                <w:spacing w:val="13"/>
                <w:w w:val="111"/>
              </w:rPr>
              <w:t>5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3" w:line="206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4715-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20" w:line="183" w:lineRule="auto"/>
              <w:ind w:left="282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绿色工地建设标准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16" w:line="188" w:lineRule="exact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6" w:line="188" w:lineRule="exact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9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43" w:line="188" w:lineRule="auto"/>
              <w:ind w:left="104"/>
            </w:pPr>
            <w:r>
              <w:rPr>
                <w:spacing w:val="12"/>
                <w:w w:val="111"/>
              </w:rPr>
              <w:t>6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5" w:line="206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4716-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222" w:line="183" w:lineRule="auto"/>
              <w:ind w:left="10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智慧住宅工程建设标准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18" w:line="188" w:lineRule="exact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8" w:line="188" w:lineRule="exact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87"/>
        </w:trPr>
        <w:tc>
          <w:tcPr>
            <w:tcW w:w="290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45" w:line="188" w:lineRule="auto"/>
              <w:ind w:left="103"/>
            </w:pPr>
            <w:r>
              <w:rPr>
                <w:spacing w:val="14"/>
                <w:w w:val="109"/>
              </w:rPr>
              <w:t>7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17" w:line="206" w:lineRule="auto"/>
              <w:ind w:left="67" w:right="32" w:firstLine="74"/>
            </w:pPr>
            <w:r>
              <w:t>DB</w:t>
            </w:r>
            <w:r>
              <w:rPr>
                <w:spacing w:val="17"/>
              </w:rPr>
              <w:t>34</w:t>
            </w:r>
            <w:r>
              <w:rPr>
                <w:rFonts w:ascii="Microsoft YaHei" w:eastAsia="Microsoft YaHei" w:hAnsi="Microsoft YaHei" w:cs="Microsoft YaHei"/>
                <w:spacing w:val="17"/>
              </w:rPr>
              <w:t>/</w:t>
            </w:r>
            <w:r>
              <w:rPr>
                <w:spacing w:val="17"/>
              </w:rPr>
              <w:t>T</w:t>
            </w:r>
            <w:r>
              <w:t xml:space="preserve">   </w:t>
            </w:r>
            <w:r>
              <w:rPr>
                <w:spacing w:val="1"/>
              </w:rPr>
              <w:t>4717-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2024</w:t>
            </w:r>
          </w:p>
        </w:tc>
        <w:tc>
          <w:tcPr>
            <w:tcW w:w="1978" w:type="dxa"/>
            <w:vAlign w:val="top"/>
          </w:tcPr>
          <w:p>
            <w:pPr>
              <w:spacing w:before="121" w:line="181" w:lineRule="auto"/>
              <w:ind w:left="109" w:right="108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城市 道 路</w:t>
            </w:r>
            <w:r>
              <w:rPr>
                <w:rFonts w:ascii="Microsoft YaHei" w:eastAsia="Microsoft YaHei" w:hAnsi="Microsoft YaHei" w:cs="Microsoft YaHei"/>
                <w:spacing w:val="26"/>
                <w:w w:val="10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占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道</w:t>
            </w:r>
            <w:r>
              <w:rPr>
                <w:rFonts w:ascii="Microsoft YaHei" w:eastAsia="Microsoft YaHei" w:hAnsi="Microsoft YaHei" w:cs="Microsoft YaHei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作</w:t>
            </w:r>
            <w:r>
              <w:rPr>
                <w:rFonts w:ascii="Microsoft YaHei" w:eastAsia="Microsoft YaHei" w:hAnsi="Microsoft YaHei" w:cs="Microsoft YaHei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业</w:t>
            </w:r>
            <w:r>
              <w:rPr>
                <w:rFonts w:ascii="Microsoft YaHei" w:eastAsia="Microsoft YaHei" w:hAnsi="Microsoft YaHei" w:cs="Microsoft YaHei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6"/>
                <w:szCs w:val="16"/>
              </w:rPr>
              <w:t>交</w:t>
            </w:r>
            <w:r>
              <w:rPr>
                <w:rFonts w:ascii="Microsoft YaHei" w:eastAsia="Microsoft YaHei" w:hAnsi="Microsoft YaHei" w:cs="Microsoft YaHei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16"/>
                <w:szCs w:val="16"/>
              </w:rPr>
              <w:t>通安全防护技术规程</w:t>
            </w:r>
          </w:p>
        </w:tc>
        <w:tc>
          <w:tcPr>
            <w:tcW w:w="906" w:type="dxa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219" w:line="188" w:lineRule="exact"/>
              <w:jc w:val="right"/>
            </w:pPr>
            <w:r>
              <w:t>2024-01-</w:t>
            </w:r>
            <w:r>
              <w:rPr>
                <w:spacing w:val="-16"/>
              </w:rPr>
              <w:t xml:space="preserve"> </w:t>
            </w:r>
            <w:r>
              <w:t>11</w:t>
            </w:r>
          </w:p>
        </w:tc>
        <w:tc>
          <w:tcPr>
            <w:tcW w:w="91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9" w:line="188" w:lineRule="exact"/>
              <w:jc w:val="right"/>
            </w:pPr>
            <w:r>
              <w:t>2024-07-</w:t>
            </w:r>
            <w:r>
              <w:rPr>
                <w:spacing w:val="-15"/>
              </w:rPr>
              <w:t xml:space="preserve"> </w:t>
            </w:r>
            <w:r>
              <w:t>11</w:t>
            </w:r>
          </w:p>
        </w:tc>
      </w:tr>
      <w:tr>
        <w:tblPrEx>
          <w:tblW w:w="5896" w:type="dxa"/>
          <w:tblInd w:w="7" w:type="dxa"/>
          <w:tblLayout w:type="fixed"/>
        </w:tblPrEx>
        <w:trPr>
          <w:trHeight w:val="597"/>
        </w:trPr>
        <w:tc>
          <w:tcPr>
            <w:tcW w:w="290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97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14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pgSz w:w="8219" w:h="11904"/>
          <w:pgMar w:top="1011" w:right="1154" w:bottom="1021" w:left="1152" w:header="0" w:footer="849" w:gutter="0"/>
          <w:pgNumType w:start="5"/>
          <w:cols w:space="708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12" w:line="174" w:lineRule="auto"/>
        <w:ind w:left="2397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-5"/>
          <w:sz w:val="26"/>
          <w:szCs w:val="26"/>
        </w:rPr>
        <w:t>前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 xml:space="preserve">       </w:t>
      </w:r>
      <w:r>
        <w:rPr>
          <w:rFonts w:ascii="Microsoft YaHei" w:eastAsia="Microsoft YaHei" w:hAnsi="Microsoft YaHei" w:cs="Microsoft YaHei"/>
          <w:spacing w:val="-5"/>
          <w:sz w:val="26"/>
          <w:szCs w:val="26"/>
        </w:rPr>
        <w:t>言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86" w:line="209" w:lineRule="auto"/>
        <w:ind w:left="2" w:right="79" w:firstLine="439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根据《安徽省市场监督管理局关于下达〈城市再生水管网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工程技术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标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准〉等</w:t>
      </w:r>
      <w:r>
        <w:rPr>
          <w:rFonts w:ascii="Microsoft YaHei" w:eastAsia="Microsoft YaHei" w:hAnsi="Microsoft YaHei" w:cs="Microsoft YaHei"/>
          <w:spacing w:val="4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66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项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地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方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标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准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制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计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划 的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通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知》（院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市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监 函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c</w:t>
      </w:r>
      <w:r>
        <w:rPr>
          <w:rFonts w:ascii="Arial" w:eastAsia="Arial" w:hAnsi="Arial" w:cs="Arial"/>
          <w:spacing w:val="6"/>
          <w:sz w:val="20"/>
          <w:szCs w:val="20"/>
        </w:rPr>
        <w:t>2021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〕</w:t>
      </w:r>
      <w:r>
        <w:rPr>
          <w:rFonts w:ascii="Arial" w:eastAsia="Arial" w:hAnsi="Arial" w:cs="Arial"/>
          <w:spacing w:val="6"/>
          <w:sz w:val="20"/>
          <w:szCs w:val="20"/>
        </w:rPr>
        <w:t>225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号）的要求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编制组经广泛的调查研究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认真总结实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践经验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参考国家和行业相关标准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并在广泛征求意见的基础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上，制定本指南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。</w:t>
      </w:r>
    </w:p>
    <w:p>
      <w:pPr>
        <w:spacing w:before="49" w:line="206" w:lineRule="auto"/>
        <w:ind w:left="3" w:right="79" w:firstLine="43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本指南主要内容：</w:t>
      </w:r>
      <w:r>
        <w:rPr>
          <w:rFonts w:ascii="Arial" w:eastAsia="Arial" w:hAnsi="Arial" w:cs="Arial"/>
          <w:spacing w:val="-3"/>
          <w:sz w:val="20"/>
          <w:szCs w:val="20"/>
        </w:rPr>
        <w:t>1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7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总则</w:t>
      </w:r>
      <w:r>
        <w:rPr>
          <w:rFonts w:ascii="Microsoft YaHei" w:eastAsia="Microsoft YaHei" w:hAnsi="Microsoft YaHei" w:cs="Microsoft YaHei"/>
          <w:spacing w:val="-3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>2.</w:t>
      </w:r>
      <w:r>
        <w:rPr>
          <w:rFonts w:ascii="Arial" w:eastAsia="Arial" w:hAnsi="Arial" w:cs="Arial"/>
          <w:spacing w:val="21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术语；</w:t>
      </w:r>
      <w:r>
        <w:rPr>
          <w:rFonts w:ascii="Arial" w:eastAsia="Arial" w:hAnsi="Arial" w:cs="Arial"/>
          <w:spacing w:val="-3"/>
          <w:sz w:val="20"/>
          <w:szCs w:val="20"/>
        </w:rPr>
        <w:t>3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1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基本规定；</w:t>
      </w:r>
      <w:r>
        <w:rPr>
          <w:rFonts w:ascii="Arial" w:eastAsia="Arial" w:hAnsi="Arial" w:cs="Arial"/>
          <w:spacing w:val="-3"/>
          <w:sz w:val="20"/>
          <w:szCs w:val="20"/>
        </w:rPr>
        <w:t>4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6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分钟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生活圈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宜居建设；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8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绿色建设；</w:t>
      </w:r>
      <w:r>
        <w:rPr>
          <w:rFonts w:ascii="Arial" w:eastAsia="Arial" w:hAnsi="Arial" w:cs="Arial"/>
          <w:spacing w:val="2"/>
          <w:sz w:val="20"/>
          <w:szCs w:val="20"/>
        </w:rPr>
        <w:t>6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0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0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分钟生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活圈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韧性建设；</w:t>
      </w:r>
      <w:r>
        <w:rPr>
          <w:rFonts w:ascii="Arial" w:eastAsia="Arial" w:hAnsi="Arial" w:cs="Arial"/>
          <w:spacing w:val="2"/>
          <w:sz w:val="20"/>
          <w:szCs w:val="20"/>
        </w:rPr>
        <w:t>7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8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智慧建设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；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8.</w:t>
      </w:r>
      <w:r>
        <w:rPr>
          <w:rFonts w:ascii="Arial" w:eastAsia="Arial" w:hAnsi="Arial" w:cs="Arial"/>
          <w:spacing w:val="30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0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分钟生活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圈”人文建设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。</w:t>
      </w:r>
    </w:p>
    <w:p>
      <w:pPr>
        <w:spacing w:before="57" w:line="204" w:lineRule="auto"/>
        <w:ind w:firstLine="439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本指南由安徽省住房和城乡建设厅负责归口管理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委托安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徽省城乡规划设计研究院有限公司负责具体技术内容的解释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在执行过程中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如有意见和建议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请寄送安徽省城乡规划设计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研究院有限公司（地址：安徽省合肥市包河区桐城南路</w:t>
      </w:r>
      <w:r>
        <w:rPr>
          <w:rFonts w:ascii="Microsoft YaHei" w:eastAsia="Microsoft YaHei" w:hAnsi="Microsoft YaHei" w:cs="Microsoft YaHei"/>
          <w:spacing w:val="42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363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号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>邮政编码：</w:t>
      </w:r>
      <w:r>
        <w:rPr>
          <w:rFonts w:ascii="Arial" w:eastAsia="Arial" w:hAnsi="Arial" w:cs="Arial"/>
          <w:spacing w:val="-8"/>
          <w:sz w:val="20"/>
          <w:szCs w:val="20"/>
        </w:rPr>
        <w:t>230022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>）</w:t>
      </w:r>
      <w:r>
        <w:rPr>
          <w:rFonts w:ascii="Microsoft YaHei" w:eastAsia="Microsoft YaHei" w:hAnsi="Microsoft YaHei" w:cs="Microsoft YaHei"/>
          <w:spacing w:val="-8"/>
          <w:position w:val="1"/>
          <w:sz w:val="20"/>
          <w:szCs w:val="20"/>
        </w:rPr>
        <w:t>。</w:t>
      </w:r>
    </w:p>
    <w:p>
      <w:pPr>
        <w:spacing w:before="62" w:line="180" w:lineRule="auto"/>
        <w:ind w:left="44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主</w:t>
      </w:r>
      <w:r>
        <w:rPr>
          <w:rFonts w:ascii="Microsoft YaHei" w:eastAsia="Microsoft YaHei" w:hAnsi="Microsoft YaHei" w:cs="Microsoft YaHei"/>
          <w:spacing w:val="30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编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单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位：安徽省城乡规划设计研究院有限公司</w:t>
      </w:r>
    </w:p>
    <w:p>
      <w:pPr>
        <w:spacing w:before="56" w:line="181" w:lineRule="auto"/>
        <w:ind w:left="44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主要编写人员：宋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密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许晓飞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刘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珊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陶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莹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周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惜</w:t>
      </w:r>
    </w:p>
    <w:p>
      <w:pPr>
        <w:spacing w:line="17" w:lineRule="exact"/>
      </w:pPr>
    </w:p>
    <w:p>
      <w:pPr>
        <w:spacing w:line="17" w:lineRule="exact"/>
        <w:sectPr>
          <w:footerReference w:type="default" r:id="rId7"/>
          <w:pgSz w:w="8219" w:h="11904"/>
          <w:pgMar w:top="1011" w:right="1091" w:bottom="1021" w:left="1170" w:header="0" w:footer="849" w:gutter="0"/>
          <w:pgNumType w:start="6"/>
          <w:cols w:num="1" w:space="708" w:equalWidth="0">
            <w:col w:w="5956" w:space="0"/>
          </w:cols>
        </w:sectPr>
      </w:pPr>
    </w:p>
    <w:p>
      <w:pPr>
        <w:spacing w:before="40" w:line="181" w:lineRule="auto"/>
        <w:ind w:left="186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李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凡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汪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萍</w:t>
      </w:r>
    </w:p>
    <w:p>
      <w:pPr>
        <w:spacing w:before="54" w:line="181" w:lineRule="auto"/>
        <w:ind w:left="44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主要审查人员：胡厚国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徐从广</w:t>
      </w:r>
    </w:p>
    <w:p>
      <w:pPr>
        <w:spacing w:before="57" w:line="194" w:lineRule="exact"/>
        <w:ind w:left="186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20"/>
          <w:szCs w:val="20"/>
        </w:rPr>
        <w:t>卫青春</w:t>
      </w:r>
      <w:r>
        <w:rPr>
          <w:rFonts w:ascii="Microsoft YaHei" w:eastAsia="Microsoft YaHei" w:hAnsi="Microsoft YaHei" w:cs="Microsoft YaHei"/>
          <w:spacing w:val="14"/>
          <w:w w:val="101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position w:val="-1"/>
          <w:sz w:val="20"/>
          <w:szCs w:val="20"/>
        </w:rPr>
        <w:t>王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"/>
          <w:position w:val="-1"/>
          <w:sz w:val="20"/>
          <w:szCs w:val="20"/>
        </w:rPr>
        <w:t>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7" w:line="201" w:lineRule="auto"/>
        <w:ind w:right="121" w:firstLine="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张志鹏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何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8" w:line="201" w:lineRule="auto"/>
        <w:ind w:left="1" w:right="116" w:hanging="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汪全立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张超荣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220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刘伊丹</w:t>
      </w:r>
    </w:p>
    <w:p>
      <w:pPr>
        <w:spacing w:line="182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金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晶</w:t>
      </w:r>
    </w:p>
    <w:p>
      <w:pPr>
        <w:spacing w:line="182" w:lineRule="auto"/>
        <w:rPr>
          <w:rFonts w:ascii="Microsoft YaHei" w:eastAsia="Microsoft YaHei" w:hAnsi="Microsoft YaHei" w:cs="Microsoft YaHei"/>
          <w:sz w:val="20"/>
          <w:szCs w:val="20"/>
        </w:rPr>
        <w:sectPr>
          <w:footerReference w:type="default" r:id="rId8"/>
          <w:type w:val="continuous"/>
          <w:pgSz w:w="8219" w:h="11904"/>
          <w:pgMar w:top="1011" w:right="1091" w:bottom="1021" w:left="1170" w:header="0" w:footer="849" w:gutter="0"/>
          <w:pgNumType w:start="7"/>
          <w:cols w:num="4" w:space="708" w:equalWidth="0">
            <w:col w:w="3425" w:space="100"/>
            <w:col w:w="737" w:space="100"/>
            <w:col w:w="726" w:space="100"/>
            <w:col w:w="770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9"/>
          <w:footerReference w:type="default" r:id="rId10"/>
          <w:pgSz w:w="8219" w:h="11904"/>
          <w:pgMar w:top="0" w:right="0" w:bottom="0" w:left="0" w:header="0" w:footer="0" w:gutter="0"/>
          <w:pgNumType w:start="8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11" w:line="178" w:lineRule="auto"/>
        <w:ind w:left="2576"/>
        <w:rPr>
          <w:rFonts w:ascii="Microsoft YaHei" w:eastAsia="Microsoft YaHei" w:hAnsi="Microsoft YaHei" w:cs="Microsoft YaHei"/>
          <w:sz w:val="26"/>
          <w:szCs w:val="26"/>
        </w:rPr>
      </w:pPr>
      <w:bookmarkStart w:id="0" w:name="bookmark1"/>
      <w:bookmarkEnd w:id="0"/>
      <w:r>
        <w:rPr>
          <w:rFonts w:ascii="Microsoft YaHei" w:eastAsia="Microsoft YaHei" w:hAnsi="Microsoft YaHei" w:cs="Microsoft YaHei"/>
          <w:spacing w:val="-26"/>
          <w:sz w:val="26"/>
          <w:szCs w:val="26"/>
        </w:rPr>
        <w:t>目</w:t>
      </w:r>
      <w:r>
        <w:rPr>
          <w:rFonts w:ascii="Microsoft YaHei" w:eastAsia="Microsoft YaHei" w:hAnsi="Microsoft YaHei" w:cs="Microsoft YaHei"/>
          <w:spacing w:val="25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-26"/>
          <w:sz w:val="26"/>
          <w:szCs w:val="26"/>
        </w:rPr>
        <w:t>次</w:t>
      </w:r>
    </w:p>
    <w:p>
      <w:pPr>
        <w:spacing w:line="427" w:lineRule="auto"/>
        <w:rPr>
          <w:rFonts w:ascii="Arial"/>
          <w:sz w:val="21"/>
        </w:rPr>
      </w:pPr>
    </w:p>
    <w:sdt>
      <w:sdtPr>
        <w:rPr>
          <w:rFonts w:ascii="Arial" w:eastAsia="Arial" w:hAnsi="Arial" w:cs="Arial"/>
          <w:sz w:val="20"/>
          <w:szCs w:val="20"/>
        </w:rPr>
        <w:id w:val="64067997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6"/>
          <w:szCs w:val="16"/>
        </w:rPr>
      </w:sdtEndPr>
      <w:sdtContent>
        <w:p>
          <w:pPr>
            <w:tabs>
              <w:tab w:val="right" w:leader="dot" w:pos="5930"/>
            </w:tabs>
            <w:spacing w:before="86" w:line="184" w:lineRule="auto"/>
            <w:ind w:left="6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4"/>
              <w:position w:val="-1"/>
              <w:sz w:val="20"/>
              <w:szCs w:val="20"/>
            </w:rPr>
            <w:t>1</w:t>
          </w:r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>总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>则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2" w:history="1">
            <w:r>
              <w:rPr>
                <w:rFonts w:ascii="Arial" w:eastAsia="Arial" w:hAnsi="Arial" w:cs="Arial"/>
                <w:spacing w:val="25"/>
                <w:position w:val="-1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5929"/>
            </w:tabs>
            <w:spacing w:before="47" w:line="185" w:lineRule="auto"/>
            <w:ind w:left="2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9"/>
              <w:position w:val="-1"/>
              <w:sz w:val="20"/>
              <w:szCs w:val="20"/>
            </w:rPr>
            <w:t>2</w:t>
          </w:r>
          <w:r>
            <w:rPr>
              <w:rFonts w:ascii="Arial" w:eastAsia="Arial" w:hAnsi="Arial" w:cs="Arial"/>
              <w:spacing w:val="8"/>
              <w:position w:val="-1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20"/>
              <w:szCs w:val="20"/>
            </w:rPr>
            <w:t>术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9"/>
              <w:sz w:val="20"/>
              <w:szCs w:val="20"/>
            </w:rPr>
            <w:t>语</w:t>
          </w:r>
          <w:r>
            <w:rPr>
              <w:rFonts w:ascii="Microsoft YaHei" w:eastAsia="Microsoft YaHei" w:hAnsi="Microsoft YaHei" w:cs="Microsoft YaHei"/>
              <w:spacing w:val="2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w w:val="101"/>
              <w:sz w:val="20"/>
              <w:szCs w:val="20"/>
            </w:rPr>
            <w:t xml:space="preserve">  </w:t>
          </w:r>
          <w:hyperlink w:anchor="bookmark3" w:history="1">
            <w:r>
              <w:rPr>
                <w:rFonts w:ascii="Arial" w:eastAsia="Arial" w:hAnsi="Arial" w:cs="Arial"/>
                <w:spacing w:val="11"/>
                <w:w w:val="116"/>
                <w:position w:val="-1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929"/>
            </w:tabs>
            <w:spacing w:before="48" w:line="181" w:lineRule="auto"/>
            <w:ind w:left="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 xml:space="preserve">3  </w:t>
          </w: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>基本规定</w:t>
          </w:r>
          <w:r>
            <w:rPr>
              <w:rFonts w:ascii="Microsoft YaHei" w:eastAsia="Microsoft YaHei" w:hAnsi="Microsoft YaHei" w:cs="Microsoft YaHei"/>
              <w:spacing w:val="2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20"/>
              <w:szCs w:val="20"/>
            </w:rPr>
            <w:t xml:space="preserve">  </w:t>
          </w:r>
          <w:hyperlink w:anchor="bookmark4" w:history="1">
            <w:r>
              <w:rPr>
                <w:rFonts w:ascii="Arial" w:eastAsia="Arial" w:hAnsi="Arial" w:cs="Arial"/>
                <w:spacing w:val="5"/>
                <w:w w:val="123"/>
                <w:position w:val="-1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5930"/>
            </w:tabs>
            <w:spacing w:before="46" w:line="185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5"/>
              <w:position w:val="-1"/>
              <w:sz w:val="20"/>
              <w:szCs w:val="20"/>
            </w:rPr>
            <w:t xml:space="preserve">4 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5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24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5"/>
              <w:szCs w:val="5"/>
            </w:rPr>
            <w:t xml:space="preserve">”  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>宜居建设</w:t>
          </w:r>
          <w:r>
            <w:rPr>
              <w:rFonts w:ascii="Microsoft YaHei" w:eastAsia="Microsoft YaHei" w:hAnsi="Microsoft YaHei" w:cs="Microsoft YaHei"/>
              <w:spacing w:val="6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5" w:history="1">
            <w:r>
              <w:rPr>
                <w:rFonts w:ascii="Arial" w:eastAsia="Arial" w:hAnsi="Arial" w:cs="Arial"/>
                <w:spacing w:val="27"/>
                <w:position w:val="-1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47" w:line="186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4"/>
              <w:w w:val="102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3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6"/>
              <w:szCs w:val="16"/>
            </w:rPr>
            <w:t xml:space="preserve">  </w:t>
          </w:r>
          <w:hyperlink w:anchor="bookmark6" w:history="1">
            <w:r>
              <w:rPr>
                <w:rFonts w:ascii="Arial" w:eastAsia="Arial" w:hAnsi="Arial" w:cs="Arial"/>
                <w:spacing w:val="13"/>
                <w:w w:val="111"/>
                <w:position w:val="-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55" w:line="186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5"/>
              <w:w w:val="102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2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服务设施建设</w:t>
          </w:r>
          <w:r>
            <w:rPr>
              <w:rFonts w:ascii="Microsoft YaHei" w:eastAsia="Microsoft YaHei" w:hAnsi="Microsoft YaHei" w:cs="Microsoft YaHei"/>
              <w:spacing w:val="3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6"/>
              <w:szCs w:val="16"/>
            </w:rPr>
            <w:t xml:space="preserve">  </w:t>
          </w:r>
          <w:hyperlink w:anchor="bookmark7" w:history="1">
            <w:r>
              <w:rPr>
                <w:rFonts w:ascii="Arial" w:eastAsia="Arial" w:hAnsi="Arial" w:cs="Arial"/>
                <w:spacing w:val="13"/>
                <w:w w:val="111"/>
                <w:position w:val="-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62" w:line="182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7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3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街道空间建设</w:t>
          </w:r>
          <w:r>
            <w:rPr>
              <w:rFonts w:ascii="Microsoft YaHei" w:eastAsia="Microsoft YaHei" w:hAnsi="Microsoft YaHei" w:cs="Microsoft YaHei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6"/>
              <w:szCs w:val="16"/>
            </w:rPr>
            <w:t xml:space="preserve">  </w:t>
          </w:r>
          <w:hyperlink w:anchor="bookmark1" w:history="1">
            <w:r>
              <w:rPr>
                <w:rFonts w:ascii="Arial" w:eastAsia="Arial" w:hAnsi="Arial" w:cs="Arial"/>
                <w:spacing w:val="14"/>
                <w:w w:val="109"/>
                <w:position w:val="-1"/>
                <w:sz w:val="16"/>
                <w:szCs w:val="16"/>
              </w:rPr>
              <w:t>7</w:t>
            </w:r>
          </w:hyperlink>
        </w:p>
        <w:p>
          <w:pPr>
            <w:tabs>
              <w:tab w:val="right" w:leader="dot" w:pos="5920"/>
            </w:tabs>
            <w:spacing w:before="57" w:line="186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7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4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停车设施建设</w:t>
          </w:r>
          <w:r>
            <w:rPr>
              <w:rFonts w:ascii="Microsoft YaHei" w:eastAsia="Microsoft YaHei" w:hAnsi="Microsoft YaHei" w:cs="Microsoft YaHei"/>
              <w:spacing w:val="29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w w:val="101"/>
              <w:sz w:val="16"/>
              <w:szCs w:val="16"/>
            </w:rPr>
            <w:t xml:space="preserve">  </w:t>
          </w:r>
          <w:hyperlink w:anchor="bookmark8" w:history="1">
            <w:r>
              <w:rPr>
                <w:rFonts w:ascii="Arial" w:eastAsia="Arial" w:hAnsi="Arial" w:cs="Arial"/>
                <w:spacing w:val="13"/>
                <w:w w:val="113"/>
                <w:position w:val="-1"/>
                <w:sz w:val="16"/>
                <w:szCs w:val="16"/>
              </w:rPr>
              <w:t>8</w:t>
            </w:r>
          </w:hyperlink>
        </w:p>
        <w:p>
          <w:pPr>
            <w:tabs>
              <w:tab w:val="right" w:leader="dot" w:pos="5920"/>
            </w:tabs>
            <w:spacing w:before="62" w:line="182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6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5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>街区建设</w:t>
          </w:r>
          <w:r>
            <w:rPr>
              <w:rFonts w:ascii="Microsoft YaHei" w:eastAsia="Microsoft YaHei" w:hAnsi="Microsoft YaHei" w:cs="Microsoft YaHei"/>
              <w:spacing w:val="30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sz w:val="16"/>
              <w:szCs w:val="16"/>
            </w:rPr>
            <w:t xml:space="preserve">  </w:t>
          </w:r>
          <w:hyperlink w:anchor="bookmark9" w:history="1">
            <w:r>
              <w:rPr>
                <w:rFonts w:ascii="Arial" w:eastAsia="Arial" w:hAnsi="Arial" w:cs="Arial"/>
                <w:spacing w:val="13"/>
                <w:w w:val="110"/>
                <w:position w:val="-1"/>
                <w:sz w:val="16"/>
                <w:szCs w:val="16"/>
              </w:rPr>
              <w:t>9</w:t>
            </w:r>
          </w:hyperlink>
        </w:p>
        <w:p>
          <w:pPr>
            <w:tabs>
              <w:tab w:val="right" w:leader="dot" w:pos="5920"/>
            </w:tabs>
            <w:spacing w:before="55" w:line="186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6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6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住宅建设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0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0</w:t>
          </w:r>
        </w:p>
        <w:p>
          <w:pPr>
            <w:tabs>
              <w:tab w:val="right" w:leader="dot" w:pos="5930"/>
            </w:tabs>
            <w:spacing w:before="55" w:line="185" w:lineRule="auto"/>
            <w:ind w:left="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7"/>
              <w:position w:val="-1"/>
              <w:sz w:val="20"/>
              <w:szCs w:val="20"/>
            </w:rPr>
            <w:t xml:space="preserve">5  </w:t>
          </w:r>
          <w:r>
            <w:rPr>
              <w:rFonts w:ascii="Microsoft YaHei" w:eastAsia="Microsoft YaHei" w:hAnsi="Microsoft YaHei" w:cs="Microsoft YaHei"/>
              <w:spacing w:val="17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7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31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position w:val="1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11"/>
              <w:w w:val="106"/>
              <w:position w:val="1"/>
              <w:sz w:val="5"/>
              <w:szCs w:val="5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>绿色建设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11" w:history="1">
            <w:r>
              <w:rPr>
                <w:rFonts w:ascii="Arial" w:eastAsia="Arial" w:hAnsi="Arial" w:cs="Arial"/>
                <w:spacing w:val="11"/>
                <w:position w:val="-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position w:val="-1"/>
              <w:sz w:val="20"/>
              <w:szCs w:val="20"/>
            </w:rPr>
            <w:t>1</w:t>
          </w:r>
        </w:p>
        <w:p>
          <w:pPr>
            <w:tabs>
              <w:tab w:val="right" w:leader="dot" w:pos="5920"/>
            </w:tabs>
            <w:spacing w:before="48" w:line="18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2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57" w:line="18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8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 xml:space="preserve">2  </w:t>
          </w:r>
          <w:r>
            <w:rPr>
              <w:rFonts w:ascii="Microsoft YaHei" w:eastAsia="Microsoft YaHei" w:hAnsi="Microsoft YaHei" w:cs="Microsoft YaHei"/>
              <w:spacing w:val="11"/>
              <w:sz w:val="16"/>
              <w:szCs w:val="16"/>
            </w:rPr>
            <w:t>绿色空间公共建设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3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55" w:line="187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1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position w:val="-1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绿色出行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4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3</w:t>
          </w:r>
        </w:p>
        <w:p>
          <w:pPr>
            <w:tabs>
              <w:tab w:val="right" w:leader="dot" w:pos="5920"/>
            </w:tabs>
            <w:spacing w:before="56" w:line="18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8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 xml:space="preserve">4  </w:t>
          </w:r>
          <w:r>
            <w:rPr>
              <w:rFonts w:ascii="Microsoft YaHei" w:eastAsia="Microsoft YaHei" w:hAnsi="Microsoft YaHei" w:cs="Microsoft YaHei"/>
              <w:spacing w:val="12"/>
              <w:sz w:val="16"/>
              <w:szCs w:val="16"/>
            </w:rPr>
            <w:t>绿色环境卫生设施建设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5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4</w:t>
          </w:r>
        </w:p>
        <w:p>
          <w:pPr>
            <w:tabs>
              <w:tab w:val="right" w:leader="dot" w:pos="5930"/>
            </w:tabs>
            <w:spacing w:before="55" w:line="185" w:lineRule="auto"/>
            <w:ind w:left="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7"/>
              <w:position w:val="-1"/>
              <w:sz w:val="20"/>
              <w:szCs w:val="20"/>
            </w:rPr>
            <w:t xml:space="preserve">6  </w:t>
          </w:r>
          <w:r>
            <w:rPr>
              <w:rFonts w:ascii="Microsoft YaHei" w:eastAsia="Microsoft YaHei" w:hAnsi="Microsoft YaHei" w:cs="Microsoft YaHei"/>
              <w:spacing w:val="17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7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32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position w:val="1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12"/>
              <w:w w:val="101"/>
              <w:position w:val="1"/>
              <w:sz w:val="5"/>
              <w:szCs w:val="5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>韧性建设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16" w:history="1">
            <w:r>
              <w:rPr>
                <w:rFonts w:ascii="Arial" w:eastAsia="Arial" w:hAnsi="Arial" w:cs="Arial"/>
                <w:spacing w:val="11"/>
                <w:position w:val="-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position w:val="-1"/>
              <w:sz w:val="20"/>
              <w:szCs w:val="20"/>
            </w:rPr>
            <w:t>6</w:t>
          </w:r>
        </w:p>
        <w:p>
          <w:pPr>
            <w:tabs>
              <w:tab w:val="right" w:leader="dot" w:pos="5920"/>
            </w:tabs>
            <w:spacing w:before="46" w:line="186" w:lineRule="auto"/>
            <w:ind w:left="274"/>
            <w:rPr>
              <w:rFonts w:ascii="Arial" w:eastAsia="Arial" w:hAnsi="Arial" w:cs="Arial"/>
              <w:sz w:val="16"/>
              <w:szCs w:val="16"/>
            </w:rPr>
            <w:sectPr>
              <w:headerReference w:type="default" r:id="rId11"/>
              <w:footerReference w:type="default" r:id="rId12"/>
              <w:pgSz w:w="8219" w:h="11904"/>
              <w:pgMar w:top="400" w:right="1115" w:bottom="1021" w:left="1172" w:header="0" w:footer="849" w:gutter="0"/>
              <w:pgNumType w:start="9"/>
              <w:cols w:space="708"/>
            </w:sect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7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7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6</w:t>
          </w:r>
        </w:p>
      </w:sdtContent>
    </w:sdt>
    <w:sdt>
      <w:sdtPr>
        <w:rPr>
          <w:rFonts w:ascii="Arial" w:eastAsia="Arial" w:hAnsi="Arial" w:cs="Arial"/>
          <w:sz w:val="20"/>
          <w:szCs w:val="20"/>
        </w:rPr>
        <w:id w:val="119725024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6"/>
          <w:szCs w:val="16"/>
        </w:rPr>
      </w:sdtEndPr>
      <w:sdtContent>
        <w:p>
          <w:pPr>
            <w:tabs>
              <w:tab w:val="right" w:leader="dot" w:pos="5920"/>
            </w:tabs>
            <w:spacing w:before="57" w:line="186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2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9"/>
              <w:position w:val="-1"/>
              <w:sz w:val="16"/>
              <w:szCs w:val="16"/>
            </w:rPr>
            <w:t>2</w:t>
          </w:r>
          <w:r>
            <w:rPr>
              <w:rFonts w:ascii="Arial" w:eastAsia="Arial" w:hAnsi="Arial" w:cs="Arial"/>
              <w:spacing w:val="15"/>
              <w:position w:val="-1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16"/>
              <w:szCs w:val="16"/>
            </w:rPr>
            <w:t>防灾应急建设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8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6</w:t>
          </w:r>
        </w:p>
        <w:p>
          <w:pPr>
            <w:tabs>
              <w:tab w:val="right" w:leader="dot" w:pos="5920"/>
            </w:tabs>
            <w:spacing w:before="57" w:line="186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7"/>
              <w:w w:val="101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 xml:space="preserve">3  </w:t>
          </w:r>
          <w:r>
            <w:rPr>
              <w:rFonts w:ascii="Microsoft YaHei" w:eastAsia="Microsoft YaHei" w:hAnsi="Microsoft YaHei" w:cs="Microsoft YaHei"/>
              <w:spacing w:val="12"/>
              <w:sz w:val="16"/>
              <w:szCs w:val="16"/>
            </w:rPr>
            <w:t>市政设施安全保障建设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19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6</w:t>
          </w:r>
        </w:p>
        <w:p>
          <w:pPr>
            <w:tabs>
              <w:tab w:val="right" w:leader="dot" w:pos="5930"/>
            </w:tabs>
            <w:spacing w:before="55" w:line="185" w:lineRule="auto"/>
            <w:ind w:left="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7"/>
              <w:position w:val="-1"/>
              <w:sz w:val="20"/>
              <w:szCs w:val="20"/>
            </w:rPr>
            <w:t xml:space="preserve">7  </w:t>
          </w:r>
          <w:r>
            <w:rPr>
              <w:rFonts w:ascii="Microsoft YaHei" w:eastAsia="Microsoft YaHei" w:hAnsi="Microsoft YaHei" w:cs="Microsoft YaHei"/>
              <w:spacing w:val="17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7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30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position w:val="1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10"/>
              <w:w w:val="106"/>
              <w:position w:val="1"/>
              <w:sz w:val="5"/>
              <w:szCs w:val="5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>智慧建设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20"/>
              <w:szCs w:val="20"/>
            </w:rPr>
            <w:t xml:space="preserve">  </w:t>
          </w:r>
          <w:hyperlink w:anchor="bookmark20" w:history="1">
            <w:r>
              <w:rPr>
                <w:rFonts w:ascii="Arial" w:eastAsia="Arial" w:hAnsi="Arial" w:cs="Arial"/>
                <w:spacing w:val="11"/>
                <w:position w:val="-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position w:val="-1"/>
              <w:sz w:val="20"/>
              <w:szCs w:val="20"/>
            </w:rPr>
            <w:t>8</w:t>
          </w:r>
        </w:p>
        <w:p>
          <w:pPr>
            <w:tabs>
              <w:tab w:val="right" w:leader="dot" w:pos="5920"/>
            </w:tabs>
            <w:spacing w:before="46" w:line="18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7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7"/>
              <w:sz w:val="16"/>
              <w:szCs w:val="16"/>
            </w:rPr>
            <w:t>一般规定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1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57" w:line="18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8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 xml:space="preserve">2  </w:t>
          </w:r>
          <w:r>
            <w:rPr>
              <w:rFonts w:ascii="Microsoft YaHei" w:eastAsia="Microsoft YaHei" w:hAnsi="Microsoft YaHei" w:cs="Microsoft YaHei"/>
              <w:spacing w:val="11"/>
              <w:sz w:val="16"/>
              <w:szCs w:val="16"/>
            </w:rPr>
            <w:t>智慧基础设施建设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2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56" w:line="18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8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 xml:space="preserve">3  </w:t>
          </w:r>
          <w:r>
            <w:rPr>
              <w:rFonts w:ascii="Microsoft YaHei" w:eastAsia="Microsoft YaHei" w:hAnsi="Microsoft YaHei" w:cs="Microsoft YaHei"/>
              <w:spacing w:val="11"/>
              <w:sz w:val="16"/>
              <w:szCs w:val="16"/>
            </w:rPr>
            <w:t>智慧社区服务建设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3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58" w:line="18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8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1"/>
              <w:position w:val="-1"/>
              <w:sz w:val="16"/>
              <w:szCs w:val="16"/>
            </w:rPr>
            <w:t xml:space="preserve">4  </w:t>
          </w:r>
          <w:r>
            <w:rPr>
              <w:rFonts w:ascii="Microsoft YaHei" w:eastAsia="Microsoft YaHei" w:hAnsi="Microsoft YaHei" w:cs="Microsoft YaHei"/>
              <w:spacing w:val="11"/>
              <w:sz w:val="16"/>
              <w:szCs w:val="16"/>
            </w:rPr>
            <w:t>智慧社区治理建设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16"/>
              <w:szCs w:val="16"/>
            </w:rPr>
            <w:t xml:space="preserve">  </w:t>
          </w:r>
          <w:hyperlink w:anchor="bookmark24" w:history="1">
            <w:r>
              <w:rPr>
                <w:rFonts w:ascii="Arial" w:eastAsia="Arial" w:hAnsi="Arial" w:cs="Arial"/>
                <w:spacing w:val="10"/>
                <w:position w:val="-1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9</w:t>
          </w:r>
        </w:p>
        <w:p>
          <w:pPr>
            <w:tabs>
              <w:tab w:val="right" w:leader="dot" w:pos="5929"/>
            </w:tabs>
            <w:spacing w:before="54" w:line="185" w:lineRule="auto"/>
            <w:ind w:left="2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7"/>
              <w:position w:val="-1"/>
              <w:sz w:val="20"/>
              <w:szCs w:val="20"/>
            </w:rPr>
            <w:t xml:space="preserve">8  </w:t>
          </w:r>
          <w:r>
            <w:rPr>
              <w:rFonts w:ascii="Microsoft YaHei" w:eastAsia="Microsoft YaHei" w:hAnsi="Microsoft YaHei" w:cs="Microsoft YaHei"/>
              <w:spacing w:val="17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7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27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position w:val="1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10"/>
              <w:w w:val="101"/>
              <w:position w:val="1"/>
              <w:sz w:val="5"/>
              <w:szCs w:val="5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>人文建设</w:t>
          </w:r>
          <w:r>
            <w:rPr>
              <w:rFonts w:ascii="Microsoft YaHei" w:eastAsia="Microsoft YaHei" w:hAnsi="Microsoft YaHei" w:cs="Microsoft YaHei"/>
              <w:spacing w:val="1"/>
              <w:sz w:val="20"/>
              <w:szCs w:val="20"/>
            </w:rPr>
            <w:t xml:space="preserve">  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25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0</w:t>
          </w:r>
        </w:p>
        <w:p>
          <w:pPr>
            <w:tabs>
              <w:tab w:val="right" w:leader="dot" w:pos="5920"/>
            </w:tabs>
            <w:spacing w:before="47" w:line="186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3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一般规定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26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0</w:t>
          </w:r>
        </w:p>
        <w:p>
          <w:pPr>
            <w:tabs>
              <w:tab w:val="right" w:leader="dot" w:pos="5920"/>
            </w:tabs>
            <w:spacing w:before="57" w:line="186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6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2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全龄友好建设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27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0</w:t>
          </w:r>
        </w:p>
        <w:p>
          <w:pPr>
            <w:tabs>
              <w:tab w:val="right" w:leader="dot" w:pos="5920"/>
            </w:tabs>
            <w:spacing w:before="55" w:line="187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6"/>
              <w:position w:val="-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position w:val="-1"/>
              <w:sz w:val="16"/>
              <w:szCs w:val="16"/>
            </w:rPr>
            <w:t xml:space="preserve">3  </w:t>
          </w:r>
          <w:r>
            <w:rPr>
              <w:rFonts w:ascii="Microsoft YaHei" w:eastAsia="Microsoft YaHei" w:hAnsi="Microsoft YaHei" w:cs="Microsoft YaHei"/>
              <w:spacing w:val="10"/>
              <w:sz w:val="16"/>
              <w:szCs w:val="16"/>
            </w:rPr>
            <w:t>社区特色塑造</w:t>
          </w:r>
          <w:r>
            <w:rPr>
              <w:rFonts w:ascii="Microsoft YaHei" w:eastAsia="Microsoft YaHei" w:hAnsi="Microsoft YaHei" w:cs="Microsoft YaHei"/>
              <w:spacing w:val="8"/>
              <w:sz w:val="16"/>
              <w:szCs w:val="16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6"/>
              <w:szCs w:val="16"/>
            </w:rPr>
            <w:tab/>
          </w:r>
          <w:r>
            <w:rPr>
              <w:rFonts w:ascii="Microsoft YaHei" w:eastAsia="Microsoft YaHei" w:hAnsi="Microsoft YaHei" w:cs="Microsoft YaHei"/>
              <w:spacing w:val="16"/>
              <w:sz w:val="16"/>
              <w:szCs w:val="16"/>
            </w:rPr>
            <w:t xml:space="preserve">  </w:t>
          </w:r>
          <w:hyperlink w:anchor="bookmark28" w:history="1">
            <w:r>
              <w:rPr>
                <w:rFonts w:ascii="Arial" w:eastAsia="Arial" w:hAnsi="Arial" w:cs="Arial"/>
                <w:spacing w:val="12"/>
                <w:position w:val="-1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16"/>
              <w:szCs w:val="16"/>
            </w:rPr>
            <w:t>1</w:t>
          </w:r>
        </w:p>
      </w:sdtContent>
    </w:sdt>
    <w:p>
      <w:pPr>
        <w:spacing w:line="187" w:lineRule="auto"/>
        <w:rPr>
          <w:rFonts w:ascii="Arial" w:eastAsia="Arial" w:hAnsi="Arial" w:cs="Arial"/>
          <w:sz w:val="16"/>
          <w:szCs w:val="16"/>
        </w:rPr>
        <w:sectPr>
          <w:headerReference w:type="default" r:id="rId13"/>
          <w:footerReference w:type="default" r:id="rId14"/>
          <w:type w:val="nextPage"/>
          <w:pgSz w:w="8219" w:h="11904"/>
          <w:pgMar w:top="400" w:right="1115" w:bottom="1021" w:left="1172" w:header="0" w:footer="849" w:gutter="0"/>
          <w:pgNumType w:start="10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sdt>
      <w:sdtPr>
        <w:rPr>
          <w:rFonts w:ascii="Microsoft YaHei" w:eastAsia="Microsoft YaHei" w:hAnsi="Microsoft YaHei" w:cs="Microsoft YaHei"/>
          <w:sz w:val="20"/>
          <w:szCs w:val="20"/>
        </w:rPr>
        <w:id w:val="59055594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tabs>
              <w:tab w:val="right" w:leader="dot" w:pos="5930"/>
            </w:tabs>
            <w:spacing w:before="86" w:line="185" w:lineRule="auto"/>
            <w:ind w:left="13"/>
            <w:rPr>
              <w:rFonts w:ascii="Arial" w:eastAsia="Arial" w:hAnsi="Arial" w:cs="Arial"/>
              <w:sz w:val="20"/>
              <w:szCs w:val="20"/>
            </w:rPr>
          </w:pPr>
          <w:bookmarkStart w:id="1" w:name="bookmark8"/>
          <w:bookmarkEnd w:id="1"/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 xml:space="preserve">附录 </w:t>
          </w:r>
          <w:r>
            <w:rPr>
              <w:rFonts w:ascii="Arial" w:eastAsia="Arial" w:hAnsi="Arial" w:cs="Arial"/>
              <w:spacing w:val="15"/>
              <w:sz w:val="20"/>
              <w:szCs w:val="20"/>
            </w:rPr>
            <w:t>A</w:t>
          </w:r>
          <w:r>
            <w:rPr>
              <w:rFonts w:ascii="Arial" w:eastAsia="Arial" w:hAnsi="Arial" w:cs="Arial"/>
              <w:spacing w:val="22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5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36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5"/>
              <w:szCs w:val="5"/>
            </w:rPr>
            <w:t xml:space="preserve">”  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 xml:space="preserve">宜居建设内容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8"/>
              <w:sz w:val="20"/>
              <w:szCs w:val="20"/>
            </w:rPr>
            <w:t xml:space="preserve">  </w:t>
          </w:r>
          <w:hyperlink w:anchor="bookmark29" w:history="1">
            <w:r>
              <w:rPr>
                <w:rFonts w:ascii="Arial" w:eastAsia="Arial" w:hAnsi="Arial" w:cs="Arial"/>
                <w:spacing w:val="13"/>
                <w:position w:val="-1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position w:val="-1"/>
              <w:sz w:val="20"/>
              <w:szCs w:val="20"/>
            </w:rPr>
            <w:t>3</w:t>
          </w:r>
        </w:p>
        <w:p>
          <w:pPr>
            <w:tabs>
              <w:tab w:val="right" w:leader="dot" w:pos="5930"/>
            </w:tabs>
            <w:spacing w:before="44" w:line="185" w:lineRule="auto"/>
            <w:ind w:left="1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6"/>
              <w:sz w:val="20"/>
              <w:szCs w:val="20"/>
            </w:rPr>
            <w:t xml:space="preserve">附录 </w:t>
          </w:r>
          <w:r>
            <w:rPr>
              <w:rFonts w:ascii="Arial" w:eastAsia="Arial" w:hAnsi="Arial" w:cs="Arial"/>
              <w:spacing w:val="16"/>
              <w:sz w:val="20"/>
              <w:szCs w:val="20"/>
            </w:rPr>
            <w:t>B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6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6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36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6"/>
              <w:position w:val="1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12"/>
              <w:position w:val="1"/>
              <w:sz w:val="5"/>
              <w:szCs w:val="5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6"/>
              <w:sz w:val="20"/>
              <w:szCs w:val="20"/>
            </w:rPr>
            <w:t>绿色建设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 xml:space="preserve">内容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30" w:history="1">
            <w:r>
              <w:rPr>
                <w:rFonts w:ascii="Arial" w:eastAsia="Arial" w:hAnsi="Arial" w:cs="Arial"/>
                <w:spacing w:val="12"/>
                <w:position w:val="-1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>5</w:t>
          </w:r>
        </w:p>
        <w:p>
          <w:pPr>
            <w:tabs>
              <w:tab w:val="right" w:leader="dot" w:pos="5930"/>
            </w:tabs>
            <w:spacing w:before="44" w:line="185" w:lineRule="auto"/>
            <w:ind w:left="1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 xml:space="preserve">附录 </w:t>
          </w:r>
          <w:r>
            <w:rPr>
              <w:rFonts w:ascii="Arial" w:eastAsia="Arial" w:hAnsi="Arial" w:cs="Arial"/>
              <w:spacing w:val="15"/>
              <w:sz w:val="20"/>
              <w:szCs w:val="20"/>
            </w:rPr>
            <w:t>C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5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35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12"/>
              <w:w w:val="106"/>
              <w:position w:val="1"/>
              <w:sz w:val="5"/>
              <w:szCs w:val="5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 xml:space="preserve">韧性建设内容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9"/>
              <w:sz w:val="20"/>
              <w:szCs w:val="20"/>
            </w:rPr>
            <w:t xml:space="preserve">  </w:t>
          </w:r>
          <w:hyperlink w:anchor="bookmark31" w:history="1">
            <w:r>
              <w:rPr>
                <w:rFonts w:ascii="Arial" w:eastAsia="Arial" w:hAnsi="Arial" w:cs="Arial"/>
                <w:spacing w:val="12"/>
                <w:position w:val="-1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position w:val="-1"/>
              <w:sz w:val="20"/>
              <w:szCs w:val="20"/>
            </w:rPr>
            <w:t>8</w:t>
          </w:r>
        </w:p>
        <w:p>
          <w:pPr>
            <w:tabs>
              <w:tab w:val="right" w:leader="dot" w:pos="5930"/>
            </w:tabs>
            <w:spacing w:before="44" w:line="185" w:lineRule="auto"/>
            <w:ind w:left="1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 xml:space="preserve">附录 </w:t>
          </w:r>
          <w:r>
            <w:rPr>
              <w:rFonts w:ascii="Arial" w:eastAsia="Arial" w:hAnsi="Arial" w:cs="Arial"/>
              <w:spacing w:val="15"/>
              <w:sz w:val="20"/>
              <w:szCs w:val="20"/>
            </w:rPr>
            <w:t>D</w:t>
          </w:r>
          <w:r>
            <w:rPr>
              <w:rFonts w:ascii="Arial" w:eastAsia="Arial" w:hAnsi="Arial" w:cs="Arial"/>
              <w:spacing w:val="34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5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37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11"/>
              <w:w w:val="103"/>
              <w:position w:val="1"/>
              <w:sz w:val="5"/>
              <w:szCs w:val="5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sz w:val="20"/>
              <w:szCs w:val="20"/>
            </w:rPr>
            <w:t xml:space="preserve">智慧建设内容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 xml:space="preserve">  </w:t>
          </w:r>
          <w:hyperlink w:anchor="bookmark32" w:history="1">
            <w:r>
              <w:rPr>
                <w:rFonts w:ascii="Arial" w:eastAsia="Arial" w:hAnsi="Arial" w:cs="Arial"/>
                <w:spacing w:val="14"/>
                <w:position w:val="-1"/>
                <w:sz w:val="20"/>
                <w:szCs w:val="20"/>
              </w:rPr>
              <w:t>4</w:t>
            </w:r>
          </w:hyperlink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>1</w:t>
          </w:r>
        </w:p>
        <w:p>
          <w:pPr>
            <w:tabs>
              <w:tab w:val="right" w:leader="dot" w:pos="5930"/>
            </w:tabs>
            <w:spacing w:before="44" w:line="185" w:lineRule="auto"/>
            <w:ind w:left="1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6"/>
              <w:sz w:val="20"/>
              <w:szCs w:val="20"/>
            </w:rPr>
            <w:t xml:space="preserve">附录 </w:t>
          </w:r>
          <w:r>
            <w:rPr>
              <w:rFonts w:ascii="Arial" w:eastAsia="Arial" w:hAnsi="Arial" w:cs="Arial"/>
              <w:spacing w:val="16"/>
              <w:sz w:val="20"/>
              <w:szCs w:val="20"/>
            </w:rPr>
            <w:t>E</w:t>
          </w:r>
          <w:r>
            <w:rPr>
              <w:rFonts w:ascii="Arial" w:eastAsia="Arial" w:hAnsi="Arial" w:cs="Arial"/>
              <w:sz w:val="20"/>
              <w:szCs w:val="20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position w:val="1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16"/>
              <w:sz w:val="20"/>
              <w:szCs w:val="20"/>
            </w:rPr>
            <w:t>15</w:t>
          </w:r>
          <w:r>
            <w:rPr>
              <w:rFonts w:ascii="Microsoft YaHei" w:eastAsia="Microsoft YaHei" w:hAnsi="Microsoft YaHei" w:cs="Microsoft YaHei"/>
              <w:spacing w:val="16"/>
              <w:sz w:val="20"/>
              <w:szCs w:val="20"/>
            </w:rPr>
            <w:t>分钟生活圈</w:t>
          </w:r>
          <w:r>
            <w:rPr>
              <w:rFonts w:ascii="Microsoft YaHei" w:eastAsia="Microsoft YaHei" w:hAnsi="Microsoft YaHei" w:cs="Microsoft YaHei"/>
              <w:spacing w:val="-35"/>
              <w:sz w:val="20"/>
              <w:szCs w:val="20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6"/>
              <w:position w:val="1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10"/>
              <w:position w:val="1"/>
              <w:sz w:val="5"/>
              <w:szCs w:val="5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6"/>
              <w:sz w:val="20"/>
              <w:szCs w:val="20"/>
            </w:rPr>
            <w:t xml:space="preserve">人文建设内容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 xml:space="preserve">  </w:t>
          </w:r>
          <w:hyperlink w:anchor="bookmark33" w:history="1">
            <w:r>
              <w:rPr>
                <w:rFonts w:ascii="Arial" w:eastAsia="Arial" w:hAnsi="Arial" w:cs="Arial"/>
                <w:spacing w:val="14"/>
                <w:position w:val="-1"/>
                <w:sz w:val="20"/>
                <w:szCs w:val="20"/>
              </w:rPr>
              <w:t>4</w:t>
            </w:r>
          </w:hyperlink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>3</w:t>
          </w:r>
        </w:p>
        <w:p>
          <w:pPr>
            <w:tabs>
              <w:tab w:val="right" w:leader="dot" w:pos="5930"/>
            </w:tabs>
            <w:spacing w:before="50" w:line="180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6"/>
              <w:sz w:val="20"/>
              <w:szCs w:val="20"/>
            </w:rPr>
            <w:t>本指南用词说明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 xml:space="preserve">  </w:t>
          </w:r>
          <w:hyperlink w:anchor="bookmark34" w:history="1">
            <w:r>
              <w:rPr>
                <w:rFonts w:ascii="Arial" w:eastAsia="Arial" w:hAnsi="Arial" w:cs="Arial"/>
                <w:spacing w:val="14"/>
                <w:position w:val="-1"/>
                <w:sz w:val="20"/>
                <w:szCs w:val="20"/>
              </w:rPr>
              <w:t>4</w:t>
            </w:r>
          </w:hyperlink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>5</w:t>
          </w:r>
        </w:p>
        <w:p>
          <w:pPr>
            <w:tabs>
              <w:tab w:val="right" w:leader="dot" w:pos="5930"/>
            </w:tabs>
            <w:spacing w:before="51" w:line="180" w:lineRule="auto"/>
            <w:ind w:left="7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Microsoft YaHei" w:eastAsia="Microsoft YaHei" w:hAnsi="Microsoft YaHei" w:cs="Microsoft YaHei"/>
              <w:spacing w:val="14"/>
              <w:sz w:val="20"/>
              <w:szCs w:val="20"/>
            </w:rPr>
            <w:t>引用标准名录</w:t>
          </w:r>
          <w:r>
            <w:rPr>
              <w:rFonts w:ascii="Microsoft YaHei" w:eastAsia="Microsoft YaHei" w:hAnsi="Microsoft YaHei" w:cs="Microsoft YaHei"/>
              <w:spacing w:val="4"/>
              <w:sz w:val="20"/>
              <w:szCs w:val="20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0"/>
              <w:szCs w:val="20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sz w:val="20"/>
              <w:szCs w:val="20"/>
            </w:rPr>
            <w:t xml:space="preserve">  </w:t>
          </w:r>
          <w:hyperlink w:anchor="bookmark35" w:history="1">
            <w:r>
              <w:rPr>
                <w:rFonts w:ascii="Arial" w:eastAsia="Arial" w:hAnsi="Arial" w:cs="Arial"/>
                <w:spacing w:val="14"/>
                <w:position w:val="-1"/>
                <w:sz w:val="20"/>
                <w:szCs w:val="20"/>
              </w:rPr>
              <w:t>4</w:t>
            </w:r>
          </w:hyperlink>
          <w:r>
            <w:rPr>
              <w:rFonts w:ascii="Arial" w:eastAsia="Arial" w:hAnsi="Arial" w:cs="Arial"/>
              <w:spacing w:val="14"/>
              <w:position w:val="-1"/>
              <w:sz w:val="20"/>
              <w:szCs w:val="20"/>
            </w:rPr>
            <w:t>6</w:t>
          </w:r>
        </w:p>
      </w:sdtContent>
    </w:sdt>
    <w:p>
      <w:pPr>
        <w:spacing w:line="180" w:lineRule="auto"/>
        <w:rPr>
          <w:rFonts w:ascii="Arial" w:eastAsia="Arial" w:hAnsi="Arial" w:cs="Arial"/>
          <w:sz w:val="20"/>
          <w:szCs w:val="20"/>
        </w:rPr>
        <w:sectPr>
          <w:headerReference w:type="default" r:id="rId15"/>
          <w:footerReference w:type="default" r:id="rId16"/>
          <w:pgSz w:w="8219" w:h="11904"/>
          <w:pgMar w:top="400" w:right="1115" w:bottom="1051" w:left="1171" w:header="0" w:footer="827" w:gutter="0"/>
          <w:pgNumType w:start="11"/>
          <w:cols w:space="708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75" w:line="303" w:lineRule="exact"/>
        <w:ind w:left="2408"/>
        <w:rPr>
          <w:rFonts w:ascii="Arial" w:eastAsia="Arial" w:hAnsi="Arial" w:cs="Arial"/>
          <w:sz w:val="26"/>
          <w:szCs w:val="26"/>
        </w:rPr>
      </w:pPr>
      <w:bookmarkStart w:id="2" w:name="bookmark9"/>
      <w:bookmarkEnd w:id="2"/>
      <w:r>
        <w:rPr>
          <w:rFonts w:ascii="Arial" w:eastAsia="Arial" w:hAnsi="Arial" w:cs="Arial"/>
          <w:spacing w:val="10"/>
          <w:sz w:val="26"/>
          <w:szCs w:val="26"/>
        </w:rPr>
        <w:t>contents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sdt>
      <w:sdtPr>
        <w:rPr>
          <w:rFonts w:ascii="Arial" w:eastAsia="Arial" w:hAnsi="Arial" w:cs="Arial"/>
          <w:sz w:val="20"/>
          <w:szCs w:val="20"/>
        </w:rPr>
        <w:id w:val="707308199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6"/>
          <w:szCs w:val="16"/>
        </w:rPr>
      </w:sdtEndPr>
      <w:sdtContent>
        <w:p>
          <w:pPr>
            <w:tabs>
              <w:tab w:val="right" w:leader="dot" w:pos="5930"/>
            </w:tabs>
            <w:spacing w:before="57" w:line="216" w:lineRule="auto"/>
            <w:ind w:left="6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2"/>
              <w:sz w:val="20"/>
              <w:szCs w:val="20"/>
            </w:rPr>
            <w:t>1</w:t>
          </w:r>
          <w:r>
            <w:rPr>
              <w:rFonts w:ascii="Arial" w:eastAsia="Arial" w:hAnsi="Arial" w:cs="Arial"/>
              <w:spacing w:val="10"/>
              <w:sz w:val="20"/>
              <w:szCs w:val="20"/>
            </w:rPr>
            <w:t xml:space="preserve"> 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General</w:t>
          </w:r>
          <w:r>
            <w:rPr>
              <w:rFonts w:ascii="Arial" w:eastAsia="Arial" w:hAnsi="Arial" w:cs="Arial"/>
              <w:spacing w:val="37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provisions</w:t>
          </w:r>
          <w:r>
            <w:rPr>
              <w:rFonts w:ascii="Arial" w:eastAsia="Arial" w:hAnsi="Arial" w:cs="Arial"/>
              <w:spacing w:val="9"/>
              <w:sz w:val="20"/>
              <w:szCs w:val="20"/>
            </w:rPr>
            <w:t xml:space="preserve">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2" w:history="1"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5929"/>
            </w:tabs>
            <w:spacing w:before="103" w:line="233" w:lineRule="exact"/>
            <w:ind w:left="2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8"/>
              <w:sz w:val="20"/>
              <w:szCs w:val="20"/>
            </w:rPr>
            <w:t>2</w:t>
          </w:r>
          <w:r>
            <w:rPr>
              <w:rFonts w:ascii="Arial" w:eastAsia="Arial" w:hAnsi="Arial" w:cs="Arial"/>
              <w:spacing w:val="9"/>
              <w:sz w:val="20"/>
              <w:szCs w:val="20"/>
            </w:rPr>
            <w:t xml:space="preserve">  </w:t>
          </w:r>
          <w:r>
            <w:rPr>
              <w:rFonts w:ascii="Arial" w:eastAsia="Arial" w:hAnsi="Arial" w:cs="Arial"/>
              <w:spacing w:val="8"/>
              <w:sz w:val="20"/>
              <w:szCs w:val="20"/>
            </w:rPr>
            <w:t>Terms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 xml:space="preserve"> 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sz w:val="20"/>
              <w:szCs w:val="20"/>
            </w:rPr>
            <w:t xml:space="preserve">  </w:t>
          </w:r>
          <w:hyperlink w:anchor="bookmark3" w:history="1">
            <w:r>
              <w:rPr>
                <w:rFonts w:ascii="Arial" w:eastAsia="Arial" w:hAnsi="Arial" w:cs="Arial"/>
                <w:spacing w:val="11"/>
                <w:w w:val="116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929"/>
            </w:tabs>
            <w:spacing w:before="75" w:line="216" w:lineRule="auto"/>
            <w:ind w:left="3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17"/>
              <w:sz w:val="20"/>
              <w:szCs w:val="20"/>
            </w:rPr>
            <w:t xml:space="preserve">3  </w:t>
          </w:r>
          <w:r>
            <w:rPr>
              <w:rFonts w:ascii="Arial" w:eastAsia="Arial" w:hAnsi="Arial" w:cs="Arial"/>
              <w:sz w:val="20"/>
              <w:szCs w:val="20"/>
            </w:rPr>
            <w:t>Basic</w:t>
          </w:r>
          <w:r>
            <w:rPr>
              <w:rFonts w:ascii="Arial" w:eastAsia="Arial" w:hAnsi="Arial" w:cs="Arial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requirement</w:t>
          </w:r>
          <w:r>
            <w:rPr>
              <w:rFonts w:ascii="Arial" w:eastAsia="Arial" w:hAnsi="Arial" w:cs="Arial"/>
              <w:spacing w:val="9"/>
              <w:sz w:val="20"/>
              <w:szCs w:val="20"/>
            </w:rPr>
            <w:t xml:space="preserve"> 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0"/>
              <w:sz w:val="20"/>
              <w:szCs w:val="20"/>
            </w:rPr>
            <w:t xml:space="preserve">  </w:t>
          </w:r>
          <w:hyperlink w:anchor="bookmark4" w:history="1">
            <w:r>
              <w:rPr>
                <w:rFonts w:ascii="Arial" w:eastAsia="Arial" w:hAnsi="Arial" w:cs="Arial"/>
                <w:spacing w:val="5"/>
                <w:w w:val="123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5930"/>
            </w:tabs>
            <w:spacing w:before="103" w:line="214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6"/>
              <w:sz w:val="20"/>
              <w:szCs w:val="20"/>
            </w:rPr>
            <w:t xml:space="preserve">4  </w:t>
          </w:r>
          <w:r>
            <w:rPr>
              <w:rFonts w:ascii="Microsoft YaHei" w:eastAsia="Microsoft YaHei" w:hAnsi="Microsoft YaHei" w:cs="Microsoft YaHei"/>
              <w:spacing w:val="6"/>
              <w:position w:val="3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37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37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spacing w:val="6"/>
              <w:position w:val="3"/>
              <w:sz w:val="5"/>
              <w:szCs w:val="5"/>
            </w:rPr>
            <w:t xml:space="preserve">” 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livable</w:t>
          </w:r>
          <w:r>
            <w:rPr>
              <w:rFonts w:ascii="Arial" w:eastAsia="Arial" w:hAnsi="Arial" w:cs="Arial"/>
              <w:spacing w:val="36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 xml:space="preserve">construction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2"/>
              <w:w w:val="101"/>
              <w:sz w:val="20"/>
              <w:szCs w:val="20"/>
            </w:rPr>
            <w:t xml:space="preserve">  </w:t>
          </w:r>
          <w:hyperlink w:anchor="bookmark5" w:history="1">
            <w:r>
              <w:rPr>
                <w:rFonts w:ascii="Arial" w:eastAsia="Arial" w:hAnsi="Arial" w:cs="Arial"/>
                <w:spacing w:val="27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106" w:line="188" w:lineRule="exact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1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3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rules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 </w:t>
          </w:r>
          <w:hyperlink w:anchor="bookmark6" w:history="1">
            <w:r>
              <w:rPr>
                <w:rFonts w:ascii="Arial" w:eastAsia="Arial" w:hAnsi="Arial" w:cs="Arial"/>
                <w:spacing w:val="13"/>
                <w:w w:val="11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80" w:line="216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3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36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2  service</w:t>
          </w:r>
          <w:r>
            <w:rPr>
              <w:rFonts w:ascii="Arial" w:eastAsia="Arial" w:hAnsi="Arial" w:cs="Arial"/>
              <w:spacing w:val="26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facility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 </w:t>
          </w:r>
          <w:hyperlink w:anchor="bookmark7" w:history="1">
            <w:r>
              <w:rPr>
                <w:rFonts w:ascii="Arial" w:eastAsia="Arial" w:hAnsi="Arial" w:cs="Arial"/>
                <w:spacing w:val="13"/>
                <w:w w:val="111"/>
                <w:sz w:val="16"/>
                <w:szCs w:val="16"/>
              </w:rPr>
              <w:t>5</w:t>
            </w:r>
          </w:hyperlink>
        </w:p>
        <w:p>
          <w:pPr>
            <w:tabs>
              <w:tab w:val="right" w:leader="dot" w:pos="5920"/>
            </w:tabs>
            <w:spacing w:before="103" w:line="219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3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street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space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 </w:t>
          </w:r>
          <w:hyperlink w:anchor="bookmark1" w:history="1">
            <w:r>
              <w:rPr>
                <w:rFonts w:ascii="Arial" w:eastAsia="Arial" w:hAnsi="Arial" w:cs="Arial"/>
                <w:spacing w:val="14"/>
                <w:w w:val="109"/>
                <w:sz w:val="16"/>
                <w:szCs w:val="16"/>
              </w:rPr>
              <w:t>7</w:t>
            </w:r>
          </w:hyperlink>
        </w:p>
        <w:p>
          <w:pPr>
            <w:tabs>
              <w:tab w:val="right" w:leader="dot" w:pos="5920"/>
            </w:tabs>
            <w:spacing w:before="103" w:line="216" w:lineRule="auto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5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19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5"/>
              <w:sz w:val="16"/>
              <w:szCs w:val="16"/>
            </w:rPr>
            <w:t>4  parking</w:t>
          </w:r>
          <w:r>
            <w:rPr>
              <w:rFonts w:ascii="Arial" w:eastAsia="Arial" w:hAnsi="Arial" w:cs="Arial"/>
              <w:spacing w:val="27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5"/>
              <w:sz w:val="16"/>
              <w:szCs w:val="16"/>
            </w:rPr>
            <w:t>facilit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y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8"/>
              <w:w w:val="101"/>
              <w:sz w:val="16"/>
              <w:szCs w:val="16"/>
            </w:rPr>
            <w:t xml:space="preserve">  </w:t>
          </w:r>
          <w:hyperlink w:anchor="bookmark8" w:history="1">
            <w:r>
              <w:rPr>
                <w:rFonts w:ascii="Arial" w:eastAsia="Arial" w:hAnsi="Arial" w:cs="Arial"/>
                <w:spacing w:val="13"/>
                <w:w w:val="113"/>
                <w:sz w:val="16"/>
                <w:szCs w:val="16"/>
              </w:rPr>
              <w:t>8</w:t>
            </w:r>
          </w:hyperlink>
        </w:p>
        <w:p>
          <w:pPr>
            <w:tabs>
              <w:tab w:val="right" w:leader="dot" w:pos="5920"/>
            </w:tabs>
            <w:spacing w:before="104" w:line="188" w:lineRule="exact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6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2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6"/>
              <w:sz w:val="16"/>
              <w:szCs w:val="16"/>
            </w:rPr>
            <w:t>5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Block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13"/>
              <w:w w:val="10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0"/>
              <w:sz w:val="16"/>
              <w:szCs w:val="16"/>
            </w:rPr>
            <w:t xml:space="preserve">  </w:t>
          </w:r>
          <w:hyperlink w:anchor="bookmark9" w:history="1">
            <w:r>
              <w:rPr>
                <w:rFonts w:ascii="Arial" w:eastAsia="Arial" w:hAnsi="Arial" w:cs="Arial"/>
                <w:spacing w:val="13"/>
                <w:w w:val="110"/>
                <w:sz w:val="16"/>
                <w:szCs w:val="16"/>
              </w:rPr>
              <w:t>9</w:t>
            </w:r>
          </w:hyperlink>
        </w:p>
        <w:p>
          <w:pPr>
            <w:tabs>
              <w:tab w:val="right" w:leader="dot" w:pos="5920"/>
            </w:tabs>
            <w:spacing w:before="79" w:line="188" w:lineRule="exact"/>
            <w:ind w:left="270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3"/>
              <w:sz w:val="16"/>
              <w:szCs w:val="16"/>
            </w:rPr>
            <w:t>4.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3"/>
              <w:sz w:val="16"/>
              <w:szCs w:val="16"/>
            </w:rPr>
            <w:t xml:space="preserve">6  </w:t>
          </w:r>
          <w:r>
            <w:rPr>
              <w:rFonts w:ascii="Arial" w:eastAsia="Arial" w:hAnsi="Arial" w:cs="Arial"/>
              <w:sz w:val="16"/>
              <w:szCs w:val="16"/>
            </w:rPr>
            <w:t>Residential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10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0</w:t>
          </w:r>
        </w:p>
        <w:p>
          <w:pPr>
            <w:tabs>
              <w:tab w:val="right" w:leader="dot" w:pos="5930"/>
            </w:tabs>
            <w:spacing w:before="82" w:line="214" w:lineRule="auto"/>
            <w:ind w:left="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5"/>
              <w:sz w:val="20"/>
              <w:szCs w:val="20"/>
            </w:rPr>
            <w:t xml:space="preserve">5  </w:t>
          </w:r>
          <w:r>
            <w:rPr>
              <w:rFonts w:ascii="Microsoft YaHei" w:eastAsia="Microsoft YaHei" w:hAnsi="Microsoft YaHei" w:cs="Microsoft YaHei"/>
              <w:spacing w:val="5"/>
              <w:position w:val="3"/>
              <w:sz w:val="5"/>
              <w:szCs w:val="5"/>
            </w:rPr>
            <w:t>"</w:t>
          </w:r>
          <w:r>
            <w:rPr>
              <w:rFonts w:ascii="Microsoft YaHei" w:eastAsia="Microsoft YaHei" w:hAnsi="Microsoft YaHei" w:cs="Microsoft YaHei"/>
              <w:spacing w:val="2"/>
              <w:position w:val="3"/>
              <w:sz w:val="5"/>
              <w:szCs w:val="5"/>
            </w:rPr>
            <w:t xml:space="preserve"> 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38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37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spacing w:val="5"/>
              <w:position w:val="3"/>
              <w:sz w:val="5"/>
              <w:szCs w:val="5"/>
            </w:rPr>
            <w:t xml:space="preserve">” 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green</w:t>
          </w:r>
          <w:r>
            <w:rPr>
              <w:rFonts w:ascii="Arial" w:eastAsia="Arial" w:hAnsi="Arial" w:cs="Arial"/>
              <w:spacing w:val="35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constructio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 xml:space="preserve">n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11" w:history="1"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sz w:val="20"/>
              <w:szCs w:val="20"/>
            </w:rPr>
            <w:t>1</w:t>
          </w:r>
        </w:p>
        <w:p>
          <w:pPr>
            <w:tabs>
              <w:tab w:val="right" w:leader="dot" w:pos="5920"/>
            </w:tabs>
            <w:spacing w:before="106" w:line="188" w:lineRule="exact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1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rules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 xml:space="preserve"> 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12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81" w:line="219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2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0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 xml:space="preserve">2  </w:t>
          </w:r>
          <w:r>
            <w:rPr>
              <w:rFonts w:ascii="Arial" w:eastAsia="Arial" w:hAnsi="Arial" w:cs="Arial"/>
              <w:sz w:val="16"/>
              <w:szCs w:val="16"/>
            </w:rPr>
            <w:t>Green</w:t>
          </w:r>
          <w:r>
            <w:rPr>
              <w:rFonts w:ascii="Arial" w:eastAsia="Arial" w:hAnsi="Arial" w:cs="Arial"/>
              <w:spacing w:val="27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public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space</w:t>
          </w:r>
          <w:r>
            <w:rPr>
              <w:rFonts w:ascii="Arial" w:eastAsia="Arial" w:hAnsi="Arial" w:cs="Arial"/>
              <w:spacing w:val="29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13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1</w:t>
          </w:r>
        </w:p>
        <w:p>
          <w:pPr>
            <w:tabs>
              <w:tab w:val="right" w:leader="dot" w:pos="5920"/>
            </w:tabs>
            <w:spacing w:before="100" w:line="188" w:lineRule="exact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2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>3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>Green</w:t>
          </w:r>
          <w:r>
            <w:rPr>
              <w:rFonts w:ascii="Arial" w:eastAsia="Arial" w:hAnsi="Arial" w:cs="Arial"/>
              <w:spacing w:val="27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travel</w:t>
          </w:r>
          <w:r>
            <w:rPr>
              <w:rFonts w:ascii="Arial" w:eastAsia="Arial" w:hAnsi="Arial" w:cs="Arial"/>
              <w:spacing w:val="18"/>
              <w:w w:val="10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14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3</w:t>
          </w:r>
        </w:p>
        <w:p>
          <w:pPr>
            <w:tabs>
              <w:tab w:val="right" w:leader="dot" w:pos="5920"/>
            </w:tabs>
            <w:spacing w:before="82" w:line="21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4"/>
              <w:sz w:val="16"/>
              <w:szCs w:val="16"/>
            </w:rPr>
            <w:t>5.</w:t>
          </w:r>
          <w:r>
            <w:rPr>
              <w:rFonts w:ascii="Arial" w:eastAsia="Arial" w:hAnsi="Arial" w:cs="Arial"/>
              <w:spacing w:val="26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4"/>
              <w:sz w:val="16"/>
              <w:szCs w:val="16"/>
            </w:rPr>
            <w:t xml:space="preserve">4  </w:t>
          </w:r>
          <w:r>
            <w:rPr>
              <w:rFonts w:ascii="Arial" w:eastAsia="Arial" w:hAnsi="Arial" w:cs="Arial"/>
              <w:sz w:val="16"/>
              <w:szCs w:val="16"/>
            </w:rPr>
            <w:t>Green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environmental</w:t>
          </w:r>
          <w:r>
            <w:rPr>
              <w:rFonts w:ascii="Arial" w:eastAsia="Arial" w:hAnsi="Arial" w:cs="Arial"/>
              <w:spacing w:val="30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sanitation</w:t>
          </w:r>
          <w:r>
            <w:rPr>
              <w:rFonts w:ascii="Arial" w:eastAsia="Arial" w:hAnsi="Arial" w:cs="Arial"/>
              <w:spacing w:val="25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facility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14"/>
              <w:sz w:val="16"/>
              <w:szCs w:val="16"/>
            </w:rPr>
            <w:t xml:space="preserve"> 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15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4</w:t>
          </w:r>
        </w:p>
        <w:p>
          <w:pPr>
            <w:tabs>
              <w:tab w:val="right" w:leader="dot" w:pos="5930"/>
            </w:tabs>
            <w:spacing w:before="104" w:line="214" w:lineRule="auto"/>
            <w:ind w:left="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5"/>
              <w:sz w:val="20"/>
              <w:szCs w:val="20"/>
            </w:rPr>
            <w:t xml:space="preserve">6  </w:t>
          </w:r>
          <w:r>
            <w:rPr>
              <w:rFonts w:ascii="Microsoft YaHei" w:eastAsia="Microsoft YaHei" w:hAnsi="Microsoft YaHei" w:cs="Microsoft YaHei"/>
              <w:spacing w:val="5"/>
              <w:position w:val="3"/>
              <w:sz w:val="5"/>
              <w:szCs w:val="5"/>
            </w:rPr>
            <w:t>"</w:t>
          </w:r>
          <w:r>
            <w:rPr>
              <w:rFonts w:ascii="Microsoft YaHei" w:eastAsia="Microsoft YaHei" w:hAnsi="Microsoft YaHei" w:cs="Microsoft YaHei"/>
              <w:spacing w:val="9"/>
              <w:w w:val="105"/>
              <w:position w:val="3"/>
              <w:sz w:val="5"/>
              <w:szCs w:val="5"/>
            </w:rPr>
            <w:t xml:space="preserve"> 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37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37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spacing w:val="5"/>
              <w:position w:val="3"/>
              <w:sz w:val="5"/>
              <w:szCs w:val="5"/>
            </w:rPr>
            <w:t xml:space="preserve">” 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resilience</w:t>
          </w:r>
          <w:r>
            <w:rPr>
              <w:rFonts w:ascii="Arial" w:eastAsia="Arial" w:hAnsi="Arial" w:cs="Arial"/>
              <w:spacing w:val="36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 xml:space="preserve">construction 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16" w:history="1"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sz w:val="20"/>
              <w:szCs w:val="20"/>
            </w:rPr>
            <w:t>6</w:t>
          </w:r>
        </w:p>
        <w:p>
          <w:pPr>
            <w:tabs>
              <w:tab w:val="right" w:leader="dot" w:pos="5920"/>
            </w:tabs>
            <w:spacing w:before="104" w:line="188" w:lineRule="exact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1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rules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 xml:space="preserve"> 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17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6</w:t>
          </w:r>
        </w:p>
        <w:p>
          <w:pPr>
            <w:tabs>
              <w:tab w:val="right" w:leader="dot" w:pos="5920"/>
            </w:tabs>
            <w:spacing w:before="82" w:line="216" w:lineRule="auto"/>
            <w:ind w:left="274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8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8"/>
              <w:sz w:val="16"/>
              <w:szCs w:val="16"/>
            </w:rPr>
            <w:t xml:space="preserve">2  </w:t>
          </w:r>
          <w:r>
            <w:rPr>
              <w:rFonts w:ascii="Arial" w:eastAsia="Arial" w:hAnsi="Arial" w:cs="Arial"/>
              <w:sz w:val="16"/>
              <w:szCs w:val="16"/>
            </w:rPr>
            <w:t>Disaster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prevention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and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emergency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7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18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6</w:t>
          </w:r>
        </w:p>
        <w:p>
          <w:pPr>
            <w:tabs>
              <w:tab w:val="right" w:leader="dot" w:pos="5920"/>
            </w:tabs>
            <w:spacing w:before="104" w:line="216" w:lineRule="auto"/>
            <w:ind w:left="274"/>
            <w:rPr>
              <w:rFonts w:ascii="Arial" w:eastAsia="Arial" w:hAnsi="Arial" w:cs="Arial"/>
              <w:sz w:val="16"/>
              <w:szCs w:val="16"/>
            </w:rPr>
            <w:sectPr>
              <w:headerReference w:type="default" r:id="rId17"/>
              <w:footerReference w:type="default" r:id="rId18"/>
              <w:pgSz w:w="8219" w:h="11904"/>
              <w:pgMar w:top="400" w:right="1115" w:bottom="1019" w:left="1172" w:header="0" w:footer="850" w:gutter="0"/>
              <w:pgNumType w:start="12"/>
              <w:cols w:space="708"/>
            </w:sectPr>
          </w:pPr>
          <w:r>
            <w:rPr>
              <w:rFonts w:ascii="Arial" w:eastAsia="Arial" w:hAnsi="Arial" w:cs="Arial"/>
              <w:spacing w:val="3"/>
              <w:sz w:val="16"/>
              <w:szCs w:val="16"/>
            </w:rPr>
            <w:t>6.</w:t>
          </w:r>
          <w:r>
            <w:rPr>
              <w:rFonts w:ascii="Arial" w:eastAsia="Arial" w:hAnsi="Arial" w:cs="Arial"/>
              <w:spacing w:val="24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3  Municipal</w:t>
          </w:r>
          <w:r>
            <w:rPr>
              <w:rFonts w:ascii="Arial" w:eastAsia="Arial" w:hAnsi="Arial" w:cs="Arial"/>
              <w:spacing w:val="28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facilities</w:t>
          </w:r>
          <w:r>
            <w:rPr>
              <w:rFonts w:ascii="Arial" w:eastAsia="Arial" w:hAnsi="Arial" w:cs="Arial"/>
              <w:spacing w:val="31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security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 xml:space="preserve">construction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19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6</w:t>
          </w:r>
        </w:p>
      </w:sdtContent>
    </w:sdt>
    <w:sdt>
      <w:sdtPr>
        <w:rPr>
          <w:rFonts w:ascii="Arial" w:eastAsia="Arial" w:hAnsi="Arial" w:cs="Arial"/>
          <w:sz w:val="20"/>
          <w:szCs w:val="20"/>
        </w:rPr>
        <w:id w:val="165284439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6"/>
          <w:szCs w:val="16"/>
        </w:rPr>
      </w:sdtEndPr>
      <w:sdtContent>
        <w:p>
          <w:pPr>
            <w:tabs>
              <w:tab w:val="right" w:leader="dot" w:pos="5930"/>
            </w:tabs>
            <w:spacing w:before="103" w:line="214" w:lineRule="auto"/>
            <w:ind w:left="4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6"/>
              <w:sz w:val="20"/>
              <w:szCs w:val="20"/>
            </w:rPr>
            <w:t xml:space="preserve">7  </w:t>
          </w:r>
          <w:r>
            <w:rPr>
              <w:rFonts w:ascii="Microsoft YaHei" w:eastAsia="Microsoft YaHei" w:hAnsi="Microsoft YaHei" w:cs="Microsoft YaHei"/>
              <w:spacing w:val="6"/>
              <w:position w:val="3"/>
              <w:sz w:val="5"/>
              <w:szCs w:val="5"/>
            </w:rPr>
            <w:t>"</w:t>
          </w:r>
          <w:r>
            <w:rPr>
              <w:rFonts w:ascii="Microsoft YaHei" w:eastAsia="Microsoft YaHei" w:hAnsi="Microsoft YaHei" w:cs="Microsoft YaHei"/>
              <w:spacing w:val="2"/>
              <w:position w:val="3"/>
              <w:sz w:val="5"/>
              <w:szCs w:val="5"/>
            </w:rPr>
            <w:t xml:space="preserve"> 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38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37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spacing w:val="6"/>
              <w:position w:val="3"/>
              <w:sz w:val="5"/>
              <w:szCs w:val="5"/>
            </w:rPr>
            <w:t xml:space="preserve">” 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wisdom</w:t>
          </w:r>
          <w:r>
            <w:rPr>
              <w:rFonts w:ascii="Arial" w:eastAsia="Arial" w:hAnsi="Arial" w:cs="Arial"/>
              <w:spacing w:val="37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construc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 xml:space="preserve">tion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3"/>
              <w:w w:val="101"/>
              <w:sz w:val="20"/>
              <w:szCs w:val="20"/>
            </w:rPr>
            <w:t xml:space="preserve">  </w:t>
          </w:r>
          <w:hyperlink w:anchor="bookmark20" w:history="1"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>1</w:t>
            </w:r>
          </w:hyperlink>
          <w:r>
            <w:rPr>
              <w:rFonts w:ascii="Arial" w:eastAsia="Arial" w:hAnsi="Arial" w:cs="Arial"/>
              <w:spacing w:val="11"/>
              <w:sz w:val="20"/>
              <w:szCs w:val="20"/>
            </w:rPr>
            <w:t>8</w:t>
          </w:r>
        </w:p>
        <w:p>
          <w:pPr>
            <w:tabs>
              <w:tab w:val="right" w:leader="dot" w:pos="5920"/>
            </w:tabs>
            <w:spacing w:before="104" w:line="188" w:lineRule="exact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1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8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rules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 xml:space="preserve"> 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21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82" w:line="188" w:lineRule="exact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5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0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5"/>
              <w:sz w:val="16"/>
              <w:szCs w:val="16"/>
            </w:rPr>
            <w:t>2  smart</w:t>
          </w:r>
          <w:r>
            <w:rPr>
              <w:rFonts w:ascii="Arial" w:eastAsia="Arial" w:hAnsi="Arial" w:cs="Arial"/>
              <w:spacing w:val="26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5"/>
              <w:sz w:val="16"/>
              <w:szCs w:val="16"/>
            </w:rPr>
            <w:t>infrastruct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ure</w:t>
          </w:r>
          <w:r>
            <w:rPr>
              <w:rFonts w:ascii="Arial" w:eastAsia="Arial" w:hAnsi="Arial" w:cs="Arial"/>
              <w:spacing w:val="29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22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82" w:line="21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3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3  smart</w:t>
          </w:r>
          <w:r>
            <w:rPr>
              <w:rFonts w:ascii="Arial" w:eastAsia="Arial" w:hAnsi="Arial" w:cs="Arial"/>
              <w:spacing w:val="27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community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service</w:t>
          </w:r>
          <w:r>
            <w:rPr>
              <w:rFonts w:ascii="Arial" w:eastAsia="Arial" w:hAnsi="Arial" w:cs="Arial"/>
              <w:spacing w:val="29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3"/>
              <w:sz w:val="16"/>
              <w:szCs w:val="16"/>
            </w:rPr>
            <w:t>con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>struction</w:t>
          </w:r>
          <w:r>
            <w:rPr>
              <w:rFonts w:ascii="Arial" w:eastAsia="Arial" w:hAnsi="Arial" w:cs="Arial"/>
              <w:spacing w:val="9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23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8</w:t>
          </w:r>
        </w:p>
        <w:p>
          <w:pPr>
            <w:tabs>
              <w:tab w:val="right" w:leader="dot" w:pos="5920"/>
            </w:tabs>
            <w:spacing w:before="104" w:line="216" w:lineRule="auto"/>
            <w:ind w:left="273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0"/>
              <w:sz w:val="16"/>
              <w:szCs w:val="16"/>
            </w:rPr>
            <w:t>7.</w:t>
          </w:r>
          <w:r>
            <w:rPr>
              <w:rFonts w:ascii="Arial" w:eastAsia="Arial" w:hAnsi="Arial" w:cs="Arial"/>
              <w:spacing w:val="23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4  </w:t>
          </w:r>
          <w:r>
            <w:rPr>
              <w:rFonts w:ascii="Arial" w:eastAsia="Arial" w:hAnsi="Arial" w:cs="Arial"/>
              <w:sz w:val="16"/>
              <w:szCs w:val="16"/>
            </w:rPr>
            <w:t>smart</w:t>
          </w:r>
          <w:r>
            <w:rPr>
              <w:rFonts w:ascii="Arial" w:eastAsia="Arial" w:hAnsi="Arial" w:cs="Arial"/>
              <w:spacing w:val="27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community</w:t>
          </w:r>
          <w:r>
            <w:rPr>
              <w:rFonts w:ascii="Arial" w:eastAsia="Arial" w:hAnsi="Arial" w:cs="Arial"/>
              <w:spacing w:val="22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governance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21"/>
              <w:sz w:val="16"/>
              <w:szCs w:val="16"/>
            </w:rPr>
            <w:t xml:space="preserve">  </w:t>
          </w:r>
          <w:hyperlink w:anchor="bookmark24" w:history="1"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>1</w:t>
            </w:r>
          </w:hyperlink>
          <w:r>
            <w:rPr>
              <w:rFonts w:ascii="Arial" w:eastAsia="Arial" w:hAnsi="Arial" w:cs="Arial"/>
              <w:spacing w:val="10"/>
              <w:sz w:val="16"/>
              <w:szCs w:val="16"/>
            </w:rPr>
            <w:t>9</w:t>
          </w:r>
        </w:p>
        <w:p>
          <w:pPr>
            <w:tabs>
              <w:tab w:val="right" w:leader="dot" w:pos="5929"/>
            </w:tabs>
            <w:spacing w:before="102" w:line="214" w:lineRule="auto"/>
            <w:ind w:left="2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6"/>
              <w:sz w:val="20"/>
              <w:szCs w:val="20"/>
            </w:rPr>
            <w:t xml:space="preserve">8  </w:t>
          </w:r>
          <w:r>
            <w:rPr>
              <w:rFonts w:ascii="Microsoft YaHei" w:eastAsia="Microsoft YaHei" w:hAnsi="Microsoft YaHei" w:cs="Microsoft YaHei"/>
              <w:spacing w:val="6"/>
              <w:position w:val="3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45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37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spacing w:val="6"/>
              <w:position w:val="3"/>
              <w:sz w:val="5"/>
              <w:szCs w:val="5"/>
            </w:rPr>
            <w:t xml:space="preserve">” 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cultural</w:t>
          </w:r>
          <w:r>
            <w:rPr>
              <w:rFonts w:ascii="Arial" w:eastAsia="Arial" w:hAnsi="Arial" w:cs="Arial"/>
              <w:spacing w:val="39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 xml:space="preserve">construction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w w:val="101"/>
              <w:sz w:val="20"/>
              <w:szCs w:val="20"/>
            </w:rPr>
            <w:t xml:space="preserve">  </w:t>
          </w:r>
          <w:hyperlink w:anchor="bookmark25" w:history="1"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sz w:val="20"/>
              <w:szCs w:val="20"/>
            </w:rPr>
            <w:t>0</w:t>
          </w:r>
        </w:p>
        <w:p>
          <w:pPr>
            <w:tabs>
              <w:tab w:val="right" w:leader="dot" w:pos="5920"/>
            </w:tabs>
            <w:spacing w:before="106" w:line="188" w:lineRule="exact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-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30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1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General</w:t>
          </w:r>
          <w:r>
            <w:rPr>
              <w:rFonts w:ascii="Arial" w:eastAsia="Arial" w:hAnsi="Arial" w:cs="Arial"/>
              <w:spacing w:val="30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-1"/>
              <w:sz w:val="16"/>
              <w:szCs w:val="16"/>
            </w:rPr>
            <w:t>rules</w:t>
          </w:r>
          <w:r>
            <w:rPr>
              <w:rFonts w:ascii="Arial" w:eastAsia="Arial" w:hAnsi="Arial" w:cs="Arial"/>
              <w:spacing w:val="2"/>
              <w:sz w:val="16"/>
              <w:szCs w:val="16"/>
            </w:rPr>
            <w:t xml:space="preserve">  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26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0</w:t>
          </w:r>
        </w:p>
        <w:p>
          <w:pPr>
            <w:tabs>
              <w:tab w:val="right" w:leader="dot" w:pos="5920"/>
            </w:tabs>
            <w:spacing w:before="82" w:line="216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4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3"/>
              <w:w w:val="102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2  All-age</w:t>
          </w:r>
          <w:r>
            <w:rPr>
              <w:rFonts w:ascii="Arial" w:eastAsia="Arial" w:hAnsi="Arial" w:cs="Arial"/>
              <w:spacing w:val="26"/>
              <w:w w:val="101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friendly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4"/>
              <w:sz w:val="16"/>
              <w:szCs w:val="16"/>
            </w:rPr>
            <w:t>construction</w:t>
          </w:r>
          <w:r>
            <w:rPr>
              <w:rFonts w:ascii="Arial" w:eastAsia="Arial" w:hAnsi="Arial" w:cs="Arial"/>
              <w:spacing w:val="10"/>
              <w:sz w:val="16"/>
              <w:szCs w:val="16"/>
            </w:rPr>
            <w:t xml:space="preserve"> 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27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0</w:t>
          </w:r>
        </w:p>
        <w:p>
          <w:pPr>
            <w:tabs>
              <w:tab w:val="right" w:leader="dot" w:pos="5920"/>
            </w:tabs>
            <w:spacing w:before="102" w:line="216" w:lineRule="auto"/>
            <w:ind w:left="271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pacing w:val="11"/>
              <w:sz w:val="16"/>
              <w:szCs w:val="16"/>
            </w:rPr>
            <w:t>8.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3  </w:t>
          </w:r>
          <w:r>
            <w:rPr>
              <w:rFonts w:ascii="Arial" w:eastAsia="Arial" w:hAnsi="Arial" w:cs="Arial"/>
              <w:sz w:val="16"/>
              <w:szCs w:val="16"/>
            </w:rPr>
            <w:t>shaping</w:t>
          </w:r>
          <w:r>
            <w:rPr>
              <w:rFonts w:ascii="Arial" w:eastAsia="Arial" w:hAnsi="Arial" w:cs="Arial"/>
              <w:spacing w:val="29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community</w:t>
          </w:r>
          <w:r>
            <w:rPr>
              <w:rFonts w:ascii="Arial" w:eastAsia="Arial" w:hAnsi="Arial" w:cs="Arial"/>
              <w:spacing w:val="25"/>
              <w:sz w:val="16"/>
              <w:szCs w:val="16"/>
            </w:rPr>
            <w:t xml:space="preserve"> </w:t>
          </w:r>
          <w:r>
            <w:rPr>
              <w:rFonts w:ascii="Arial" w:eastAsia="Arial" w:hAnsi="Arial" w:cs="Arial"/>
              <w:sz w:val="16"/>
              <w:szCs w:val="16"/>
            </w:rPr>
            <w:t>characteristics</w:t>
          </w:r>
          <w:r>
            <w:rPr>
              <w:rFonts w:ascii="Arial" w:eastAsia="Arial" w:hAnsi="Arial" w:cs="Arial"/>
              <w:spacing w:val="11"/>
              <w:sz w:val="16"/>
              <w:szCs w:val="16"/>
            </w:rPr>
            <w:t xml:space="preserve">  </w:t>
          </w:r>
          <w:r>
            <w:rPr>
              <w:rFonts w:ascii="Arial" w:eastAsia="Arial" w:hAnsi="Arial" w:cs="Arial"/>
              <w:sz w:val="16"/>
              <w:szCs w:val="16"/>
            </w:rPr>
            <w:tab/>
          </w:r>
          <w:r>
            <w:rPr>
              <w:rFonts w:ascii="Arial" w:eastAsia="Arial" w:hAnsi="Arial" w:cs="Arial"/>
              <w:spacing w:val="19"/>
              <w:sz w:val="16"/>
              <w:szCs w:val="16"/>
            </w:rPr>
            <w:t xml:space="preserve">  </w:t>
          </w:r>
          <w:hyperlink w:anchor="bookmark28" w:history="1"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>2</w:t>
            </w:r>
          </w:hyperlink>
          <w:r>
            <w:rPr>
              <w:rFonts w:ascii="Arial" w:eastAsia="Arial" w:hAnsi="Arial" w:cs="Arial"/>
              <w:spacing w:val="12"/>
              <w:sz w:val="16"/>
              <w:szCs w:val="16"/>
            </w:rPr>
            <w:t>1</w:t>
          </w:r>
        </w:p>
      </w:sdtContent>
    </w:sdt>
    <w:p>
      <w:pPr>
        <w:spacing w:line="216" w:lineRule="auto"/>
        <w:rPr>
          <w:rFonts w:ascii="Arial" w:eastAsia="Arial" w:hAnsi="Arial" w:cs="Arial"/>
          <w:sz w:val="16"/>
          <w:szCs w:val="16"/>
        </w:rPr>
        <w:sectPr>
          <w:headerReference w:type="default" r:id="rId19"/>
          <w:footerReference w:type="default" r:id="rId20"/>
          <w:type w:val="nextPage"/>
          <w:pgSz w:w="8219" w:h="11904"/>
          <w:pgMar w:top="400" w:right="1115" w:bottom="1019" w:left="1172" w:header="0" w:footer="850" w:gutter="0"/>
          <w:pgNumType w:start="13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sdt>
      <w:sdtPr>
        <w:rPr>
          <w:rFonts w:ascii="Arial" w:eastAsia="Arial" w:hAnsi="Arial" w:cs="Arial"/>
          <w:sz w:val="20"/>
          <w:szCs w:val="20"/>
        </w:rPr>
        <w:id w:val="175553970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spacing w:before="58" w:line="214" w:lineRule="auto"/>
            <w:rPr>
              <w:rFonts w:ascii="Arial" w:eastAsia="Arial" w:hAnsi="Arial" w:cs="Arial"/>
              <w:sz w:val="20"/>
              <w:szCs w:val="20"/>
            </w:rPr>
          </w:pPr>
          <w:bookmarkStart w:id="3" w:name="bookmark10"/>
          <w:bookmarkEnd w:id="3"/>
          <w:r>
            <w:rPr>
              <w:rFonts w:ascii="Arial" w:eastAsia="Arial" w:hAnsi="Arial" w:cs="Arial"/>
              <w:spacing w:val="4"/>
              <w:sz w:val="20"/>
              <w:szCs w:val="20"/>
            </w:rPr>
            <w:t>Appendix</w:t>
          </w:r>
          <w:r>
            <w:rPr>
              <w:rFonts w:ascii="Arial" w:eastAsia="Arial" w:hAnsi="Arial" w:cs="Arial"/>
              <w:spacing w:val="34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 xml:space="preserve">A   </w:t>
          </w:r>
          <w:r>
            <w:rPr>
              <w:rFonts w:ascii="Microsoft YaHei" w:eastAsia="Microsoft YaHei" w:hAnsi="Microsoft YaHei" w:cs="Microsoft YaHei"/>
              <w:spacing w:val="4"/>
              <w:position w:val="3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30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29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spacing w:val="4"/>
              <w:position w:val="3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7"/>
              <w:position w:val="3"/>
              <w:sz w:val="5"/>
              <w:szCs w:val="5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>livable</w:t>
          </w:r>
          <w:r>
            <w:rPr>
              <w:rFonts w:ascii="Arial" w:eastAsia="Arial" w:hAnsi="Arial" w:cs="Arial"/>
              <w:spacing w:val="36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>construction</w:t>
          </w:r>
        </w:p>
        <w:p>
          <w:pPr>
            <w:tabs>
              <w:tab w:val="right" w:leader="dot" w:pos="5927"/>
            </w:tabs>
            <w:spacing w:before="103" w:line="233" w:lineRule="exact"/>
            <w:ind w:left="135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4"/>
              <w:sz w:val="20"/>
              <w:szCs w:val="20"/>
            </w:rPr>
            <w:t>content</w:t>
          </w:r>
          <w:r>
            <w:rPr>
              <w:rFonts w:ascii="Arial" w:eastAsia="Arial" w:hAnsi="Arial" w:cs="Arial"/>
              <w:spacing w:val="38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 xml:space="preserve">list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1"/>
              <w:w w:val="101"/>
              <w:sz w:val="20"/>
              <w:szCs w:val="20"/>
            </w:rPr>
            <w:t xml:space="preserve">  </w:t>
          </w:r>
          <w:hyperlink w:anchor="bookmark36" w:history="1"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>2</w:t>
            </w:r>
          </w:hyperlink>
          <w:r>
            <w:rPr>
              <w:rFonts w:ascii="Arial" w:eastAsia="Arial" w:hAnsi="Arial" w:cs="Arial"/>
              <w:spacing w:val="13"/>
              <w:sz w:val="20"/>
              <w:szCs w:val="20"/>
            </w:rPr>
            <w:t>3</w:t>
          </w:r>
        </w:p>
        <w:p>
          <w:pPr>
            <w:spacing w:before="75" w:line="214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5"/>
              <w:sz w:val="20"/>
              <w:szCs w:val="20"/>
            </w:rPr>
            <w:t>Appendix</w:t>
          </w:r>
          <w:r>
            <w:rPr>
              <w:rFonts w:ascii="Arial" w:eastAsia="Arial" w:hAnsi="Arial" w:cs="Arial"/>
              <w:spacing w:val="43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B</w:t>
          </w:r>
          <w:r>
            <w:rPr>
              <w:rFonts w:ascii="Arial" w:eastAsia="Arial" w:hAnsi="Arial" w:cs="Arial"/>
              <w:sz w:val="20"/>
              <w:szCs w:val="20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5"/>
              <w:position w:val="3"/>
              <w:sz w:val="5"/>
              <w:szCs w:val="5"/>
            </w:rPr>
            <w:t xml:space="preserve">" 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40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37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spacing w:val="5"/>
              <w:position w:val="3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12"/>
              <w:w w:val="104"/>
              <w:position w:val="3"/>
              <w:sz w:val="5"/>
              <w:szCs w:val="5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green</w:t>
          </w:r>
          <w:r>
            <w:rPr>
              <w:rFonts w:ascii="Arial" w:eastAsia="Arial" w:hAnsi="Arial" w:cs="Arial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5"/>
              <w:sz w:val="20"/>
              <w:szCs w:val="20"/>
            </w:rPr>
            <w:t>construction</w:t>
          </w:r>
        </w:p>
        <w:p>
          <w:pPr>
            <w:tabs>
              <w:tab w:val="right" w:leader="dot" w:pos="5927"/>
            </w:tabs>
            <w:spacing w:before="103" w:line="233" w:lineRule="exact"/>
            <w:ind w:left="135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4"/>
              <w:sz w:val="20"/>
              <w:szCs w:val="20"/>
            </w:rPr>
            <w:t>content</w:t>
          </w:r>
          <w:r>
            <w:rPr>
              <w:rFonts w:ascii="Arial" w:eastAsia="Arial" w:hAnsi="Arial" w:cs="Arial"/>
              <w:spacing w:val="38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 xml:space="preserve">list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2"/>
              <w:w w:val="101"/>
              <w:sz w:val="20"/>
              <w:szCs w:val="20"/>
            </w:rPr>
            <w:t xml:space="preserve">  </w:t>
          </w:r>
          <w:hyperlink w:anchor="bookmark37" w:history="1">
            <w:r>
              <w:rPr>
                <w:rFonts w:ascii="Arial" w:eastAsia="Arial" w:hAnsi="Arial" w:cs="Arial"/>
                <w:spacing w:val="12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sz w:val="20"/>
              <w:szCs w:val="20"/>
            </w:rPr>
            <w:t>5</w:t>
          </w:r>
        </w:p>
        <w:p>
          <w:pPr>
            <w:spacing w:before="75" w:line="214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>Appendix</w:t>
          </w:r>
          <w:r>
            <w:rPr>
              <w:rFonts w:ascii="Arial" w:eastAsia="Arial" w:hAnsi="Arial" w:cs="Arial"/>
              <w:spacing w:val="28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 xml:space="preserve">C    </w:t>
          </w:r>
          <w:r>
            <w:rPr>
              <w:rFonts w:ascii="Microsoft YaHei" w:eastAsia="Microsoft YaHei" w:hAnsi="Microsoft YaHei" w:cs="Microsoft YaHei"/>
              <w:position w:val="3"/>
              <w:sz w:val="5"/>
              <w:szCs w:val="5"/>
            </w:rPr>
            <w:t>"</w:t>
          </w:r>
          <w:r>
            <w:rPr>
              <w:rFonts w:ascii="Microsoft YaHei" w:eastAsia="Microsoft YaHei" w:hAnsi="Microsoft YaHei" w:cs="Microsoft YaHei"/>
              <w:spacing w:val="13"/>
              <w:w w:val="101"/>
              <w:position w:val="3"/>
              <w:sz w:val="5"/>
              <w:szCs w:val="5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29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position w:val="3"/>
              <w:sz w:val="5"/>
              <w:szCs w:val="5"/>
            </w:rPr>
            <w:t>”</w:t>
          </w:r>
          <w:r>
            <w:rPr>
              <w:rFonts w:ascii="Microsoft YaHei" w:eastAsia="Microsoft YaHei" w:hAnsi="Microsoft YaHei" w:cs="Microsoft YaHei"/>
              <w:spacing w:val="7"/>
              <w:w w:val="106"/>
              <w:position w:val="3"/>
              <w:sz w:val="5"/>
              <w:szCs w:val="5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resilience</w:t>
          </w:r>
          <w:r>
            <w:rPr>
              <w:rFonts w:ascii="Arial" w:eastAsia="Arial" w:hAnsi="Arial" w:cs="Arial"/>
              <w:spacing w:val="28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z w:val="20"/>
              <w:szCs w:val="20"/>
            </w:rPr>
            <w:t>construct</w:t>
          </w:r>
          <w:r>
            <w:rPr>
              <w:rFonts w:ascii="Arial" w:eastAsia="Arial" w:hAnsi="Arial" w:cs="Arial"/>
              <w:spacing w:val="-1"/>
              <w:sz w:val="20"/>
              <w:szCs w:val="20"/>
            </w:rPr>
            <w:t>ion</w:t>
          </w:r>
        </w:p>
        <w:p>
          <w:pPr>
            <w:tabs>
              <w:tab w:val="right" w:leader="dot" w:pos="5927"/>
            </w:tabs>
            <w:spacing w:before="103" w:line="233" w:lineRule="exact"/>
            <w:ind w:left="135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4"/>
              <w:sz w:val="20"/>
              <w:szCs w:val="20"/>
            </w:rPr>
            <w:t>content</w:t>
          </w:r>
          <w:r>
            <w:rPr>
              <w:rFonts w:ascii="Arial" w:eastAsia="Arial" w:hAnsi="Arial" w:cs="Arial"/>
              <w:spacing w:val="38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 xml:space="preserve">list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2"/>
              <w:w w:val="101"/>
              <w:sz w:val="20"/>
              <w:szCs w:val="20"/>
            </w:rPr>
            <w:t xml:space="preserve">  </w:t>
          </w:r>
          <w:hyperlink w:anchor="bookmark38" w:history="1">
            <w:r>
              <w:rPr>
                <w:rFonts w:ascii="Arial" w:eastAsia="Arial" w:hAnsi="Arial" w:cs="Arial"/>
                <w:spacing w:val="12"/>
                <w:sz w:val="20"/>
                <w:szCs w:val="20"/>
              </w:rPr>
              <w:t>3</w:t>
            </w:r>
          </w:hyperlink>
          <w:r>
            <w:rPr>
              <w:rFonts w:ascii="Arial" w:eastAsia="Arial" w:hAnsi="Arial" w:cs="Arial"/>
              <w:spacing w:val="12"/>
              <w:sz w:val="20"/>
              <w:szCs w:val="20"/>
            </w:rPr>
            <w:t>8</w:t>
          </w:r>
        </w:p>
        <w:p>
          <w:pPr>
            <w:spacing w:before="76" w:line="214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6"/>
              <w:sz w:val="20"/>
              <w:szCs w:val="20"/>
            </w:rPr>
            <w:t>Appendix</w:t>
          </w:r>
          <w:r>
            <w:rPr>
              <w:rFonts w:ascii="Arial" w:eastAsia="Arial" w:hAnsi="Arial" w:cs="Arial"/>
              <w:spacing w:val="45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 xml:space="preserve">D   </w:t>
          </w:r>
          <w:r>
            <w:rPr>
              <w:rFonts w:ascii="Microsoft YaHei" w:eastAsia="Microsoft YaHei" w:hAnsi="Microsoft YaHei" w:cs="Microsoft YaHei"/>
              <w:spacing w:val="6"/>
              <w:position w:val="3"/>
              <w:sz w:val="5"/>
              <w:szCs w:val="5"/>
            </w:rPr>
            <w:t>"</w:t>
          </w:r>
          <w:r>
            <w:rPr>
              <w:rFonts w:ascii="Microsoft YaHei" w:eastAsia="Microsoft YaHei" w:hAnsi="Microsoft YaHei" w:cs="Microsoft YaHei"/>
              <w:spacing w:val="2"/>
              <w:position w:val="3"/>
              <w:sz w:val="5"/>
              <w:szCs w:val="5"/>
            </w:rPr>
            <w:t xml:space="preserve"> 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37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37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spacing w:val="6"/>
              <w:position w:val="3"/>
              <w:sz w:val="5"/>
              <w:szCs w:val="5"/>
            </w:rPr>
            <w:t xml:space="preserve">” 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smart</w:t>
          </w:r>
          <w:r>
            <w:rPr>
              <w:rFonts w:ascii="Arial" w:eastAsia="Arial" w:hAnsi="Arial" w:cs="Arial"/>
              <w:spacing w:val="35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6"/>
              <w:sz w:val="20"/>
              <w:szCs w:val="20"/>
            </w:rPr>
            <w:t>construction</w:t>
          </w:r>
        </w:p>
        <w:p>
          <w:pPr>
            <w:tabs>
              <w:tab w:val="right" w:leader="dot" w:pos="5927"/>
            </w:tabs>
            <w:spacing w:before="103" w:line="234" w:lineRule="exact"/>
            <w:ind w:left="135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4"/>
              <w:sz w:val="20"/>
              <w:szCs w:val="20"/>
            </w:rPr>
            <w:t>content</w:t>
          </w:r>
          <w:r>
            <w:rPr>
              <w:rFonts w:ascii="Arial" w:eastAsia="Arial" w:hAnsi="Arial" w:cs="Arial"/>
              <w:spacing w:val="38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 xml:space="preserve">list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0"/>
              <w:w w:val="101"/>
              <w:sz w:val="20"/>
              <w:szCs w:val="20"/>
            </w:rPr>
            <w:t xml:space="preserve">  </w:t>
          </w:r>
          <w:hyperlink w:anchor="bookmark39" w:history="1"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>4</w:t>
            </w:r>
          </w:hyperlink>
          <w:r>
            <w:rPr>
              <w:rFonts w:ascii="Arial" w:eastAsia="Arial" w:hAnsi="Arial" w:cs="Arial"/>
              <w:spacing w:val="14"/>
              <w:sz w:val="20"/>
              <w:szCs w:val="20"/>
            </w:rPr>
            <w:t>1</w:t>
          </w:r>
        </w:p>
        <w:p>
          <w:pPr>
            <w:spacing w:before="75" w:line="214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-1"/>
              <w:sz w:val="20"/>
              <w:szCs w:val="20"/>
            </w:rPr>
            <w:t>Appendix</w:t>
          </w:r>
          <w:r>
            <w:rPr>
              <w:rFonts w:ascii="Arial" w:eastAsia="Arial" w:hAnsi="Arial" w:cs="Arial"/>
              <w:spacing w:val="30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0"/>
              <w:szCs w:val="20"/>
            </w:rPr>
            <w:t xml:space="preserve">E    </w:t>
          </w:r>
          <w:r>
            <w:rPr>
              <w:rFonts w:ascii="Microsoft YaHei" w:eastAsia="Microsoft YaHei" w:hAnsi="Microsoft YaHei" w:cs="Microsoft YaHei"/>
              <w:spacing w:val="-1"/>
              <w:position w:val="3"/>
              <w:sz w:val="5"/>
              <w:szCs w:val="5"/>
            </w:rPr>
            <w:t>"</w:t>
          </w:r>
          <w:r>
            <w:rPr>
              <w:rFonts w:ascii="Microsoft YaHei" w:eastAsia="Microsoft YaHei" w:hAnsi="Microsoft YaHei" w:cs="Microsoft YaHei"/>
              <w:spacing w:val="7"/>
              <w:w w:val="102"/>
              <w:position w:val="3"/>
              <w:sz w:val="5"/>
              <w:szCs w:val="5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0"/>
              <w:szCs w:val="20"/>
            </w:rPr>
            <w:t>15-minutes</w:t>
          </w:r>
          <w:r>
            <w:rPr>
              <w:rFonts w:ascii="Arial" w:eastAsia="Arial" w:hAnsi="Arial" w:cs="Arial"/>
              <w:spacing w:val="27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0"/>
              <w:szCs w:val="20"/>
            </w:rPr>
            <w:t>living</w:t>
          </w:r>
          <w:r>
            <w:rPr>
              <w:rFonts w:ascii="Arial" w:eastAsia="Arial" w:hAnsi="Arial" w:cs="Arial"/>
              <w:spacing w:val="25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0"/>
              <w:szCs w:val="20"/>
            </w:rPr>
            <w:t>circle</w:t>
          </w:r>
          <w:r>
            <w:rPr>
              <w:rFonts w:ascii="Microsoft YaHei" w:eastAsia="Microsoft YaHei" w:hAnsi="Microsoft YaHei" w:cs="Microsoft YaHei"/>
              <w:spacing w:val="-2"/>
              <w:position w:val="3"/>
              <w:sz w:val="5"/>
              <w:szCs w:val="5"/>
            </w:rPr>
            <w:t xml:space="preserve">” </w:t>
          </w:r>
          <w:r>
            <w:rPr>
              <w:rFonts w:ascii="Arial" w:eastAsia="Arial" w:hAnsi="Arial" w:cs="Arial"/>
              <w:spacing w:val="-2"/>
              <w:sz w:val="20"/>
              <w:szCs w:val="20"/>
            </w:rPr>
            <w:t>humanities</w:t>
          </w:r>
          <w:r>
            <w:rPr>
              <w:rFonts w:ascii="Arial" w:eastAsia="Arial" w:hAnsi="Arial" w:cs="Arial"/>
              <w:spacing w:val="30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0"/>
              <w:szCs w:val="20"/>
            </w:rPr>
            <w:t>construction</w:t>
          </w:r>
        </w:p>
        <w:p>
          <w:pPr>
            <w:tabs>
              <w:tab w:val="right" w:leader="dot" w:pos="5927"/>
            </w:tabs>
            <w:spacing w:before="103" w:line="233" w:lineRule="exact"/>
            <w:ind w:left="1355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4"/>
              <w:sz w:val="20"/>
              <w:szCs w:val="20"/>
            </w:rPr>
            <w:t>content</w:t>
          </w:r>
          <w:r>
            <w:rPr>
              <w:rFonts w:ascii="Arial" w:eastAsia="Arial" w:hAnsi="Arial" w:cs="Arial"/>
              <w:spacing w:val="38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4"/>
              <w:sz w:val="20"/>
              <w:szCs w:val="20"/>
            </w:rPr>
            <w:t xml:space="preserve">list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0"/>
              <w:w w:val="101"/>
              <w:sz w:val="20"/>
              <w:szCs w:val="20"/>
            </w:rPr>
            <w:t xml:space="preserve">  </w:t>
          </w:r>
          <w:hyperlink w:anchor="bookmark40" w:history="1"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>4</w:t>
            </w:r>
          </w:hyperlink>
          <w:r>
            <w:rPr>
              <w:rFonts w:ascii="Arial" w:eastAsia="Arial" w:hAnsi="Arial" w:cs="Arial"/>
              <w:spacing w:val="14"/>
              <w:sz w:val="20"/>
              <w:szCs w:val="20"/>
            </w:rPr>
            <w:t>3</w:t>
          </w:r>
        </w:p>
        <w:p>
          <w:pPr>
            <w:tabs>
              <w:tab w:val="right" w:leader="dot" w:pos="5927"/>
            </w:tabs>
            <w:spacing w:before="76" w:line="214" w:lineRule="auto"/>
            <w:ind w:left="1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3"/>
              <w:sz w:val="20"/>
              <w:szCs w:val="20"/>
            </w:rPr>
            <w:t>Explanation</w:t>
          </w:r>
          <w:r>
            <w:rPr>
              <w:rFonts w:ascii="Arial" w:eastAsia="Arial" w:hAnsi="Arial" w:cs="Arial"/>
              <w:spacing w:val="39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of</w:t>
          </w:r>
          <w:r>
            <w:rPr>
              <w:rFonts w:ascii="Arial" w:eastAsia="Arial" w:hAnsi="Arial" w:cs="Arial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wording</w:t>
          </w:r>
          <w:r>
            <w:rPr>
              <w:rFonts w:ascii="Arial" w:eastAsia="Arial" w:hAnsi="Arial" w:cs="Arial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in</w:t>
          </w:r>
          <w:r>
            <w:rPr>
              <w:rFonts w:ascii="Arial" w:eastAsia="Arial" w:hAnsi="Arial" w:cs="Arial"/>
              <w:spacing w:val="33"/>
              <w:w w:val="10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this</w:t>
          </w:r>
          <w:r>
            <w:rPr>
              <w:rFonts w:ascii="Arial" w:eastAsia="Arial" w:hAnsi="Arial" w:cs="Arial"/>
              <w:spacing w:val="40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3"/>
              <w:sz w:val="20"/>
              <w:szCs w:val="20"/>
            </w:rPr>
            <w:t>standard</w:t>
          </w:r>
          <w:r>
            <w:rPr>
              <w:rFonts w:ascii="Arial" w:eastAsia="Arial" w:hAnsi="Arial" w:cs="Arial"/>
              <w:spacing w:val="1"/>
              <w:sz w:val="20"/>
              <w:szCs w:val="20"/>
            </w:rPr>
            <w:t xml:space="preserve">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0"/>
              <w:w w:val="101"/>
              <w:sz w:val="20"/>
              <w:szCs w:val="20"/>
            </w:rPr>
            <w:t xml:space="preserve">  </w:t>
          </w:r>
          <w:hyperlink w:anchor="bookmark41" w:history="1"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>4</w:t>
            </w:r>
          </w:hyperlink>
          <w:r>
            <w:rPr>
              <w:rFonts w:ascii="Arial" w:eastAsia="Arial" w:hAnsi="Arial" w:cs="Arial"/>
              <w:spacing w:val="14"/>
              <w:sz w:val="20"/>
              <w:szCs w:val="20"/>
            </w:rPr>
            <w:t>5</w:t>
          </w:r>
        </w:p>
        <w:p>
          <w:pPr>
            <w:tabs>
              <w:tab w:val="right" w:leader="dot" w:pos="5927"/>
            </w:tabs>
            <w:spacing w:before="103" w:line="216" w:lineRule="auto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pacing w:val="2"/>
              <w:sz w:val="20"/>
              <w:szCs w:val="20"/>
            </w:rPr>
            <w:t>List</w:t>
          </w:r>
          <w:r>
            <w:rPr>
              <w:rFonts w:ascii="Arial" w:eastAsia="Arial" w:hAnsi="Arial" w:cs="Arial"/>
              <w:spacing w:val="36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of</w:t>
          </w:r>
          <w:r>
            <w:rPr>
              <w:rFonts w:ascii="Arial" w:eastAsia="Arial" w:hAnsi="Arial" w:cs="Arial"/>
              <w:spacing w:val="31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>quoted</w:t>
          </w:r>
          <w:r>
            <w:rPr>
              <w:rFonts w:ascii="Arial" w:eastAsia="Arial" w:hAnsi="Arial" w:cs="Arial"/>
              <w:spacing w:val="36"/>
              <w:sz w:val="20"/>
              <w:szCs w:val="20"/>
            </w:rPr>
            <w:t xml:space="preserve"> </w:t>
          </w:r>
          <w:r>
            <w:rPr>
              <w:rFonts w:ascii="Arial" w:eastAsia="Arial" w:hAnsi="Arial" w:cs="Arial"/>
              <w:spacing w:val="2"/>
              <w:sz w:val="20"/>
              <w:szCs w:val="20"/>
            </w:rPr>
            <w:t xml:space="preserve">standard  </w:t>
          </w:r>
          <w:r>
            <w:rPr>
              <w:rFonts w:ascii="Arial" w:eastAsia="Arial" w:hAnsi="Arial" w:cs="Arial"/>
              <w:sz w:val="20"/>
              <w:szCs w:val="20"/>
            </w:rPr>
            <w:tab/>
          </w:r>
          <w:r>
            <w:rPr>
              <w:rFonts w:ascii="Arial" w:eastAsia="Arial" w:hAnsi="Arial" w:cs="Arial"/>
              <w:spacing w:val="20"/>
              <w:w w:val="101"/>
              <w:sz w:val="20"/>
              <w:szCs w:val="20"/>
            </w:rPr>
            <w:t xml:space="preserve">  </w:t>
          </w:r>
          <w:hyperlink w:anchor="bookmark42" w:history="1"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>4</w:t>
            </w:r>
          </w:hyperlink>
          <w:r>
            <w:rPr>
              <w:rFonts w:ascii="Arial" w:eastAsia="Arial" w:hAnsi="Arial" w:cs="Arial"/>
              <w:spacing w:val="14"/>
              <w:sz w:val="20"/>
              <w:szCs w:val="20"/>
            </w:rPr>
            <w:t>6</w:t>
          </w:r>
        </w:p>
      </w:sdtContent>
    </w:sdt>
    <w:p>
      <w:pPr>
        <w:spacing w:line="216" w:lineRule="auto"/>
        <w:rPr>
          <w:rFonts w:ascii="Arial" w:eastAsia="Arial" w:hAnsi="Arial" w:cs="Arial"/>
          <w:sz w:val="20"/>
          <w:szCs w:val="20"/>
        </w:rPr>
        <w:sectPr>
          <w:headerReference w:type="default" r:id="rId21"/>
          <w:footerReference w:type="default" r:id="rId22"/>
          <w:pgSz w:w="8219" w:h="11904"/>
          <w:pgMar w:top="400" w:right="1115" w:bottom="1051" w:left="1174" w:header="0" w:footer="827" w:gutter="0"/>
          <w:pgNumType w:start="14"/>
          <w:cols w:space="708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12" w:line="180" w:lineRule="auto"/>
        <w:ind w:left="2328"/>
        <w:rPr>
          <w:rFonts w:ascii="Microsoft YaHei" w:eastAsia="Microsoft YaHei" w:hAnsi="Microsoft YaHei" w:cs="Microsoft YaHei"/>
          <w:sz w:val="26"/>
          <w:szCs w:val="26"/>
        </w:rPr>
      </w:pPr>
      <w:bookmarkStart w:id="4" w:name="bookmark11"/>
      <w:bookmarkEnd w:id="4"/>
      <w:bookmarkStart w:id="5" w:name="bookmark12"/>
      <w:bookmarkEnd w:id="5"/>
      <w:bookmarkStart w:id="6" w:name="bookmark13"/>
      <w:bookmarkEnd w:id="6"/>
      <w:r>
        <w:rPr>
          <w:rFonts w:ascii="Microsoft YaHei" w:eastAsia="Microsoft YaHei" w:hAnsi="Microsoft YaHei" w:cs="Microsoft YaHei"/>
          <w:spacing w:val="4"/>
          <w:position w:val="-2"/>
          <w:sz w:val="26"/>
          <w:szCs w:val="26"/>
        </w:rPr>
        <w:t xml:space="preserve">1  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总</w:t>
      </w:r>
      <w:r>
        <w:rPr>
          <w:rFonts w:ascii="Microsoft YaHei" w:eastAsia="Microsoft YaHei" w:hAnsi="Microsoft YaHei" w:cs="Microsoft YaHei"/>
          <w:spacing w:val="23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26"/>
          <w:szCs w:val="26"/>
        </w:rPr>
        <w:t>则</w:t>
      </w:r>
    </w:p>
    <w:p>
      <w:pPr>
        <w:spacing w:before="162" w:line="202" w:lineRule="auto"/>
        <w:ind w:firstLine="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7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为指导安徽省社区生活圈的建设管理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提升城市品质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增强人民群众获得感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、幸福感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、安全感，建设宜居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、绿色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、韧性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、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智慧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、人文城市，制定本指南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。</w:t>
      </w:r>
    </w:p>
    <w:p>
      <w:pPr>
        <w:spacing w:before="56" w:line="194" w:lineRule="auto"/>
        <w:ind w:right="83" w:firstLine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1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本指南适用全省各市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县（市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区）社区生活圈的建设工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作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。</w:t>
      </w:r>
    </w:p>
    <w:p>
      <w:pPr>
        <w:spacing w:before="48" w:line="204" w:lineRule="auto"/>
        <w:ind w:right="8" w:firstLine="6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城市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分钟生活圈”建设宜与城市更新衔接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建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立开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展现状评估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制定空间方案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推进实施行动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动态监测维护的全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生命周期工作机制，实现全过程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、分阶段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、多方式的公众参与，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并建立社区责任规划师制度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引导社会多维共建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。</w:t>
      </w:r>
    </w:p>
    <w:p>
      <w:pPr>
        <w:spacing w:before="50" w:line="192" w:lineRule="auto"/>
        <w:ind w:right="83" w:firstLine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城市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分钟生活圈”建设除应符合本指南规定外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尚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应符合国家和安徽省现行有关标准的规定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。</w:t>
      </w:r>
    </w:p>
    <w:p>
      <w:pPr>
        <w:spacing w:line="192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23"/>
          <w:footerReference w:type="default" r:id="rId24"/>
          <w:pgSz w:w="8219" w:h="11904"/>
          <w:pgMar w:top="400" w:right="1088" w:bottom="1051" w:left="1170" w:header="0" w:footer="825" w:gutter="0"/>
          <w:pgNumType w:start="15"/>
          <w:cols w:space="708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12" w:line="182" w:lineRule="auto"/>
        <w:ind w:left="2319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26"/>
          <w:szCs w:val="26"/>
        </w:rPr>
        <w:t>2</w:t>
      </w:r>
      <w:r>
        <w:rPr>
          <w:rFonts w:ascii="Microsoft YaHei" w:eastAsia="Microsoft YaHei" w:hAnsi="Microsoft YaHei" w:cs="Microsoft YaHei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6"/>
          <w:szCs w:val="26"/>
        </w:rPr>
        <w:t>术</w:t>
      </w:r>
      <w:r>
        <w:rPr>
          <w:rFonts w:ascii="Microsoft YaHei" w:eastAsia="Microsoft YaHei" w:hAnsi="Microsoft YaHei" w:cs="Microsoft YaHei"/>
          <w:spacing w:val="2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6"/>
          <w:szCs w:val="26"/>
        </w:rPr>
        <w:t>语</w:t>
      </w:r>
    </w:p>
    <w:p>
      <w:pPr>
        <w:spacing w:before="153" w:line="165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t>2. 0.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社区生活圈    </w:t>
      </w:r>
      <w:r>
        <w:rPr>
          <w:rFonts w:ascii="Microsoft YaHei" w:eastAsia="Microsoft YaHei" w:hAnsi="Microsoft YaHei" w:cs="Microsoft YaHei"/>
          <w:sz w:val="20"/>
          <w:szCs w:val="20"/>
        </w:rPr>
        <w:t>commun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ity</w:t>
      </w:r>
      <w:r>
        <w:rPr>
          <w:rFonts w:ascii="Microsoft YaHei" w:eastAsia="Microsoft YaHei" w:hAnsi="Microsoft YaHei" w:cs="Microsoft YaHei"/>
          <w:spacing w:val="28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living</w:t>
      </w:r>
      <w:r>
        <w:rPr>
          <w:rFonts w:ascii="Microsoft YaHei" w:eastAsia="Microsoft YaHei" w:hAnsi="Microsoft YaHei" w:cs="Microsoft YaHei"/>
          <w:spacing w:val="33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circle</w:t>
      </w:r>
    </w:p>
    <w:p>
      <w:pPr>
        <w:spacing w:before="75" w:line="205" w:lineRule="auto"/>
        <w:ind w:left="6" w:firstLine="43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在适宜的日常步行范围内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满足城乡居民全生命周期工作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与生活等各类需求的基本单元，融合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宜业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、宜居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、宜游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、宜养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宜学”多元功能，引领面向未来</w:t>
      </w:r>
      <w:r>
        <w:rPr>
          <w:rFonts w:ascii="Microsoft YaHei" w:eastAsia="Microsoft YaHei" w:hAnsi="Microsoft YaHei" w:cs="Microsoft YaHei"/>
          <w:spacing w:val="-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、健康低碳的美好生活方式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。</w:t>
      </w:r>
    </w:p>
    <w:p>
      <w:pPr>
        <w:spacing w:before="52" w:line="165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2. 0. 2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1"/>
          <w:position w:val="1"/>
          <w:sz w:val="20"/>
          <w:szCs w:val="20"/>
        </w:rPr>
        <w:t>15分钟生活圈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15-minute松</w:t>
      </w:r>
      <w:r>
        <w:rPr>
          <w:rFonts w:ascii="Microsoft YaHei" w:eastAsia="Microsoft YaHei" w:hAnsi="Microsoft YaHei" w:cs="Microsoft YaHei"/>
          <w:spacing w:val="-3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living</w:t>
      </w:r>
      <w:r>
        <w:rPr>
          <w:rFonts w:ascii="Microsoft YaHei" w:eastAsia="Microsoft YaHei" w:hAnsi="Microsoft YaHei" w:cs="Microsoft YaHei"/>
          <w:spacing w:val="33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c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ircle</w:t>
      </w:r>
    </w:p>
    <w:p>
      <w:pPr>
        <w:spacing w:before="67" w:line="206" w:lineRule="auto"/>
        <w:ind w:left="5" w:right="83" w:firstLine="43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在</w:t>
      </w:r>
      <w:r>
        <w:rPr>
          <w:rFonts w:ascii="Microsoft YaHei" w:eastAsia="Microsoft YaHei" w:hAnsi="Microsoft YaHei" w:cs="Microsoft YaHei"/>
          <w:spacing w:val="3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15分钟步行可达范围内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配备生活所需的基本服务功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能与公共活动空间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形成安全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友好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舒适的社会基本生活平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台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服务半径一般为800m</w:t>
      </w:r>
      <w:r>
        <w:rPr>
          <w:rFonts w:ascii="Microsoft YaHei" w:eastAsia="Microsoft YaHei" w:hAnsi="Microsoft YaHei" w:cs="Microsoft YaHei"/>
          <w:spacing w:val="-3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7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position w:val="-2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>1000m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居住人口约5万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1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position w:val="-2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>10万</w:t>
      </w:r>
      <w:r>
        <w:rPr>
          <w:rFonts w:ascii="Microsoft YaHei" w:eastAsia="Microsoft YaHei" w:hAnsi="Microsoft YaHei" w:cs="Microsoft YaHei"/>
          <w:spacing w:val="-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>覆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盖面积约</w:t>
      </w:r>
      <w:r>
        <w:rPr>
          <w:rFonts w:ascii="Microsoft YaHei" w:eastAsia="Microsoft YaHei" w:hAnsi="Microsoft YaHei" w:cs="Microsoft YaHei"/>
          <w:spacing w:val="20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z w:val="20"/>
          <w:szCs w:val="20"/>
        </w:rPr>
        <w:t>km</w:t>
      </w:r>
      <w:r>
        <w:rPr>
          <w:rFonts w:ascii="Microsoft YaHei" w:eastAsia="Microsoft YaHei" w:hAnsi="Microsoft YaHei" w:cs="Microsoft YaHei"/>
          <w:spacing w:val="10"/>
          <w:position w:val="7"/>
          <w:sz w:val="11"/>
          <w:szCs w:val="11"/>
        </w:rPr>
        <w:t>2</w:t>
      </w:r>
      <w:r>
        <w:rPr>
          <w:rFonts w:ascii="Microsoft YaHei" w:eastAsia="Microsoft YaHei" w:hAnsi="Microsoft YaHei" w:cs="Microsoft YaHei"/>
          <w:position w:val="7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左右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个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9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15分钟生活圈”由多个</w:t>
      </w:r>
      <w:r>
        <w:rPr>
          <w:rFonts w:ascii="Microsoft YaHei" w:eastAsia="Microsoft YaHei" w:hAnsi="Microsoft YaHei" w:cs="Microsoft YaHei"/>
          <w:spacing w:val="-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0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5分钟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3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position w:val="-2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10分钟生活圈”构成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1"/>
          <w:sz w:val="20"/>
          <w:szCs w:val="20"/>
        </w:rPr>
        <w:t>。</w:t>
      </w:r>
    </w:p>
    <w:p>
      <w:pPr>
        <w:spacing w:before="52" w:line="165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2. 0. 3   5-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1"/>
          <w:sz w:val="20"/>
          <w:szCs w:val="20"/>
        </w:rPr>
        <w:t>10分钟生活圈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5-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10minute松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living</w:t>
      </w:r>
      <w:r>
        <w:rPr>
          <w:rFonts w:ascii="Microsoft YaHei" w:eastAsia="Microsoft YaHei" w:hAnsi="Microsoft YaHei" w:cs="Microsoft YaHei"/>
          <w:spacing w:val="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circle</w:t>
      </w:r>
    </w:p>
    <w:p>
      <w:pPr>
        <w:tabs>
          <w:tab w:val="left" w:pos="5952"/>
        </w:tabs>
        <w:spacing w:before="70" w:line="210" w:lineRule="auto"/>
        <w:ind w:left="2" w:right="8" w:firstLine="438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居民步行</w:t>
      </w:r>
      <w:r>
        <w:rPr>
          <w:rFonts w:ascii="Microsoft YaHei" w:eastAsia="Microsoft YaHei" w:hAnsi="Microsoft YaHei" w:cs="Microsoft YaHei"/>
          <w:spacing w:val="3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5分钟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2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spacing w:val="3"/>
          <w:w w:val="105"/>
          <w:position w:val="-2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>10分钟内可满足其基本物质与生活文</w:t>
      </w:r>
      <w:r>
        <w:rPr>
          <w:rFonts w:ascii="Microsoft YaHei" w:eastAsia="Microsoft YaHei" w:hAnsi="Microsoft YaHei" w:cs="Microsoft YaHei"/>
          <w:sz w:val="20"/>
          <w:szCs w:val="20"/>
        </w:rPr>
        <w:tab/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化需求为原则而形成的社会基本生活平台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般由城市道路或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用地边界所围合，配套设施齐全（包含社区服务设施）的区域，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服务半径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般为</w:t>
      </w:r>
      <w:r>
        <w:rPr>
          <w:rFonts w:ascii="Microsoft YaHei" w:eastAsia="Microsoft YaHei" w:hAnsi="Microsoft YaHei" w:cs="Microsoft YaHei"/>
          <w:spacing w:val="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300m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5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spacing w:val="2"/>
          <w:position w:val="-2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500m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与完整居住社区的建设标准相</w:t>
      </w:r>
      <w:r>
        <w:rPr>
          <w:rFonts w:ascii="Microsoft YaHei" w:eastAsia="Microsoft YaHei" w:hAnsi="Microsoft YaHei" w:cs="Microsoft YaHei"/>
          <w:sz w:val="20"/>
          <w:szCs w:val="20"/>
        </w:rPr>
        <w:tab/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适应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。</w:t>
      </w:r>
    </w:p>
    <w:p>
      <w:pPr>
        <w:spacing w:before="51" w:line="165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2. 0. 4   </w:t>
      </w:r>
      <w:r>
        <w:rPr>
          <w:rFonts w:ascii="Microsoft YaHei" w:eastAsia="Microsoft YaHei" w:hAnsi="Microsoft YaHei" w:cs="Microsoft YaHei"/>
          <w:spacing w:val="-5"/>
          <w:position w:val="1"/>
          <w:sz w:val="20"/>
          <w:szCs w:val="20"/>
        </w:rPr>
        <w:t xml:space="preserve">完整居住社区    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complete</w:t>
      </w:r>
      <w:r>
        <w:rPr>
          <w:rFonts w:ascii="Microsoft YaHei" w:eastAsia="Microsoft YaHei" w:hAnsi="Microsoft YaHei" w:cs="Microsoft YaHei"/>
          <w:spacing w:val="30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re松i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dential</w:t>
      </w:r>
      <w:r>
        <w:rPr>
          <w:rFonts w:ascii="Microsoft YaHei" w:eastAsia="Microsoft YaHei" w:hAnsi="Microsoft YaHei" w:cs="Microsoft YaHei"/>
          <w:spacing w:val="3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community</w:t>
      </w:r>
    </w:p>
    <w:p>
      <w:pPr>
        <w:spacing w:before="77" w:line="204" w:lineRule="auto"/>
        <w:ind w:left="2" w:right="83" w:firstLine="441"/>
        <w:jc w:val="both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25"/>
          <w:footerReference w:type="default" r:id="rId26"/>
          <w:pgSz w:w="8219" w:h="11904"/>
          <w:pgMar w:top="400" w:right="1088" w:bottom="1051" w:left="1168" w:header="0" w:footer="778" w:gutter="0"/>
          <w:pgNumType w:start="16"/>
          <w:cols w:space="708"/>
        </w:sect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指在居民适宜步行范围内有完善的基本公共服务设施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全的便民商业服务设施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完备的市政配套基础设施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充足的公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共活动空间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全覆盖的物业管理和健全的社区管理机制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且居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民归属感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认同感较强的居住社区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。</w:t>
      </w:r>
    </w:p>
    <w:p>
      <w:pPr>
        <w:spacing w:before="52" w:line="165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2. 0. 5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-2"/>
          <w:position w:val="1"/>
          <w:sz w:val="20"/>
          <w:szCs w:val="20"/>
        </w:rPr>
        <w:t>智慧社区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intelligence</w:t>
      </w:r>
      <w:r>
        <w:rPr>
          <w:rFonts w:ascii="Microsoft YaHei" w:eastAsia="Microsoft YaHei" w:hAnsi="Microsoft YaHei" w:cs="Microsoft YaHei"/>
          <w:spacing w:val="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community</w:t>
      </w:r>
    </w:p>
    <w:p>
      <w:pPr>
        <w:spacing w:before="75" w:line="203" w:lineRule="auto"/>
        <w:ind w:left="2" w:firstLine="440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利用信息技术整合共享社区资源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为社区居民提供高效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便捷和智慧的服务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提升社区居民对智慧城市的参与度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体验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度和感受度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。</w:t>
      </w:r>
    </w:p>
    <w:p>
      <w:pPr>
        <w:spacing w:before="51" w:line="165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2.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0.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-12"/>
          <w:position w:val="1"/>
          <w:sz w:val="20"/>
          <w:szCs w:val="20"/>
        </w:rPr>
        <w:t xml:space="preserve">基础保障型建设内容   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ba松ic</w:t>
      </w: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松ecurity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con松truction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>content</w:t>
      </w:r>
    </w:p>
    <w:p>
      <w:pPr>
        <w:spacing w:line="165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27"/>
          <w:footerReference w:type="default" r:id="rId28"/>
          <w:type w:val="nextPage"/>
          <w:pgSz w:w="8219" w:h="11904"/>
          <w:pgMar w:top="400" w:right="1088" w:bottom="1051" w:left="1168" w:header="0" w:footer="778" w:gutter="0"/>
          <w:pgNumType w:start="17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85" w:line="208" w:lineRule="auto"/>
        <w:ind w:left="3" w:right="15" w:firstLine="444"/>
        <w:jc w:val="both"/>
        <w:rPr>
          <w:rFonts w:ascii="Microsoft YaHei" w:eastAsia="Microsoft YaHei" w:hAnsi="Microsoft YaHei" w:cs="Microsoft YaHei"/>
          <w:sz w:val="5"/>
          <w:szCs w:val="5"/>
        </w:rPr>
      </w:pPr>
      <w:bookmarkStart w:id="7" w:name="bookmark14"/>
      <w:bookmarkEnd w:id="7"/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为保障居民日常生活基本需求的建设内容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如社区基础服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务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基层就业援助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基本居住需求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绿色低碳出行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社区防灾体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系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均衡休憊空间等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5"/>
          <w:szCs w:val="5"/>
        </w:rPr>
        <w:t>。</w:t>
      </w:r>
    </w:p>
    <w:p>
      <w:pPr>
        <w:spacing w:before="47" w:line="165" w:lineRule="auto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 xml:space="preserve">2. 0. 7   </w:t>
      </w:r>
      <w:r>
        <w:rPr>
          <w:rFonts w:ascii="Microsoft YaHei" w:eastAsia="Microsoft YaHei" w:hAnsi="Microsoft YaHei" w:cs="Microsoft YaHei"/>
          <w:spacing w:val="-2"/>
          <w:position w:val="1"/>
          <w:sz w:val="20"/>
          <w:szCs w:val="20"/>
        </w:rPr>
        <w:t xml:space="preserve">品质提升型建设内容    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quality</w:t>
      </w:r>
      <w:r>
        <w:rPr>
          <w:rFonts w:ascii="Microsoft YaHei" w:eastAsia="Microsoft YaHei" w:hAnsi="Microsoft YaHei" w:cs="Microsoft YaHei"/>
          <w:spacing w:val="3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im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provement  con松truc-</w:t>
      </w:r>
    </w:p>
    <w:p>
      <w:pPr>
        <w:spacing w:before="67" w:line="198" w:lineRule="auto"/>
        <w:ind w:left="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>tion</w:t>
      </w:r>
      <w:r>
        <w:rPr>
          <w:rFonts w:ascii="Microsoft YaHei" w:eastAsia="Microsoft YaHei" w:hAnsi="Microsoft YaHei" w:cs="Microsoft YaHei"/>
          <w:spacing w:val="37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>content</w:t>
      </w:r>
    </w:p>
    <w:p>
      <w:pPr>
        <w:spacing w:before="36" w:line="201" w:lineRule="auto"/>
        <w:ind w:left="5" w:right="15" w:firstLine="45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>在满足社区生活圈基本需求的基础上可提升居民生活品</w:t>
      </w:r>
      <w:r>
        <w:rPr>
          <w:rFonts w:ascii="Microsoft YaHei" w:eastAsia="Microsoft YaHei" w:hAnsi="Microsoft YaHei" w:cs="Microsoft YaHei"/>
          <w:spacing w:val="17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质的建设内容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如多元社区服务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有序配置停车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宜人空间环境</w:t>
      </w:r>
    </w:p>
    <w:p>
      <w:pPr>
        <w:spacing w:before="55" w:line="183" w:lineRule="auto"/>
        <w:ind w:left="5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等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5"/>
          <w:szCs w:val="5"/>
        </w:rPr>
        <w:t>。</w:t>
      </w:r>
    </w:p>
    <w:p>
      <w:pPr>
        <w:spacing w:before="47" w:line="165" w:lineRule="auto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>2.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>0.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 xml:space="preserve">8   </w:t>
      </w:r>
      <w:r>
        <w:rPr>
          <w:rFonts w:ascii="Microsoft YaHei" w:eastAsia="Microsoft YaHei" w:hAnsi="Microsoft YaHei" w:cs="Microsoft YaHei"/>
          <w:spacing w:val="-9"/>
          <w:position w:val="1"/>
          <w:sz w:val="20"/>
          <w:szCs w:val="20"/>
        </w:rPr>
        <w:t xml:space="preserve">特色引导型建设内容     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>characteri松tic</w:t>
      </w:r>
      <w:r>
        <w:rPr>
          <w:rFonts w:ascii="Microsoft YaHei" w:eastAsia="Microsoft YaHei" w:hAnsi="Microsoft YaHei" w:cs="Microsoft YaHei"/>
          <w:spacing w:val="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0"/>
          <w:szCs w:val="20"/>
        </w:rPr>
        <w:t>guided</w:t>
      </w:r>
      <w:r>
        <w:rPr>
          <w:rFonts w:ascii="Microsoft YaHei" w:eastAsia="Microsoft YaHei" w:hAnsi="Microsoft YaHei" w:cs="Microsoft YaHei"/>
          <w:spacing w:val="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>con松truction</w:t>
      </w:r>
    </w:p>
    <w:p>
      <w:pPr>
        <w:spacing w:before="68" w:line="198" w:lineRule="auto"/>
        <w:ind w:left="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>content</w:t>
      </w:r>
    </w:p>
    <w:p>
      <w:pPr>
        <w:spacing w:before="39" w:line="210" w:lineRule="auto"/>
        <w:ind w:left="2" w:right="15" w:firstLine="439"/>
        <w:jc w:val="both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各城市根据地方实际和地域特色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建设文化特色内容和居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民生活多样化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特色化的创新型内容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，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如未来社区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</w:t>
      </w:r>
      <w:r>
        <w:rPr>
          <w:rFonts w:ascii="Microsoft YaHei" w:eastAsia="Microsoft YaHei" w:hAnsi="Microsoft YaHei" w:cs="Microsoft YaHei"/>
          <w:spacing w:val="13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创新创业空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间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2"/>
          <w:w w:val="102"/>
          <w:sz w:val="5"/>
          <w:szCs w:val="5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嵌入式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6"/>
          <w:w w:val="106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多功能的居家养老服务设施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6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定制化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 xml:space="preserve">、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特色化的健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康管理和养生保健设施等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"/>
          <w:szCs w:val="5"/>
        </w:rPr>
        <w:t>。</w:t>
      </w:r>
    </w:p>
    <w:p>
      <w:pPr>
        <w:spacing w:before="49" w:line="165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 xml:space="preserve">2. 0. 9   </w:t>
      </w:r>
      <w:r>
        <w:rPr>
          <w:rFonts w:ascii="Microsoft YaHei" w:eastAsia="Microsoft YaHei" w:hAnsi="Microsoft YaHei" w:cs="Microsoft YaHei"/>
          <w:spacing w:val="-1"/>
          <w:position w:val="1"/>
          <w:sz w:val="20"/>
          <w:szCs w:val="20"/>
        </w:rPr>
        <w:t>全龄友好空间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all</w:t>
      </w:r>
      <w:r>
        <w:rPr>
          <w:rFonts w:ascii="Microsoft YaHei" w:eastAsia="Microsoft YaHei" w:hAnsi="Microsoft YaHei" w:cs="Microsoft YaHei"/>
          <w:spacing w:val="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age</w:t>
      </w:r>
      <w:r>
        <w:rPr>
          <w:rFonts w:ascii="Microsoft YaHei" w:eastAsia="Microsoft YaHei" w:hAnsi="Microsoft YaHei" w:cs="Microsoft YaHei"/>
          <w:spacing w:val="3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frien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dly松pace</w:t>
      </w:r>
    </w:p>
    <w:p>
      <w:pPr>
        <w:spacing w:before="74" w:line="201" w:lineRule="auto"/>
        <w:ind w:left="5" w:right="15" w:firstLine="436"/>
        <w:rPr>
          <w:rFonts w:ascii="Microsoft YaHei" w:eastAsia="Microsoft YaHei" w:hAnsi="Microsoft YaHei" w:cs="Microsoft YaHei"/>
          <w:sz w:val="5"/>
          <w:szCs w:val="5"/>
        </w:rPr>
      </w:pP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通过规划和设计营造更高效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1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更积极的社会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环境</w:t>
      </w:r>
      <w:r>
        <w:rPr>
          <w:rFonts w:ascii="Microsoft YaHei" w:eastAsia="Microsoft YaHei" w:hAnsi="Microsoft YaHei" w:cs="Microsoft YaHei"/>
          <w:spacing w:val="-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1"/>
          <w:sz w:val="5"/>
          <w:szCs w:val="5"/>
        </w:rPr>
        <w:t>，</w:t>
      </w:r>
      <w:r>
        <w:rPr>
          <w:rFonts w:ascii="Microsoft YaHei" w:eastAsia="Microsoft YaHei" w:hAnsi="Microsoft YaHei" w:cs="Microsoft YaHei"/>
          <w:spacing w:val="1"/>
          <w:position w:val="1"/>
          <w:sz w:val="5"/>
          <w:szCs w:val="5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为每个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年龄段的社区居民提供住宅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>、</w:t>
      </w:r>
      <w:r>
        <w:rPr>
          <w:rFonts w:ascii="Microsoft YaHei" w:eastAsia="Microsoft YaHei" w:hAnsi="Microsoft YaHei" w:cs="Microsoft YaHei"/>
          <w:spacing w:val="5"/>
          <w:w w:val="103"/>
          <w:sz w:val="5"/>
          <w:szCs w:val="5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服务设施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 xml:space="preserve">、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环境设施的共享空间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5"/>
          <w:szCs w:val="5"/>
        </w:rPr>
        <w:t>。</w:t>
      </w:r>
    </w:p>
    <w:p>
      <w:pPr>
        <w:spacing w:line="201" w:lineRule="auto"/>
        <w:rPr>
          <w:rFonts w:ascii="Microsoft YaHei" w:eastAsia="Microsoft YaHei" w:hAnsi="Microsoft YaHei" w:cs="Microsoft YaHei"/>
          <w:sz w:val="5"/>
          <w:szCs w:val="5"/>
        </w:rPr>
        <w:sectPr>
          <w:headerReference w:type="default" r:id="rId29"/>
          <w:footerReference w:type="default" r:id="rId30"/>
          <w:pgSz w:w="8219" w:h="11904"/>
          <w:pgMar w:top="400" w:right="1156" w:bottom="1018" w:left="1168" w:header="0" w:footer="802" w:gutter="0"/>
          <w:pgNumType w:start="18"/>
          <w:cols w:space="708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12" w:line="181" w:lineRule="auto"/>
        <w:ind w:left="2179"/>
        <w:rPr>
          <w:rFonts w:ascii="Microsoft YaHei" w:eastAsia="Microsoft YaHei" w:hAnsi="Microsoft YaHei" w:cs="Microsoft YaHei"/>
          <w:sz w:val="26"/>
          <w:szCs w:val="26"/>
        </w:rPr>
      </w:pPr>
      <w:bookmarkStart w:id="8" w:name="bookmark15"/>
      <w:bookmarkEnd w:id="8"/>
      <w:r>
        <w:rPr>
          <w:rFonts w:ascii="Microsoft YaHei" w:eastAsia="Microsoft YaHei" w:hAnsi="Microsoft YaHei" w:cs="Microsoft YaHei"/>
          <w:spacing w:val="19"/>
          <w:position w:val="-2"/>
          <w:sz w:val="26"/>
          <w:szCs w:val="26"/>
        </w:rPr>
        <w:t>3</w:t>
      </w:r>
      <w:r>
        <w:rPr>
          <w:rFonts w:ascii="Microsoft YaHei" w:eastAsia="Microsoft YaHei" w:hAnsi="Microsoft YaHei" w:cs="Microsoft YaHei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26"/>
          <w:szCs w:val="26"/>
        </w:rPr>
        <w:t>基本规定</w:t>
      </w:r>
    </w:p>
    <w:p>
      <w:pPr>
        <w:spacing w:before="156" w:line="201" w:lineRule="auto"/>
        <w:ind w:left="5" w:right="75" w:hanging="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城市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9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应以街道行政管辖为基础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根据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人口密度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、人口规模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、面积大小与边界完整性综合划定。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个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街道辖区可划定为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个或多个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分钟生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活圈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”。</w:t>
      </w:r>
    </w:p>
    <w:p>
      <w:pPr>
        <w:spacing w:before="51" w:line="195" w:lineRule="auto"/>
        <w:ind w:left="6" w:right="19" w:hanging="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城市</w:t>
      </w:r>
      <w:r>
        <w:rPr>
          <w:rFonts w:ascii="Microsoft YaHei" w:eastAsia="Microsoft YaHei" w:hAnsi="Microsoft YaHei" w:cs="Microsoft YaHei"/>
          <w:spacing w:val="-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6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应按照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9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6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和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2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>5-</w:t>
      </w:r>
      <w:r>
        <w:rPr>
          <w:rFonts w:ascii="Arial" w:eastAsia="Arial" w:hAnsi="Arial" w:cs="Arial"/>
          <w:spacing w:val="-29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>10</w:t>
      </w:r>
      <w:r>
        <w:rPr>
          <w:rFonts w:ascii="Arial" w:eastAsia="Arial" w:hAnsi="Arial" w:cs="Arial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分钟”两个层级构建。</w:t>
      </w:r>
    </w:p>
    <w:p>
      <w:pPr>
        <w:spacing w:before="50" w:line="201" w:lineRule="auto"/>
        <w:ind w:left="6" w:right="75" w:hanging="7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-5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-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14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-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城市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5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-5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应包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含宜居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绿色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韧性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智慧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文五大建设内容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按照公益属性和配置要求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五大建设内容可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分为基础保障型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、品质提升型和特色引导型。</w:t>
      </w:r>
    </w:p>
    <w:p>
      <w:pPr>
        <w:spacing w:before="57" w:line="202" w:lineRule="auto"/>
        <w:ind w:left="5" w:right="75" w:hanging="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3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23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23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>城市根据当地社会经济发展水平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和城乡建设阶段目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标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应确保基础保障型建设内容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按照实际需求和条件宜开展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品质提升型和特色引导型建设内容。</w:t>
      </w:r>
    </w:p>
    <w:p>
      <w:pPr>
        <w:spacing w:before="55" w:line="200" w:lineRule="auto"/>
        <w:ind w:left="4" w:hanging="4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根据老城与新城在人口密度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设施覆盖等方面的不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同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新城区与老城区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应进行差异化建设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并满足以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下要求：</w:t>
      </w:r>
    </w:p>
    <w:p>
      <w:pPr>
        <w:spacing w:before="57" w:line="197" w:lineRule="auto"/>
        <w:ind w:left="7" w:right="75" w:firstLine="44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新城区与新规划区域社区生活圈的服务设施和住宅开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发应同步规划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、建设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、验收与交付；</w:t>
      </w:r>
    </w:p>
    <w:p>
      <w:pPr>
        <w:spacing w:before="56" w:line="190" w:lineRule="auto"/>
        <w:ind w:left="8" w:right="32" w:firstLine="43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老城区宜根据居民需求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改造后的人口容量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建筑容量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等因素</w:t>
      </w:r>
      <w:r>
        <w:rPr>
          <w:rFonts w:ascii="Microsoft YaHei" w:eastAsia="Microsoft YaHei" w:hAnsi="Microsoft YaHei" w:cs="Microsoft YaHei"/>
          <w:spacing w:val="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增补必要的建设内容</w:t>
      </w:r>
      <w:r>
        <w:rPr>
          <w:rFonts w:ascii="Microsoft YaHei" w:eastAsia="Microsoft YaHei" w:hAnsi="Microsoft YaHei" w:cs="Microsoft YaHei"/>
          <w:spacing w:val="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综合完善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分钟生活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圈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建设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。</w:t>
      </w:r>
    </w:p>
    <w:p>
      <w:pPr>
        <w:spacing w:line="190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31"/>
          <w:footerReference w:type="default" r:id="rId32"/>
          <w:pgSz w:w="8219" w:h="11904"/>
          <w:pgMar w:top="400" w:right="1096" w:bottom="1021" w:left="1165" w:header="0" w:footer="849" w:gutter="0"/>
          <w:pgNumType w:start="19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12" w:line="179" w:lineRule="auto"/>
        <w:ind w:left="1167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26"/>
          <w:szCs w:val="26"/>
        </w:rPr>
        <w:t>4</w:t>
      </w:r>
      <w:r>
        <w:rPr>
          <w:rFonts w:ascii="Microsoft YaHei" w:eastAsia="Microsoft YaHei" w:hAnsi="Microsoft YaHei" w:cs="Microsoft YaHei"/>
          <w:spacing w:val="5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7"/>
          <w:position w:val="1"/>
          <w:sz w:val="26"/>
          <w:szCs w:val="26"/>
        </w:rPr>
        <w:t>"</w:t>
      </w:r>
      <w:r>
        <w:rPr>
          <w:rFonts w:ascii="Microsoft YaHei" w:eastAsia="Microsoft YaHei" w:hAnsi="Microsoft YaHei" w:cs="Microsoft YaHei"/>
          <w:spacing w:val="-33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spacing w:val="7"/>
          <w:sz w:val="26"/>
          <w:szCs w:val="26"/>
        </w:rPr>
        <w:t>15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>分钟生活圈</w:t>
      </w:r>
      <w:r>
        <w:rPr>
          <w:rFonts w:ascii="Microsoft YaHei" w:eastAsia="Microsoft YaHei" w:hAnsi="Microsoft YaHei" w:cs="Microsoft YaHei"/>
          <w:spacing w:val="7"/>
          <w:position w:val="1"/>
          <w:sz w:val="26"/>
          <w:szCs w:val="26"/>
        </w:rPr>
        <w:t>”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>宜居建设</w:t>
      </w:r>
    </w:p>
    <w:p>
      <w:pPr>
        <w:spacing w:before="320" w:line="173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4.</w:t>
      </w:r>
      <w:r>
        <w:rPr>
          <w:rFonts w:ascii="Microsoft YaHei" w:eastAsia="Microsoft YaHei" w:hAnsi="Microsoft YaHei" w:cs="Microsoft YaHei"/>
          <w:spacing w:val="20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般规定</w:t>
      </w:r>
    </w:p>
    <w:p>
      <w:pPr>
        <w:spacing w:before="205" w:line="201" w:lineRule="auto"/>
        <w:ind w:left="5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为提供类型丰富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便捷可达的社区服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务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营造以人为本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的街道和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小街区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、密路网”，提升群众居住品质，城市应打造宜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居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5"/>
          <w:position w:val="1"/>
          <w:sz w:val="20"/>
          <w:szCs w:val="20"/>
        </w:rPr>
        <w:t>”。</w:t>
      </w:r>
    </w:p>
    <w:p>
      <w:pPr>
        <w:spacing w:before="56" w:line="202" w:lineRule="auto"/>
        <w:ind w:left="3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的宜居建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设应包含服务设施建设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街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道空间建设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、停车设施建设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、街区建设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、住宅建设等内容，并宜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 xml:space="preserve">符合本指南附录 </w:t>
      </w:r>
      <w:r>
        <w:rPr>
          <w:rFonts w:ascii="Arial" w:eastAsia="Arial" w:hAnsi="Arial" w:cs="Arial"/>
          <w:spacing w:val="19"/>
          <w:sz w:val="20"/>
          <w:szCs w:val="20"/>
        </w:rPr>
        <w:t>A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的规定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。</w:t>
      </w:r>
    </w:p>
    <w:p>
      <w:pPr>
        <w:spacing w:before="215" w:line="172" w:lineRule="auto"/>
        <w:ind w:left="201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4. 2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服务设施建设</w:t>
      </w:r>
    </w:p>
    <w:p>
      <w:pPr>
        <w:spacing w:before="202" w:line="202" w:lineRule="auto"/>
        <w:ind w:left="2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应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科学合理布局公共服务设施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形成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层级合理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生活便利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智能共享的社区生活圈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实现公共服务供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20"/>
          <w:szCs w:val="20"/>
        </w:rPr>
        <w:t>给优质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20"/>
          <w:szCs w:val="20"/>
        </w:rPr>
        <w:t>、共享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20"/>
          <w:szCs w:val="20"/>
        </w:rPr>
        <w:t>、均好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8"/>
          <w:sz w:val="20"/>
          <w:szCs w:val="20"/>
        </w:rPr>
        <w:t>。</w:t>
      </w:r>
    </w:p>
    <w:p>
      <w:pPr>
        <w:spacing w:before="56" w:line="202" w:lineRule="auto"/>
        <w:ind w:left="2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2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7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应补齐各类学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龄儿童的义务教育设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施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根据社区现状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宜设置满足各类人群受教育需求的品质提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升型服务设施，并符合以下要求：</w:t>
      </w:r>
    </w:p>
    <w:p>
      <w:pPr>
        <w:spacing w:before="61" w:line="173" w:lineRule="auto"/>
        <w:ind w:left="44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老龄化社区宜重点提供老年学校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；</w:t>
      </w:r>
    </w:p>
    <w:p>
      <w:pPr>
        <w:spacing w:before="49" w:line="173" w:lineRule="auto"/>
        <w:ind w:left="43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结合成年居民需求宜提供成年兴趣培训学校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；</w:t>
      </w:r>
    </w:p>
    <w:p>
      <w:pPr>
        <w:spacing w:before="52" w:line="190" w:lineRule="auto"/>
        <w:ind w:left="21" w:firstLine="423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33"/>
          <w:footerReference w:type="default" r:id="rId34"/>
          <w:pgSz w:w="8219" w:h="11904"/>
          <w:pgMar w:top="400" w:right="1171" w:bottom="1021" w:left="1168" w:header="0" w:footer="849" w:gutter="0"/>
          <w:pgNumType w:start="20"/>
          <w:cols w:space="708"/>
        </w:sect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对儿童比例较高的社区宜采取公建公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办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公建民营或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民营等方式提供儿童教育培训和学龄前儿童托管中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心等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</w:p>
    <w:p>
      <w:pPr>
        <w:spacing w:before="56" w:line="202" w:lineRule="auto"/>
        <w:ind w:left="2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的养老服务设施应符合《养老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服务设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施规划建设标准》</w:t>
      </w:r>
      <w:r>
        <w:rPr>
          <w:rFonts w:ascii="Arial" w:eastAsia="Arial" w:hAnsi="Arial" w:cs="Arial"/>
          <w:sz w:val="20"/>
          <w:szCs w:val="20"/>
        </w:rPr>
        <w:t>DB</w:t>
      </w:r>
      <w:r>
        <w:rPr>
          <w:rFonts w:ascii="Arial" w:eastAsia="Arial" w:hAnsi="Arial" w:cs="Arial"/>
          <w:spacing w:val="13"/>
          <w:sz w:val="20"/>
          <w:szCs w:val="20"/>
        </w:rPr>
        <w:t>34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/</w:t>
      </w:r>
      <w:r>
        <w:rPr>
          <w:rFonts w:ascii="Arial" w:eastAsia="Arial" w:hAnsi="Arial" w:cs="Arial"/>
          <w:spacing w:val="13"/>
          <w:sz w:val="20"/>
          <w:szCs w:val="20"/>
        </w:rPr>
        <w:t>T3943</w:t>
      </w:r>
      <w:r>
        <w:rPr>
          <w:rFonts w:ascii="Arial" w:eastAsia="Arial" w:hAnsi="Arial" w:cs="Arial"/>
          <w:spacing w:val="13"/>
          <w:position w:val="-1"/>
          <w:sz w:val="20"/>
          <w:szCs w:val="20"/>
        </w:rPr>
        <w:t xml:space="preserve">— </w:t>
      </w:r>
      <w:r>
        <w:rPr>
          <w:rFonts w:ascii="Arial" w:eastAsia="Arial" w:hAnsi="Arial" w:cs="Arial"/>
          <w:spacing w:val="13"/>
          <w:sz w:val="20"/>
          <w:szCs w:val="20"/>
        </w:rPr>
        <w:t>2021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构建居家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养老服务和助餐服务网络，并符合以下要求：</w:t>
      </w:r>
    </w:p>
    <w:p>
      <w:pPr>
        <w:spacing w:before="48" w:line="201" w:lineRule="auto"/>
        <w:ind w:left="5" w:firstLine="44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新建城区和居住区按照每百户不应低于</w:t>
      </w:r>
      <w:r>
        <w:rPr>
          <w:rFonts w:ascii="Microsoft YaHei" w:eastAsia="Microsoft YaHei" w:hAnsi="Microsoft YaHei" w:cs="Microsoft YaHei"/>
          <w:spacing w:val="28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4"/>
          <w:sz w:val="20"/>
          <w:szCs w:val="20"/>
        </w:rPr>
        <w:t>30m</w:t>
      </w:r>
      <w:r>
        <w:rPr>
          <w:rFonts w:ascii="Arial" w:eastAsia="Arial" w:hAnsi="Arial" w:cs="Arial"/>
          <w:spacing w:val="14"/>
          <w:position w:val="7"/>
          <w:sz w:val="11"/>
          <w:szCs w:val="11"/>
        </w:rPr>
        <w:t>2</w:t>
      </w:r>
      <w:r>
        <w:rPr>
          <w:rFonts w:ascii="Arial" w:eastAsia="Arial" w:hAnsi="Arial" w:cs="Arial"/>
          <w:spacing w:val="-10"/>
          <w:position w:val="7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单体面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积不应低于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"/>
          <w:sz w:val="20"/>
          <w:szCs w:val="20"/>
        </w:rPr>
        <w:t>350m</w:t>
      </w:r>
      <w:r>
        <w:rPr>
          <w:rFonts w:ascii="Arial" w:eastAsia="Arial" w:hAnsi="Arial" w:cs="Arial"/>
          <w:spacing w:val="12"/>
          <w:position w:val="7"/>
          <w:sz w:val="11"/>
          <w:szCs w:val="11"/>
        </w:rPr>
        <w:t>2</w:t>
      </w:r>
      <w:r>
        <w:rPr>
          <w:rFonts w:ascii="Arial" w:eastAsia="Arial" w:hAnsi="Arial" w:cs="Arial"/>
          <w:spacing w:val="11"/>
          <w:position w:val="7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的标准配建养老服务设施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老城区和已建成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居住区每百户不应低于 </w:t>
      </w:r>
      <w:r>
        <w:rPr>
          <w:rFonts w:ascii="Arial" w:eastAsia="Arial" w:hAnsi="Arial" w:cs="Arial"/>
          <w:spacing w:val="12"/>
          <w:sz w:val="20"/>
          <w:szCs w:val="20"/>
        </w:rPr>
        <w:t>20m</w:t>
      </w:r>
      <w:r>
        <w:rPr>
          <w:rFonts w:ascii="Arial" w:eastAsia="Arial" w:hAnsi="Arial" w:cs="Arial"/>
          <w:spacing w:val="12"/>
          <w:position w:val="7"/>
          <w:sz w:val="11"/>
          <w:szCs w:val="11"/>
        </w:rPr>
        <w:t>2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；</w:t>
      </w:r>
    </w:p>
    <w:p>
      <w:pPr>
        <w:spacing w:line="201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35"/>
          <w:footerReference w:type="default" r:id="rId36"/>
          <w:type w:val="nextPage"/>
          <w:pgSz w:w="8219" w:h="11904"/>
          <w:pgMar w:top="400" w:right="1171" w:bottom="1021" w:left="1168" w:header="0" w:footer="849" w:gutter="0"/>
          <w:pgNumType w:start="21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86" w:line="204" w:lineRule="auto"/>
        <w:ind w:left="6" w:right="75" w:firstLine="441"/>
        <w:jc w:val="both"/>
        <w:rPr>
          <w:rFonts w:ascii="Microsoft YaHei" w:eastAsia="Microsoft YaHei" w:hAnsi="Microsoft YaHei" w:cs="Microsoft YaHei"/>
          <w:sz w:val="20"/>
          <w:szCs w:val="20"/>
        </w:rPr>
      </w:pPr>
      <w:bookmarkStart w:id="9" w:name="bookmark16"/>
      <w:bookmarkEnd w:id="9"/>
      <w:bookmarkStart w:id="10" w:name="bookmark17"/>
      <w:bookmarkEnd w:id="10"/>
      <w:bookmarkStart w:id="11" w:name="bookmark18"/>
      <w:bookmarkEnd w:id="11"/>
      <w:bookmarkStart w:id="12" w:name="bookmark19"/>
      <w:bookmarkEnd w:id="12"/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依托街道养老服务中心或为老服务综合体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社区养老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服务设施，宜提供家庭养老指导服务，就近提供日间照料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、助餐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助浴助洁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、康复护理等服务；</w:t>
      </w:r>
    </w:p>
    <w:p>
      <w:pPr>
        <w:spacing w:before="59" w:line="203" w:lineRule="auto"/>
        <w:ind w:left="2" w:right="75" w:firstLine="442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依托日间照料中心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养老机构等养老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服务设施或利用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社区闲置房屋等资源可打造标准化社区老年食堂（助餐</w:t>
      </w: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>服务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点</w:t>
      </w:r>
      <w:r>
        <w:rPr>
          <w:rFonts w:ascii="Microsoft YaHei" w:eastAsia="Microsoft YaHei" w:hAnsi="Microsoft YaHei" w:cs="Microsoft YaHei"/>
          <w:spacing w:val="-37"/>
          <w:w w:val="78"/>
          <w:sz w:val="20"/>
          <w:szCs w:val="20"/>
        </w:rPr>
        <w:t>），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建立助餐服务网络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。</w:t>
      </w:r>
    </w:p>
    <w:p>
      <w:pPr>
        <w:spacing w:before="58" w:line="204" w:lineRule="auto"/>
        <w:ind w:left="2" w:right="75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应完善社区卫生服务中心和服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务卫生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点等基础保障型服务设施，可配置康复中心，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满足康复医治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、医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疗训练等治疗需求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。</w:t>
      </w:r>
    </w:p>
    <w:p>
      <w:pPr>
        <w:spacing w:before="54" w:line="201" w:lineRule="auto"/>
        <w:ind w:left="2" w:right="75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应提供多样的文化社区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完善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社区图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书馆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文化活动室等基础保障型服务设施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可增加棋牌室和阅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览室等丰富居民文化生活的品质提升型服务设施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。</w:t>
      </w:r>
    </w:p>
    <w:p>
      <w:pPr>
        <w:spacing w:before="52" w:line="204" w:lineRule="auto"/>
        <w:ind w:left="2" w:right="75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1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2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应完善足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球场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篮球场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网球场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羽毛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球场等运动场地建设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可增设室内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室外健身点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打造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9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9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分钟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健身圈”。</w:t>
      </w:r>
    </w:p>
    <w:p>
      <w:pPr>
        <w:spacing w:before="50" w:line="194" w:lineRule="auto"/>
        <w:ind w:left="2" w:right="75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7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应贴近居民基本生活购物需求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提供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便民多样的商业服务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。</w:t>
      </w:r>
    </w:p>
    <w:p>
      <w:pPr>
        <w:spacing w:before="56" w:line="197" w:lineRule="auto"/>
        <w:ind w:left="3" w:right="75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8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除独立占地的设施外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，"</w:t>
      </w:r>
      <w:r>
        <w:rPr>
          <w:rFonts w:ascii="Microsoft YaHei" w:eastAsia="Microsoft YaHei" w:hAnsi="Microsoft YaHei" w:cs="Microsoft YaHei"/>
          <w:spacing w:val="-20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的各类公共服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务设施宜综合设置，可采取以下方式：</w:t>
      </w:r>
    </w:p>
    <w:p>
      <w:pPr>
        <w:spacing w:before="57" w:line="196" w:lineRule="auto"/>
        <w:ind w:left="9" w:right="75" w:firstLine="43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街道办事处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城市管理监督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税务办事处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等可集中设置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为社区行政管理中心；</w:t>
      </w:r>
    </w:p>
    <w:p>
      <w:pPr>
        <w:spacing w:before="60" w:line="195" w:lineRule="auto"/>
        <w:ind w:left="3" w:right="75" w:firstLine="43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综合健身馆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游泳池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综合运动场等可集中设置为社区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体育中心，运动场地与其他公共空间可复合建设；</w:t>
      </w:r>
    </w:p>
    <w:p>
      <w:pPr>
        <w:spacing w:before="61" w:line="195" w:lineRule="auto"/>
        <w:ind w:left="16" w:right="75" w:firstLine="429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37"/>
          <w:footerReference w:type="default" r:id="rId38"/>
          <w:pgSz w:w="8219" w:h="11904"/>
          <w:pgMar w:top="400" w:right="1096" w:bottom="1021" w:left="1168" w:header="0" w:footer="849" w:gutter="0"/>
          <w:pgNumType w:start="22"/>
          <w:cols w:space="708"/>
        </w:sect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社区卫生服务中心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卫生服务点等可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集中设置为社区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医疗卫生中心；</w:t>
      </w:r>
    </w:p>
    <w:p>
      <w:pPr>
        <w:spacing w:before="57" w:line="192" w:lineRule="auto"/>
        <w:ind w:left="6" w:firstLine="44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社区图书馆等文化设施与商务商业功能可综合设置</w:t>
      </w:r>
      <w:r>
        <w:rPr>
          <w:rFonts w:ascii="Microsoft YaHei" w:eastAsia="Microsoft YaHei" w:hAnsi="Microsoft YaHei" w:cs="Microsoft YaHei"/>
          <w:spacing w:val="2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提升实体商业活力和体验度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。</w:t>
      </w:r>
    </w:p>
    <w:p>
      <w:pPr>
        <w:spacing w:before="61" w:line="195" w:lineRule="auto"/>
        <w:ind w:left="20" w:right="75" w:hanging="2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9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对于用地紧缺的区域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宜通过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设施共享的方式完善居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民文化</w:t>
      </w:r>
      <w:r>
        <w:rPr>
          <w:rFonts w:ascii="Microsoft YaHei" w:eastAsia="Microsoft YaHei" w:hAnsi="Microsoft YaHei" w:cs="Microsoft YaHei"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、体育以及休闲空间等需求，可采取以下方式：</w:t>
      </w:r>
    </w:p>
    <w:p>
      <w:pPr>
        <w:spacing w:before="52" w:line="179" w:lineRule="auto"/>
        <w:ind w:left="44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4"/>
          <w:position w:val="-1"/>
          <w:sz w:val="20"/>
          <w:szCs w:val="20"/>
        </w:rPr>
        <w:t>5-</w:t>
      </w:r>
      <w:r>
        <w:rPr>
          <w:rFonts w:ascii="Arial" w:eastAsia="Arial" w:hAnsi="Arial" w:cs="Arial"/>
          <w:spacing w:val="-30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4"/>
          <w:sz w:val="20"/>
          <w:szCs w:val="20"/>
        </w:rPr>
        <w:t>10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分钟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层级生活圈的各类公共服务设施可沿街道</w:t>
      </w:r>
    </w:p>
    <w:p>
      <w:pPr>
        <w:spacing w:line="179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39"/>
          <w:footerReference w:type="default" r:id="rId40"/>
          <w:type w:val="nextPage"/>
          <w:pgSz w:w="8219" w:h="11904"/>
          <w:pgMar w:top="400" w:right="1096" w:bottom="1021" w:left="1168" w:header="0" w:footer="849" w:gutter="0"/>
          <w:pgNumType w:start="23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86" w:line="182" w:lineRule="auto"/>
        <w:ind w:left="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布局，促进设施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、公共空间等资源共享；</w:t>
      </w:r>
    </w:p>
    <w:p>
      <w:pPr>
        <w:spacing w:before="57" w:line="196" w:lineRule="auto"/>
        <w:ind w:left="2" w:firstLine="43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学校图书馆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体育场馆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各类训练中心等文化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体育设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施，在确保校园安全的前提下，可向公众开放；</w:t>
      </w:r>
    </w:p>
    <w:p>
      <w:pPr>
        <w:spacing w:before="59" w:line="192" w:lineRule="auto"/>
        <w:ind w:left="2" w:firstLine="44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老年学校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职业培训中心等与社区文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化活动中心可共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享使用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设置共享培训教室和各类活动室等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。</w:t>
      </w:r>
    </w:p>
    <w:p>
      <w:pPr>
        <w:spacing w:before="57" w:line="201" w:lineRule="auto"/>
        <w:ind w:left="2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20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2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10</w:t>
      </w:r>
      <w:r>
        <w:rPr>
          <w:rFonts w:ascii="Microsoft YaHei" w:eastAsia="Microsoft YaHei" w:hAnsi="Microsoft YaHei" w:cs="Microsoft YaHei"/>
          <w:spacing w:val="26"/>
          <w:position w:val="-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可配置社区就业服务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中心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为就业困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难人群提供职业技能培训和信息共享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宜围绕公共交通站点或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公共活动中心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z w:val="20"/>
          <w:szCs w:val="20"/>
        </w:rPr>
        <w:t>在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200m</w:t>
      </w:r>
      <w:r>
        <w:rPr>
          <w:rFonts w:ascii="Arial" w:eastAsia="Arial" w:hAnsi="Arial" w:cs="Arial"/>
          <w:spacing w:val="-30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5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spacing w:val="6"/>
          <w:position w:val="-2"/>
          <w:sz w:val="5"/>
          <w:szCs w:val="5"/>
        </w:rPr>
        <w:t xml:space="preserve">  </w:t>
      </w:r>
      <w:r>
        <w:rPr>
          <w:rFonts w:ascii="Arial" w:eastAsia="Arial" w:hAnsi="Arial" w:cs="Arial"/>
          <w:spacing w:val="13"/>
          <w:sz w:val="20"/>
          <w:szCs w:val="20"/>
        </w:rPr>
        <w:t>300m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半径范围内布局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。</w:t>
      </w:r>
    </w:p>
    <w:p>
      <w:pPr>
        <w:spacing w:before="54" w:line="197" w:lineRule="auto"/>
        <w:ind w:left="5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20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2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>11</w:t>
      </w:r>
      <w:r>
        <w:rPr>
          <w:rFonts w:ascii="Microsoft YaHei" w:eastAsia="Microsoft YaHei" w:hAnsi="Microsoft YaHei" w:cs="Microsoft YaHei"/>
          <w:spacing w:val="26"/>
          <w:w w:val="101"/>
          <w:position w:val="-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老城区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8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宜通过存量资源挖潜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既有建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筑改造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、空间复合利用等方式补足社区短板，可采取以下方式：</w:t>
      </w:r>
    </w:p>
    <w:p>
      <w:pPr>
        <w:spacing w:before="61" w:line="195" w:lineRule="auto"/>
        <w:ind w:left="3" w:firstLine="44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z w:val="20"/>
          <w:szCs w:val="20"/>
        </w:rPr>
        <w:t>闲置厂房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z w:val="20"/>
          <w:szCs w:val="20"/>
        </w:rPr>
        <w:t>学校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z w:val="20"/>
          <w:szCs w:val="20"/>
        </w:rPr>
        <w:t>商业设施等可通过购买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z w:val="20"/>
          <w:szCs w:val="20"/>
        </w:rPr>
        <w:t>置换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租赁等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方式改造为公共服务设施；</w:t>
      </w:r>
    </w:p>
    <w:p>
      <w:pPr>
        <w:spacing w:before="61" w:line="195" w:lineRule="auto"/>
        <w:ind w:left="3" w:firstLine="44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国家机关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人民团体和事业单位等存量服务用房可改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造为公共服务设施；</w:t>
      </w:r>
    </w:p>
    <w:p>
      <w:pPr>
        <w:spacing w:before="63" w:line="191" w:lineRule="auto"/>
        <w:ind w:left="2" w:firstLine="44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产权公有的闲置或低效传统建筑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在保护历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史文化价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值和特色的基础上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可活化利用为社区服务设施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。</w:t>
      </w:r>
    </w:p>
    <w:p>
      <w:pPr>
        <w:spacing w:before="218" w:line="174" w:lineRule="auto"/>
        <w:ind w:left="201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4. 3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街道空间建设</w:t>
      </w:r>
    </w:p>
    <w:p>
      <w:pPr>
        <w:spacing w:before="197" w:line="198" w:lineRule="auto"/>
        <w:ind w:left="20" w:hanging="2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应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营造步行友好的社区街道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并符合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以下要求：</w:t>
      </w:r>
    </w:p>
    <w:p>
      <w:pPr>
        <w:spacing w:before="54" w:line="204" w:lineRule="auto"/>
        <w:ind w:left="3" w:firstLine="44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4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的街道建设应保障步行空间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除不设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>辅路的快速路外</w:t>
      </w:r>
      <w:r>
        <w:rPr>
          <w:rFonts w:ascii="Microsoft YaHei" w:eastAsia="Microsoft YaHei" w:hAnsi="Microsoft YaHei" w:cs="Microsoft YaHei"/>
          <w:spacing w:val="2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>应设置具有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20"/>
          <w:szCs w:val="20"/>
        </w:rPr>
        <w:t>定宽度且连续不中断的步行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道，以保障行人路权及通行安全；</w:t>
      </w:r>
    </w:p>
    <w:p>
      <w:pPr>
        <w:spacing w:before="58" w:line="196" w:lineRule="auto"/>
        <w:ind w:left="2" w:firstLine="435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41"/>
          <w:footerReference w:type="default" r:id="rId42"/>
          <w:pgSz w:w="8219" w:h="11904"/>
          <w:pgMar w:top="400" w:right="1171" w:bottom="1021" w:left="1168" w:header="0" w:footer="849" w:gutter="0"/>
          <w:pgNumType w:start="24"/>
          <w:cols w:space="708"/>
        </w:sect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社区街道空间建设应利用隔离护栏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绿化隔离带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交通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标线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、交通信号灯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、交通标志等设施明晰路权划分；</w:t>
      </w:r>
    </w:p>
    <w:p>
      <w:pPr>
        <w:spacing w:before="61" w:line="195" w:lineRule="auto"/>
        <w:ind w:left="3" w:firstLine="43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1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1"/>
          <w:sz w:val="20"/>
          <w:szCs w:val="20"/>
        </w:rPr>
        <w:t>步行或骑行空间不足的路段可通过削减机动车停车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位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减小交叉口路缘石转弯半径等方式保障步行或骑行空间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。</w:t>
      </w:r>
    </w:p>
    <w:p>
      <w:pPr>
        <w:spacing w:before="54" w:line="206" w:lineRule="auto"/>
        <w:ind w:left="2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内较大的街道转角空间宜结合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实际需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求设置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" 口袋公园</w:t>
      </w:r>
      <w:r>
        <w:rPr>
          <w:rFonts w:ascii="Microsoft YaHei" w:eastAsia="Microsoft YaHei" w:hAnsi="Microsoft YaHei" w:cs="Microsoft YaHei"/>
          <w:spacing w:val="-3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”或绿化景观，塑造宜游的街道慢行空间环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境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。</w:t>
      </w:r>
    </w:p>
    <w:p>
      <w:pPr>
        <w:spacing w:line="206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43"/>
          <w:footerReference w:type="default" r:id="rId44"/>
          <w:type w:val="nextPage"/>
          <w:pgSz w:w="8219" w:h="11904"/>
          <w:pgMar w:top="400" w:right="1171" w:bottom="1021" w:left="1168" w:header="0" w:footer="849" w:gutter="0"/>
          <w:pgNumType w:start="25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85" w:line="203" w:lineRule="auto"/>
        <w:ind w:left="4" w:right="36" w:hanging="4"/>
        <w:rPr>
          <w:rFonts w:ascii="Microsoft YaHei" w:eastAsia="Microsoft YaHei" w:hAnsi="Microsoft YaHei" w:cs="Microsoft YaHei"/>
          <w:sz w:val="20"/>
          <w:szCs w:val="20"/>
        </w:rPr>
      </w:pPr>
      <w:bookmarkStart w:id="13" w:name="bookmark20"/>
      <w:bookmarkEnd w:id="13"/>
      <w:bookmarkStart w:id="14" w:name="bookmark21"/>
      <w:bookmarkEnd w:id="14"/>
      <w:bookmarkStart w:id="15" w:name="bookmark22"/>
      <w:bookmarkEnd w:id="15"/>
      <w:bookmarkStart w:id="16" w:name="bookmark23"/>
      <w:bookmarkEnd w:id="16"/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3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内街道缘石坡道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盲道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出入口等无障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碍建设和改造提升应符合《无障碍设计规范》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Arial" w:eastAsia="Arial" w:hAnsi="Arial" w:cs="Arial"/>
          <w:spacing w:val="10"/>
          <w:sz w:val="20"/>
          <w:szCs w:val="20"/>
        </w:rPr>
        <w:t>50763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-2012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的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相关规定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。</w:t>
      </w:r>
    </w:p>
    <w:p>
      <w:pPr>
        <w:spacing w:before="57" w:line="201" w:lineRule="auto"/>
        <w:ind w:left="2" w:right="36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对老龄化较高的社区街道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应重点关注老人出行能力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与认知能力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除增设减速设施外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还可优化过街设施和入口设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计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为老年人提供安全与便利的出行环境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。</w:t>
      </w:r>
    </w:p>
    <w:p>
      <w:pPr>
        <w:spacing w:before="53" w:line="202" w:lineRule="auto"/>
        <w:ind w:left="3" w:right="36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内生活性支路临街建筑首层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宜设置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餐饮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零售等生活服务和公共服务功能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提高临街建筑界面的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活力与通透性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。</w:t>
      </w:r>
    </w:p>
    <w:p>
      <w:pPr>
        <w:spacing w:before="54" w:line="206" w:lineRule="auto"/>
        <w:ind w:left="5" w:right="36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沿街建筑退线空间内可营造开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放式休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憊节点与广场，包含疏散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、休憊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、活动等多功能，可设置固定移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动座椅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、遮阴设施等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。</w:t>
      </w:r>
    </w:p>
    <w:p>
      <w:pPr>
        <w:spacing w:before="213" w:line="176" w:lineRule="auto"/>
        <w:ind w:left="201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4. 4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停车设施建设</w:t>
      </w:r>
    </w:p>
    <w:p>
      <w:pPr>
        <w:spacing w:before="197" w:line="202" w:lineRule="auto"/>
        <w:ind w:left="5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4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4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5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打造健康有序的停车环境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应符合《城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市停车规划规范》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/</w:t>
      </w:r>
      <w:r>
        <w:rPr>
          <w:rFonts w:ascii="Arial" w:eastAsia="Arial" w:hAnsi="Arial" w:cs="Arial"/>
          <w:spacing w:val="7"/>
          <w:sz w:val="20"/>
          <w:szCs w:val="20"/>
        </w:rPr>
        <w:t>T51149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>-2016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《停车服务规范》</w:t>
      </w:r>
      <w:r>
        <w:rPr>
          <w:rFonts w:ascii="Arial" w:eastAsia="Arial" w:hAnsi="Arial" w:cs="Arial"/>
          <w:sz w:val="20"/>
          <w:szCs w:val="20"/>
        </w:rPr>
        <w:t>DB</w:t>
      </w:r>
      <w:r>
        <w:rPr>
          <w:rFonts w:ascii="Arial" w:eastAsia="Arial" w:hAnsi="Arial" w:cs="Arial"/>
          <w:spacing w:val="7"/>
          <w:sz w:val="20"/>
          <w:szCs w:val="20"/>
        </w:rPr>
        <w:t>34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/</w:t>
      </w:r>
      <w:r>
        <w:rPr>
          <w:rFonts w:ascii="Arial" w:eastAsia="Arial" w:hAnsi="Arial" w:cs="Arial"/>
          <w:spacing w:val="7"/>
          <w:sz w:val="20"/>
          <w:szCs w:val="20"/>
        </w:rPr>
        <w:t>T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>3096-</w:t>
      </w:r>
      <w:r>
        <w:rPr>
          <w:rFonts w:ascii="Arial" w:eastAsia="Arial" w:hAnsi="Arial" w:cs="Arial"/>
          <w:spacing w:val="6"/>
          <w:sz w:val="20"/>
          <w:szCs w:val="20"/>
        </w:rPr>
        <w:t>2018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并符合以下要求：</w:t>
      </w:r>
    </w:p>
    <w:p>
      <w:pPr>
        <w:spacing w:before="53" w:line="204" w:lineRule="auto"/>
        <w:ind w:left="3" w:right="36" w:firstLine="443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居住社区停车场和车库应按照不少于总停车位</w:t>
      </w:r>
      <w:r>
        <w:rPr>
          <w:rFonts w:ascii="Microsoft YaHei" w:eastAsia="Microsoft YaHei" w:hAnsi="Microsoft YaHei" w:cs="Microsoft YaHei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9"/>
          <w:sz w:val="20"/>
          <w:szCs w:val="20"/>
        </w:rPr>
        <w:t>0</w:t>
      </w:r>
      <w:r>
        <w:rPr>
          <w:rFonts w:ascii="Arial" w:eastAsia="Arial" w:hAnsi="Arial" w:cs="Arial"/>
          <w:spacing w:val="19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9"/>
          <w:position w:val="-1"/>
          <w:sz w:val="20"/>
          <w:szCs w:val="20"/>
        </w:rPr>
        <w:t>5%</w:t>
      </w:r>
      <w:r>
        <w:rPr>
          <w:rFonts w:ascii="Arial" w:eastAsia="Arial" w:hAnsi="Arial" w:cs="Arial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的比例设置无障碍机动车停车位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停车场规模较小时应设置不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少于</w:t>
      </w:r>
      <w:r>
        <w:rPr>
          <w:rFonts w:ascii="Microsoft YaHei" w:eastAsia="Microsoft YaHei" w:hAnsi="Microsoft YaHei" w:cs="Microsoft YaHei"/>
          <w:spacing w:val="24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8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个无障碍机动车停车位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；</w:t>
      </w:r>
    </w:p>
    <w:p>
      <w:pPr>
        <w:spacing w:before="56" w:line="208" w:lineRule="auto"/>
        <w:ind w:left="2" w:right="36" w:firstLine="446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因地制宜配置新能源汽车充电设施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新建住宅配建停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车位时应建设充电设施或预留建设安装条件；条件受限的老旧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小区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宜借助小区周边市政道路的公共停车位设置充电桩等设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施；</w:t>
      </w:r>
    </w:p>
    <w:p>
      <w:pPr>
        <w:spacing w:before="61" w:line="196" w:lineRule="auto"/>
        <w:ind w:left="2" w:right="36" w:firstLine="443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45"/>
          <w:footerReference w:type="default" r:id="rId46"/>
          <w:pgSz w:w="8219" w:h="11904"/>
          <w:pgMar w:top="400" w:right="1134" w:bottom="1051" w:left="1168" w:header="0" w:footer="827" w:gutter="0"/>
          <w:pgNumType w:start="26"/>
          <w:cols w:space="708"/>
        </w:sect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居住社区内宜建设非机动车停车棚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非机动车充电设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施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、停放架等，并应做好消防安全管理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。</w:t>
      </w:r>
    </w:p>
    <w:p>
      <w:pPr>
        <w:spacing w:before="51" w:line="205" w:lineRule="auto"/>
        <w:ind w:left="3" w:right="36" w:hanging="3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的路内停车应符合《城市道路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路内停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车泊位设置规范》</w:t>
      </w:r>
      <w:r>
        <w:rPr>
          <w:rFonts w:ascii="Arial" w:eastAsia="Arial" w:hAnsi="Arial" w:cs="Arial"/>
          <w:sz w:val="20"/>
          <w:szCs w:val="20"/>
        </w:rPr>
        <w:t>GA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/</w:t>
      </w:r>
      <w:r>
        <w:rPr>
          <w:rFonts w:ascii="Arial" w:eastAsia="Arial" w:hAnsi="Arial" w:cs="Arial"/>
          <w:spacing w:val="18"/>
          <w:sz w:val="20"/>
          <w:szCs w:val="20"/>
        </w:rPr>
        <w:t>T850</w:t>
      </w:r>
      <w:r>
        <w:rPr>
          <w:rFonts w:ascii="Arial" w:eastAsia="Arial" w:hAnsi="Arial" w:cs="Arial"/>
          <w:spacing w:val="18"/>
          <w:position w:val="-1"/>
          <w:sz w:val="20"/>
          <w:szCs w:val="20"/>
        </w:rPr>
        <w:t>-</w:t>
      </w:r>
      <w:r>
        <w:rPr>
          <w:rFonts w:ascii="Arial" w:eastAsia="Arial" w:hAnsi="Arial" w:cs="Arial"/>
          <w:spacing w:val="18"/>
          <w:sz w:val="20"/>
          <w:szCs w:val="20"/>
        </w:rPr>
        <w:t>2009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的相关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规定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并符合以下要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求：</w:t>
      </w:r>
    </w:p>
    <w:p>
      <w:pPr>
        <w:spacing w:before="57" w:line="175" w:lineRule="auto"/>
        <w:ind w:right="36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路内机动车停车泊位可紧邻机动车道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结合机非隔离</w:t>
      </w:r>
    </w:p>
    <w:p>
      <w:pPr>
        <w:spacing w:line="175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47"/>
          <w:footerReference w:type="default" r:id="rId48"/>
          <w:type w:val="nextPage"/>
          <w:pgSz w:w="8219" w:h="11904"/>
          <w:pgMar w:top="400" w:right="1134" w:bottom="1051" w:left="1168" w:header="0" w:footer="827" w:gutter="0"/>
          <w:pgNumType w:start="27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86" w:line="181" w:lineRule="auto"/>
        <w:ind w:left="5"/>
        <w:rPr>
          <w:rFonts w:ascii="Microsoft YaHei" w:eastAsia="Microsoft YaHei" w:hAnsi="Microsoft YaHei" w:cs="Microsoft YaHei"/>
          <w:sz w:val="20"/>
          <w:szCs w:val="20"/>
        </w:rPr>
      </w:pPr>
      <w:bookmarkStart w:id="17" w:name="bookmark24"/>
      <w:bookmarkEnd w:id="17"/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带设置，不应侵占非机动车通行空间；</w:t>
      </w:r>
    </w:p>
    <w:p>
      <w:pPr>
        <w:spacing w:before="59" w:line="200" w:lineRule="auto"/>
        <w:ind w:left="9" w:right="99" w:firstLine="439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无机非隔离带时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紧邻机动车道设置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的路内机动车停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车泊位与非机动车道之间应设置缓冲区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停放车辆不应进入缓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冲区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缓冲区宽度不宜小于</w:t>
      </w:r>
      <w:r>
        <w:rPr>
          <w:rFonts w:ascii="Microsoft YaHei" w:eastAsia="Microsoft YaHei" w:hAnsi="Microsoft YaHei" w:cs="Microsoft YaHei"/>
          <w:spacing w:val="17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0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5m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；</w:t>
      </w:r>
    </w:p>
    <w:p>
      <w:pPr>
        <w:spacing w:before="59" w:line="207" w:lineRule="auto"/>
        <w:ind w:right="99" w:firstLine="433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路侧自行车停车场宜在设施带或绿化带划定固定区域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设置，不应占用人行道，阻碍行人通行</w:t>
      </w:r>
      <w:r>
        <w:rPr>
          <w:rFonts w:ascii="Microsoft YaHei" w:eastAsia="Microsoft YaHei" w:hAnsi="Microsoft YaHei" w:cs="Microsoft YaHei"/>
          <w:spacing w:val="-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。空间不足的道路，可采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用斜向停车方式，节省停车空间</w:t>
      </w:r>
      <w:r>
        <w:rPr>
          <w:rFonts w:ascii="Microsoft YaHei" w:eastAsia="Microsoft YaHei" w:hAnsi="Microsoft YaHei" w:cs="Microsoft YaHei"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。</w:t>
      </w:r>
    </w:p>
    <w:p>
      <w:pPr>
        <w:spacing w:before="58" w:line="203" w:lineRule="auto"/>
        <w:ind w:left="8" w:right="99" w:hanging="9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内居民车辆不应随意停放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不得占用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消防通道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既有居住社区宜统筹空间资源和管理措施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解决停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车问题，可采取以下方式：</w:t>
      </w:r>
    </w:p>
    <w:p>
      <w:pPr>
        <w:spacing w:before="60" w:line="196" w:lineRule="auto"/>
        <w:ind w:left="6" w:right="24" w:firstLine="44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在居民同意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条件允许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对周边不产生影响的情况下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可通过挖潜社区存量空间来改建新增停车位；</w:t>
      </w:r>
    </w:p>
    <w:p>
      <w:pPr>
        <w:spacing w:before="58" w:line="196" w:lineRule="auto"/>
        <w:ind w:left="2" w:right="99" w:firstLine="43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住宅小区和企业机构可采取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8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错时共享停车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的方式缓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解停车问题；</w:t>
      </w:r>
    </w:p>
    <w:p>
      <w:pPr>
        <w:spacing w:before="62" w:line="191" w:lineRule="auto"/>
        <w:ind w:left="2" w:right="24" w:firstLine="44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结合社区周边经营性地块的更新改造可增设停车位</w:t>
      </w:r>
      <w:r>
        <w:rPr>
          <w:rFonts w:ascii="Microsoft YaHei" w:eastAsia="Microsoft YaHei" w:hAnsi="Microsoft YaHei" w:cs="Microsoft YaHei"/>
          <w:spacing w:val="2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w w:val="101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其新增的停车位可向社区进行定向供应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。</w:t>
      </w:r>
    </w:p>
    <w:p>
      <w:pPr>
        <w:spacing w:before="220" w:line="173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4. 5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街区建设</w:t>
      </w:r>
    </w:p>
    <w:p>
      <w:pPr>
        <w:spacing w:before="199" w:line="203" w:lineRule="auto"/>
        <w:ind w:left="5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7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宜推广街区制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开展开放式街区建设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打造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3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小街区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、密路网”应符合《城市综合交通体系规划标准》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20"/>
          <w:szCs w:val="20"/>
        </w:rPr>
        <w:t>GB</w:t>
      </w:r>
      <w:r>
        <w:rPr>
          <w:rFonts w:ascii="Microsoft YaHei" w:eastAsia="Microsoft YaHei" w:hAnsi="Microsoft YaHei" w:cs="Microsoft YaHei"/>
          <w:spacing w:val="-4"/>
          <w:position w:val="-1"/>
          <w:sz w:val="20"/>
          <w:szCs w:val="20"/>
        </w:rPr>
        <w:t>/</w:t>
      </w:r>
      <w:r>
        <w:rPr>
          <w:rFonts w:ascii="Arial" w:eastAsia="Arial" w:hAnsi="Arial" w:cs="Arial"/>
          <w:spacing w:val="-4"/>
          <w:position w:val="-1"/>
          <w:sz w:val="20"/>
          <w:szCs w:val="20"/>
        </w:rPr>
        <w:t>T51328-2018</w:t>
      </w:r>
      <w:r>
        <w:rPr>
          <w:rFonts w:ascii="Microsoft YaHei" w:eastAsia="Microsoft YaHei" w:hAnsi="Microsoft YaHei" w:cs="Microsoft YaHei"/>
          <w:spacing w:val="-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《城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市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步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行 和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自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行 车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交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通 系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统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规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划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标 准》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GB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/</w:t>
      </w:r>
      <w:r>
        <w:rPr>
          <w:rFonts w:ascii="Arial" w:eastAsia="Arial" w:hAnsi="Arial" w:cs="Arial"/>
          <w:spacing w:val="13"/>
          <w:sz w:val="20"/>
          <w:szCs w:val="20"/>
        </w:rPr>
        <w:t>T51439-2021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的相关规定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2"/>
          <w:sz w:val="20"/>
          <w:szCs w:val="20"/>
        </w:rPr>
        <w:t>。</w:t>
      </w:r>
    </w:p>
    <w:p>
      <w:pPr>
        <w:spacing w:before="55" w:line="204" w:lineRule="auto"/>
        <w:ind w:left="3" w:right="99" w:hanging="3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49"/>
          <w:footerReference w:type="default" r:id="rId50"/>
          <w:pgSz w:w="8219" w:h="11904"/>
          <w:pgMar w:top="400" w:right="1071" w:bottom="1019" w:left="1168" w:header="0" w:footer="850" w:gutter="0"/>
          <w:pgNumType w:start="28"/>
          <w:cols w:space="708"/>
        </w:sect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老城区的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0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宜打通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道路系统微循环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网格化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小尺度的道路划分城市空间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增加城市路网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密度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-37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可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采取以下方式：</w:t>
      </w:r>
    </w:p>
    <w:p>
      <w:pPr>
        <w:spacing w:before="57" w:line="203" w:lineRule="auto"/>
        <w:ind w:left="4" w:right="99" w:firstLine="442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道路间距超过 </w:t>
      </w:r>
      <w:r>
        <w:rPr>
          <w:rFonts w:ascii="Arial" w:eastAsia="Arial" w:hAnsi="Arial" w:cs="Arial"/>
          <w:spacing w:val="13"/>
          <w:sz w:val="20"/>
          <w:szCs w:val="20"/>
        </w:rPr>
        <w:t>200m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的商业商办或公共设施街坊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可因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地制宜增加公共通道或开放已有公共通道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避免街坊过大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影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响路网通达性；</w:t>
      </w:r>
    </w:p>
    <w:p>
      <w:pPr>
        <w:spacing w:before="61" w:line="195" w:lineRule="auto"/>
        <w:ind w:left="4" w:right="24" w:firstLine="43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老城区可通过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围墙透绿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等方式增加住区开放界面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控制封闭大院或门禁小区规模；</w:t>
      </w:r>
    </w:p>
    <w:p>
      <w:pPr>
        <w:spacing w:line="195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51"/>
          <w:footerReference w:type="default" r:id="rId52"/>
          <w:type w:val="nextPage"/>
          <w:pgSz w:w="8219" w:h="11904"/>
          <w:pgMar w:top="400" w:right="1071" w:bottom="1019" w:left="1168" w:header="0" w:footer="850" w:gutter="0"/>
          <w:pgNumType w:start="29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85" w:line="193" w:lineRule="auto"/>
        <w:ind w:left="4" w:right="83" w:firstLine="441"/>
        <w:rPr>
          <w:rFonts w:ascii="Microsoft YaHei" w:eastAsia="Microsoft YaHei" w:hAnsi="Microsoft YaHei" w:cs="Microsoft YaHei"/>
          <w:sz w:val="20"/>
          <w:szCs w:val="20"/>
        </w:rPr>
      </w:pPr>
      <w:bookmarkStart w:id="18" w:name="bookmark25"/>
      <w:bookmarkEnd w:id="18"/>
      <w:bookmarkStart w:id="19" w:name="bookmark26"/>
      <w:bookmarkEnd w:id="19"/>
      <w:bookmarkStart w:id="20" w:name="bookmark27"/>
      <w:bookmarkEnd w:id="20"/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已建大型封闭社区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可将内部无机动车通行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的道路转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化为公共通行街道，增强社区开放性。</w:t>
      </w:r>
    </w:p>
    <w:p>
      <w:pPr>
        <w:spacing w:before="216" w:line="170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4. 6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住宅建设</w:t>
      </w:r>
    </w:p>
    <w:p>
      <w:pPr>
        <w:spacing w:before="201" w:line="201" w:lineRule="auto"/>
        <w:ind w:left="2" w:right="83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分钟生活圈”宜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提供多元住房类型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适当增加中大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套型住房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形成合理的住房套型结构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满足各类人群差异化的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住房需求。</w:t>
      </w:r>
    </w:p>
    <w:p>
      <w:pPr>
        <w:spacing w:before="51" w:line="201" w:lineRule="auto"/>
        <w:ind w:left="2" w:right="83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分钟生活圈”宜提供标准合理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规模适宜的保障性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住房和面向就业人群的租赁住房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商务社区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产业社区可适当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提高比例。</w:t>
      </w:r>
    </w:p>
    <w:p>
      <w:pPr>
        <w:spacing w:before="51" w:line="203" w:lineRule="auto"/>
        <w:ind w:left="3" w:right="83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7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分钟生活圈”的住宅建设宜注重住宅建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筑设计品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质，确保通风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、日照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、卫生防疫等要求，应建造绿色和装配式住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宅建筑，并采取节能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、环保措施。</w:t>
      </w:r>
    </w:p>
    <w:p>
      <w:pPr>
        <w:spacing w:before="53" w:line="201" w:lineRule="auto"/>
        <w:ind w:left="5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6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分钟生活圈”的老旧住宅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应从基础设施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房屋建筑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消防安防等方面开展综合整修和现代化宜居改造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保障适宜的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居住条件。</w:t>
      </w:r>
    </w:p>
    <w:p>
      <w:pPr>
        <w:spacing w:line="201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53"/>
          <w:footerReference w:type="default" r:id="rId54"/>
          <w:pgSz w:w="8219" w:h="11904"/>
          <w:pgMar w:top="400" w:right="1088" w:bottom="1051" w:left="1168" w:header="0" w:footer="827" w:gutter="0"/>
          <w:pgNumType w:start="30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12" w:line="179" w:lineRule="auto"/>
        <w:ind w:left="1166"/>
        <w:rPr>
          <w:rFonts w:ascii="Microsoft YaHei" w:eastAsia="Microsoft YaHei" w:hAnsi="Microsoft YaHei" w:cs="Microsoft YaHei"/>
          <w:sz w:val="26"/>
          <w:szCs w:val="26"/>
        </w:rPr>
      </w:pPr>
      <w:bookmarkStart w:id="21" w:name="bookmark28"/>
      <w:bookmarkEnd w:id="21"/>
      <w:r>
        <w:rPr>
          <w:rFonts w:ascii="Microsoft YaHei" w:eastAsia="Microsoft YaHei" w:hAnsi="Microsoft YaHei" w:cs="Microsoft YaHei"/>
          <w:spacing w:val="7"/>
          <w:position w:val="-2"/>
          <w:sz w:val="26"/>
          <w:szCs w:val="26"/>
        </w:rPr>
        <w:t>5</w:t>
      </w:r>
      <w:r>
        <w:rPr>
          <w:rFonts w:ascii="Microsoft YaHei" w:eastAsia="Microsoft YaHei" w:hAnsi="Microsoft YaHei" w:cs="Microsoft YaHei"/>
          <w:spacing w:val="5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7"/>
          <w:position w:val="1"/>
          <w:sz w:val="26"/>
          <w:szCs w:val="26"/>
        </w:rPr>
        <w:t>"</w:t>
      </w:r>
      <w:r>
        <w:rPr>
          <w:rFonts w:ascii="Microsoft YaHei" w:eastAsia="Microsoft YaHei" w:hAnsi="Microsoft YaHei" w:cs="Microsoft YaHei"/>
          <w:spacing w:val="-32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spacing w:val="7"/>
          <w:sz w:val="26"/>
          <w:szCs w:val="26"/>
        </w:rPr>
        <w:t>15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>分钟生活圈</w:t>
      </w:r>
      <w:r>
        <w:rPr>
          <w:rFonts w:ascii="Microsoft YaHei" w:eastAsia="Microsoft YaHei" w:hAnsi="Microsoft YaHei" w:cs="Microsoft YaHei"/>
          <w:spacing w:val="7"/>
          <w:position w:val="1"/>
          <w:sz w:val="26"/>
          <w:szCs w:val="26"/>
        </w:rPr>
        <w:t>”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>绿色建设</w:t>
      </w:r>
    </w:p>
    <w:p>
      <w:pPr>
        <w:spacing w:before="320" w:line="173" w:lineRule="auto"/>
        <w:ind w:left="231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5.</w:t>
      </w:r>
      <w:r>
        <w:rPr>
          <w:rFonts w:ascii="Microsoft YaHei" w:eastAsia="Microsoft YaHei" w:hAnsi="Microsoft YaHei" w:cs="Microsoft YaHei"/>
          <w:spacing w:val="2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-3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般规定</w:t>
      </w:r>
    </w:p>
    <w:p>
      <w:pPr>
        <w:spacing w:before="207" w:line="201" w:lineRule="auto"/>
        <w:ind w:left="6" w:right="56" w:hanging="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4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8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4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为塑造绿色开放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活力宜人的公共空间和低碳安全的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出行条件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营造干净整洁的社区环境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城市应打造绿色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1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0"/>
          <w:szCs w:val="20"/>
        </w:rPr>
        <w:t>生活圈”。</w:t>
      </w:r>
    </w:p>
    <w:p>
      <w:pPr>
        <w:spacing w:before="51" w:line="201" w:lineRule="auto"/>
        <w:ind w:left="1" w:right="56" w:hanging="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40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2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6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的绿色建设应包括绿色公共空间建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设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绿色出行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绿色环境卫生设施建设等内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容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并宜符合本指南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附录</w:t>
      </w:r>
      <w:r>
        <w:rPr>
          <w:rFonts w:ascii="Microsoft YaHei" w:eastAsia="Microsoft YaHei" w:hAnsi="Microsoft YaHei" w:cs="Microsoft YaHei"/>
          <w:spacing w:val="17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6"/>
          <w:sz w:val="20"/>
          <w:szCs w:val="20"/>
        </w:rPr>
        <w:t>B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的规定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</w:p>
    <w:p>
      <w:pPr>
        <w:spacing w:before="212" w:line="173" w:lineRule="auto"/>
        <w:ind w:left="179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5. 2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绿色公共空间建设</w:t>
      </w:r>
    </w:p>
    <w:p>
      <w:pPr>
        <w:spacing w:before="199" w:line="197" w:lineRule="auto"/>
        <w:ind w:left="5" w:right="7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0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9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内应构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建总量适宜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步行可达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系统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化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、网络化的公共空间布局，满足居民便捷使用公共空间的需求。</w:t>
      </w:r>
    </w:p>
    <w:p>
      <w:pPr>
        <w:spacing w:before="53" w:line="196" w:lineRule="auto"/>
        <w:ind w:left="2" w:right="56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内绿地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广场等公共空间宜满足以下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要求：</w:t>
      </w:r>
    </w:p>
    <w:p>
      <w:pPr>
        <w:spacing w:before="48" w:line="195" w:lineRule="auto"/>
        <w:ind w:left="3" w:right="56" w:firstLine="44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广场宜为</w:t>
      </w:r>
      <w:r>
        <w:rPr>
          <w:rFonts w:ascii="Microsoft YaHei" w:eastAsia="Microsoft YaHei" w:hAnsi="Microsoft YaHei" w:cs="Microsoft YaHei"/>
          <w:spacing w:val="39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1000m</w:t>
      </w:r>
      <w:r>
        <w:rPr>
          <w:rFonts w:ascii="Arial" w:eastAsia="Arial" w:hAnsi="Arial" w:cs="Arial"/>
          <w:spacing w:val="4"/>
          <w:position w:val="7"/>
          <w:sz w:val="11"/>
          <w:szCs w:val="11"/>
        </w:rPr>
        <w:t xml:space="preserve">2 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以下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不宜超过</w:t>
      </w:r>
      <w:r>
        <w:rPr>
          <w:rFonts w:ascii="Microsoft YaHei" w:eastAsia="Microsoft YaHei" w:hAnsi="Microsoft YaHei" w:cs="Microsoft YaHei"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2</w:t>
      </w:r>
      <w:r>
        <w:rPr>
          <w:rFonts w:ascii="Arial" w:eastAsia="Arial" w:hAnsi="Arial" w:cs="Arial"/>
          <w:sz w:val="20"/>
          <w:szCs w:val="20"/>
        </w:rPr>
        <w:t>hm</w:t>
      </w:r>
      <w:r>
        <w:rPr>
          <w:rFonts w:ascii="Arial" w:eastAsia="Arial" w:hAnsi="Arial" w:cs="Arial"/>
          <w:spacing w:val="4"/>
          <w:position w:val="7"/>
          <w:sz w:val="11"/>
          <w:szCs w:val="11"/>
        </w:rPr>
        <w:t>2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其中</w:t>
      </w:r>
      <w:r>
        <w:rPr>
          <w:rFonts w:ascii="Microsoft YaHei" w:eastAsia="Microsoft YaHei" w:hAnsi="Microsoft YaHei" w:cs="Microsoft YaHei"/>
          <w:spacing w:val="4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大型公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 xml:space="preserve">共设施广场宜为 </w:t>
      </w:r>
      <w:r>
        <w:rPr>
          <w:rFonts w:ascii="Arial" w:eastAsia="Arial" w:hAnsi="Arial" w:cs="Arial"/>
          <w:spacing w:val="16"/>
          <w:sz w:val="20"/>
          <w:szCs w:val="20"/>
        </w:rPr>
        <w:t>0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5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3</w:t>
      </w:r>
      <w:r>
        <w:rPr>
          <w:rFonts w:ascii="Arial" w:eastAsia="Arial" w:hAnsi="Arial" w:cs="Arial"/>
          <w:position w:val="-1"/>
          <w:sz w:val="20"/>
          <w:szCs w:val="20"/>
        </w:rPr>
        <w:t>hm</w:t>
      </w:r>
      <w:r>
        <w:rPr>
          <w:rFonts w:ascii="Arial" w:eastAsia="Arial" w:hAnsi="Arial" w:cs="Arial"/>
          <w:spacing w:val="16"/>
          <w:position w:val="7"/>
          <w:sz w:val="11"/>
          <w:szCs w:val="11"/>
        </w:rPr>
        <w:t>2</w:t>
      </w:r>
      <w:r>
        <w:rPr>
          <w:rFonts w:ascii="Arial" w:eastAsia="Arial" w:hAnsi="Arial" w:cs="Arial"/>
          <w:spacing w:val="-9"/>
          <w:position w:val="7"/>
          <w:sz w:val="11"/>
          <w:szCs w:val="11"/>
        </w:rPr>
        <w:t xml:space="preserve"> </w:t>
      </w:r>
      <w:r>
        <w:rPr>
          <w:rFonts w:ascii="Arial" w:eastAsia="Arial" w:hAnsi="Arial" w:cs="Arial"/>
          <w:spacing w:val="128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spacing w:val="5"/>
          <w:w w:val="102"/>
          <w:position w:val="-2"/>
          <w:sz w:val="5"/>
          <w:szCs w:val="5"/>
        </w:rPr>
        <w:t xml:space="preserve">  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>2</w:t>
      </w:r>
      <w:r>
        <w:rPr>
          <w:rFonts w:ascii="Arial" w:eastAsia="Arial" w:hAnsi="Arial" w:cs="Arial"/>
          <w:position w:val="-1"/>
          <w:sz w:val="20"/>
          <w:szCs w:val="20"/>
        </w:rPr>
        <w:t>hm</w:t>
      </w:r>
      <w:r>
        <w:rPr>
          <w:rFonts w:ascii="Arial" w:eastAsia="Arial" w:hAnsi="Arial" w:cs="Arial"/>
          <w:spacing w:val="6"/>
          <w:position w:val="7"/>
          <w:sz w:val="11"/>
          <w:szCs w:val="11"/>
        </w:rPr>
        <w:t>2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；</w:t>
      </w:r>
    </w:p>
    <w:p>
      <w:pPr>
        <w:spacing w:before="44" w:line="196" w:lineRule="auto"/>
        <w:ind w:left="2" w:right="56" w:firstLine="43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以聚集活动为主的公共空间宜为</w:t>
      </w:r>
      <w:r>
        <w:rPr>
          <w:rFonts w:ascii="Microsoft YaHei" w:eastAsia="Microsoft YaHei" w:hAnsi="Microsoft YaHei" w:cs="Microsoft YaHei"/>
          <w:spacing w:val="24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5"/>
          <w:sz w:val="20"/>
          <w:szCs w:val="20"/>
        </w:rPr>
        <w:t>100</w:t>
      </w:r>
      <w:r>
        <w:rPr>
          <w:rFonts w:ascii="Arial" w:eastAsia="Arial" w:hAnsi="Arial" w:cs="Arial"/>
          <w:spacing w:val="14"/>
          <w:sz w:val="20"/>
          <w:szCs w:val="20"/>
        </w:rPr>
        <w:t>0m</w:t>
      </w:r>
      <w:r>
        <w:rPr>
          <w:rFonts w:ascii="Arial" w:eastAsia="Arial" w:hAnsi="Arial" w:cs="Arial"/>
          <w:spacing w:val="14"/>
          <w:position w:val="7"/>
          <w:sz w:val="11"/>
          <w:szCs w:val="11"/>
        </w:rPr>
        <w:t>2</w:t>
      </w:r>
      <w:r>
        <w:rPr>
          <w:rFonts w:ascii="Arial" w:eastAsia="Arial" w:hAnsi="Arial" w:cs="Arial"/>
          <w:spacing w:val="-9"/>
          <w:position w:val="7"/>
          <w:sz w:val="11"/>
          <w:szCs w:val="11"/>
        </w:rPr>
        <w:t xml:space="preserve"> </w:t>
      </w:r>
      <w:r>
        <w:rPr>
          <w:rFonts w:ascii="Arial" w:eastAsia="Arial" w:hAnsi="Arial" w:cs="Arial"/>
          <w:spacing w:val="123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spacing w:val="5"/>
          <w:w w:val="107"/>
          <w:position w:val="-2"/>
          <w:sz w:val="5"/>
          <w:szCs w:val="5"/>
        </w:rPr>
        <w:t xml:space="preserve">  </w:t>
      </w:r>
      <w:r>
        <w:rPr>
          <w:rFonts w:ascii="Arial" w:eastAsia="Arial" w:hAnsi="Arial" w:cs="Arial"/>
          <w:position w:val="-1"/>
          <w:sz w:val="20"/>
          <w:szCs w:val="20"/>
        </w:rPr>
        <w:t>3000m</w:t>
      </w:r>
      <w:r>
        <w:rPr>
          <w:rFonts w:ascii="Arial" w:eastAsia="Arial" w:hAnsi="Arial" w:cs="Arial"/>
          <w:position w:val="7"/>
          <w:sz w:val="11"/>
          <w:szCs w:val="11"/>
        </w:rPr>
        <w:t>2</w:t>
      </w:r>
      <w:r>
        <w:rPr>
          <w:rFonts w:ascii="Microsoft YaHei" w:eastAsia="Microsoft YaHei" w:hAnsi="Microsoft YaHei" w:cs="Microsoft YaHei"/>
          <w:spacing w:val="-29"/>
          <w:w w:val="9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-29"/>
          <w:w w:val="95"/>
          <w:sz w:val="20"/>
          <w:szCs w:val="20"/>
        </w:rPr>
        <w:t>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 xml:space="preserve">休想为主的小型公共空间宜为 </w:t>
      </w:r>
      <w:r>
        <w:rPr>
          <w:rFonts w:ascii="Arial" w:eastAsia="Arial" w:hAnsi="Arial" w:cs="Arial"/>
          <w:spacing w:val="13"/>
          <w:sz w:val="20"/>
          <w:szCs w:val="20"/>
        </w:rPr>
        <w:t>400m</w:t>
      </w:r>
      <w:r>
        <w:rPr>
          <w:rFonts w:ascii="Arial" w:eastAsia="Arial" w:hAnsi="Arial" w:cs="Arial"/>
          <w:spacing w:val="13"/>
          <w:position w:val="7"/>
          <w:sz w:val="11"/>
          <w:szCs w:val="11"/>
        </w:rPr>
        <w:t>2</w:t>
      </w:r>
      <w:r>
        <w:rPr>
          <w:rFonts w:ascii="Arial" w:eastAsia="Arial" w:hAnsi="Arial" w:cs="Arial"/>
          <w:spacing w:val="-8"/>
          <w:position w:val="7"/>
          <w:sz w:val="11"/>
          <w:szCs w:val="11"/>
        </w:rPr>
        <w:t xml:space="preserve"> </w:t>
      </w:r>
      <w:r>
        <w:rPr>
          <w:rFonts w:ascii="Arial" w:eastAsia="Arial" w:hAnsi="Arial" w:cs="Arial"/>
          <w:spacing w:val="133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position w:val="-2"/>
          <w:sz w:val="5"/>
          <w:szCs w:val="5"/>
        </w:rPr>
        <w:t xml:space="preserve">   </w:t>
      </w:r>
      <w:r>
        <w:rPr>
          <w:rFonts w:ascii="Arial" w:eastAsia="Arial" w:hAnsi="Arial" w:cs="Arial"/>
          <w:position w:val="-1"/>
          <w:sz w:val="20"/>
          <w:szCs w:val="20"/>
        </w:rPr>
        <w:t>1000m</w:t>
      </w:r>
      <w:r>
        <w:rPr>
          <w:rFonts w:ascii="Arial" w:eastAsia="Arial" w:hAnsi="Arial" w:cs="Arial"/>
          <w:position w:val="7"/>
          <w:sz w:val="11"/>
          <w:szCs w:val="11"/>
        </w:rPr>
        <w:t>2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>；</w:t>
      </w:r>
    </w:p>
    <w:p>
      <w:pPr>
        <w:spacing w:before="59" w:line="204" w:lineRule="auto"/>
        <w:ind w:left="6" w:right="56" w:firstLine="427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55"/>
          <w:footerReference w:type="default" r:id="rId56"/>
          <w:pgSz w:w="8219" w:h="11904"/>
          <w:pgMar w:top="400" w:right="1115" w:bottom="1051" w:left="1167" w:header="0" w:footer="825" w:gutter="0"/>
          <w:pgNumType w:start="31"/>
          <w:cols w:space="708"/>
        </w:sect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绿地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广场等公共空间的设置可根据周边环境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建筑关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系等因素确定朝向，宜为向南，受地块条件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限制时，可向东或向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z w:val="20"/>
          <w:szCs w:val="20"/>
        </w:rPr>
        <w:t>西，不宜向北；</w:t>
      </w:r>
    </w:p>
    <w:p>
      <w:pPr>
        <w:spacing w:before="56" w:line="204" w:lineRule="auto"/>
        <w:ind w:left="5" w:right="56" w:firstLine="43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4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绿地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广场等公共空间周边应形成积极界面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周边建筑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宜配备零售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、餐饮等服务性功能，设置开放透明外墙，且周边建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筑出入口宜朝向公共空间；</w:t>
      </w:r>
    </w:p>
    <w:p>
      <w:pPr>
        <w:spacing w:before="52" w:line="193" w:lineRule="auto"/>
        <w:ind w:left="13" w:firstLine="42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5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新建地区的小型绿地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广场等公共空间周边高宽比以</w:t>
      </w:r>
      <w:r>
        <w:rPr>
          <w:rFonts w:ascii="Microsoft YaHei" w:eastAsia="Microsoft YaHei" w:hAnsi="Microsoft YaHei" w:cs="Microsoft YaHei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4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2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spacing w:val="6"/>
          <w:w w:val="102"/>
          <w:position w:val="-2"/>
          <w:sz w:val="5"/>
          <w:szCs w:val="5"/>
        </w:rPr>
        <w:t xml:space="preserve">  </w:t>
      </w:r>
      <w:r>
        <w:rPr>
          <w:rFonts w:ascii="Arial" w:eastAsia="Arial" w:hAnsi="Arial" w:cs="Arial"/>
          <w:spacing w:val="16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为宜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</w:p>
    <w:p>
      <w:pPr>
        <w:spacing w:line="193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57"/>
          <w:footerReference w:type="default" r:id="rId58"/>
          <w:type w:val="nextPage"/>
          <w:pgSz w:w="8219" w:h="11904"/>
          <w:pgMar w:top="400" w:right="1115" w:bottom="1051" w:left="1167" w:header="0" w:footer="825" w:gutter="0"/>
          <w:pgNumType w:start="32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85" w:line="205" w:lineRule="auto"/>
        <w:ind w:left="3" w:right="99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6"/>
          <w:position w:val="-1"/>
          <w:sz w:val="20"/>
          <w:szCs w:val="20"/>
        </w:rPr>
        <w:t>5-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应保障小型绿地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广场等公共空间的步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行可达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服务半径不宜超过</w:t>
      </w:r>
      <w:r>
        <w:rPr>
          <w:rFonts w:ascii="Microsoft YaHei" w:eastAsia="Microsoft YaHei" w:hAnsi="Microsoft YaHei" w:cs="Microsoft YaHei"/>
          <w:spacing w:val="32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6"/>
          <w:sz w:val="20"/>
          <w:szCs w:val="20"/>
        </w:rPr>
        <w:t>300m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公共活动中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心区及居住人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口密度大于</w:t>
      </w:r>
      <w:r>
        <w:rPr>
          <w:rFonts w:ascii="Arial" w:eastAsia="Arial" w:hAnsi="Arial" w:cs="Arial"/>
          <w:spacing w:val="15"/>
          <w:sz w:val="20"/>
          <w:szCs w:val="20"/>
        </w:rPr>
        <w:t>2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5"/>
          <w:sz w:val="20"/>
          <w:szCs w:val="20"/>
        </w:rPr>
        <w:t>5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万人/</w:t>
      </w:r>
      <w:r>
        <w:rPr>
          <w:rFonts w:ascii="Arial" w:eastAsia="Arial" w:hAnsi="Arial" w:cs="Arial"/>
          <w:sz w:val="20"/>
          <w:szCs w:val="20"/>
        </w:rPr>
        <w:t>km</w:t>
      </w:r>
      <w:r>
        <w:rPr>
          <w:rFonts w:ascii="Arial" w:eastAsia="Arial" w:hAnsi="Arial" w:cs="Arial"/>
          <w:spacing w:val="15"/>
          <w:position w:val="7"/>
          <w:sz w:val="11"/>
          <w:szCs w:val="11"/>
        </w:rPr>
        <w:t>2</w:t>
      </w:r>
      <w:r>
        <w:rPr>
          <w:rFonts w:ascii="Arial" w:eastAsia="Arial" w:hAnsi="Arial" w:cs="Arial"/>
          <w:spacing w:val="11"/>
          <w:position w:val="7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的社区生活圈内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服务半径不宜超过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150m</w:t>
      </w:r>
      <w:r>
        <w:rPr>
          <w:rFonts w:ascii="Arial" w:eastAsia="Arial" w:hAnsi="Arial" w:cs="Arial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20"/>
          <w:szCs w:val="20"/>
        </w:rPr>
        <w:t>。</w:t>
      </w:r>
    </w:p>
    <w:p>
      <w:pPr>
        <w:spacing w:before="56" w:line="207" w:lineRule="auto"/>
        <w:ind w:left="2" w:right="99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内绿地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广场等公共空间宜结合社区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公共活动中心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公共服务设施设置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-35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有条件的区域可结合绿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地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广场等公共空间推进全民健身和公共体育设施建设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-38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可采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取以下措施：</w:t>
      </w:r>
    </w:p>
    <w:p>
      <w:pPr>
        <w:spacing w:before="58" w:line="202" w:lineRule="auto"/>
        <w:ind w:left="2" w:right="99" w:firstLine="44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在符合相关规划前提下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宜充分利用市场化机制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盘活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利用旧住区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旧厂区及城中村改造和拆违后的土地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增补社区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公共活动场地；</w:t>
      </w:r>
    </w:p>
    <w:p>
      <w:pPr>
        <w:spacing w:before="59" w:line="202" w:lineRule="auto"/>
        <w:ind w:left="5" w:firstLine="43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8"/>
          <w:position w:val="-2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2"/>
          <w:position w:val="-2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有条件的郊野公园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、城市公园，在符合《公园设计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规范》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GB</w:t>
      </w:r>
      <w:r>
        <w:rPr>
          <w:rFonts w:ascii="Arial" w:eastAsia="Arial" w:hAnsi="Arial" w:cs="Arial"/>
          <w:spacing w:val="13"/>
          <w:position w:val="-1"/>
          <w:sz w:val="20"/>
          <w:szCs w:val="20"/>
        </w:rPr>
        <w:t>51192-</w:t>
      </w:r>
      <w:r>
        <w:rPr>
          <w:rFonts w:ascii="Arial" w:eastAsia="Arial" w:hAnsi="Arial" w:cs="Arial"/>
          <w:spacing w:val="13"/>
          <w:sz w:val="20"/>
          <w:szCs w:val="20"/>
        </w:rPr>
        <w:t>2021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相关规定的基础上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宜适当提高公园铺装面积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用于配建一定比例的健身设施；</w:t>
      </w:r>
    </w:p>
    <w:p>
      <w:pPr>
        <w:spacing w:before="61" w:line="195" w:lineRule="auto"/>
        <w:ind w:left="22" w:right="99" w:firstLine="42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可结合现有公园建设铺设天然草皮的非标足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球场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可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围绕现有的湖泊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、绿地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、山坡等，因地制宜布局体育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设施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。</w:t>
      </w:r>
    </w:p>
    <w:p>
      <w:pPr>
        <w:spacing w:before="58" w:line="196" w:lineRule="auto"/>
        <w:ind w:left="3" w:right="99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8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已建地区可通过垂直绿化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存量挖潜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开放共享等方式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增加社区生活圈的绿化空间，可采取以下方式：</w:t>
      </w:r>
    </w:p>
    <w:p>
      <w:pPr>
        <w:spacing w:before="59" w:line="195" w:lineRule="auto"/>
        <w:ind w:left="5" w:right="99" w:firstLine="45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既有社区公共绿地面积不足时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可多层次开发利用绿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地，提供多高程绿化休想空间，增加垂直绿化；</w:t>
      </w:r>
    </w:p>
    <w:p>
      <w:pPr>
        <w:spacing w:before="61" w:line="195" w:lineRule="auto"/>
        <w:ind w:left="8" w:right="99" w:firstLine="43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既有社区可结合边角地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废弃地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闲置地的改造建设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" 口袋公园”"</w:t>
      </w:r>
      <w:r>
        <w:rPr>
          <w:rFonts w:ascii="Microsoft YaHei" w:eastAsia="Microsoft YaHei" w:hAnsi="Microsoft YaHei" w:cs="Microsoft YaHei"/>
          <w:spacing w:val="-3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0"/>
          <w:szCs w:val="20"/>
        </w:rPr>
        <w:t>袖珍公园”等；</w:t>
      </w:r>
    </w:p>
    <w:p>
      <w:pPr>
        <w:spacing w:before="59" w:line="195" w:lineRule="auto"/>
        <w:ind w:left="5" w:right="99" w:firstLine="428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59"/>
          <w:footerReference w:type="default" r:id="rId60"/>
          <w:pgSz w:w="8219" w:h="11904"/>
          <w:pgMar w:top="400" w:right="1071" w:bottom="1051" w:left="1167" w:header="0" w:footer="825" w:gutter="0"/>
          <w:pgNumType w:start="33"/>
          <w:cols w:space="708"/>
        </w:sectPr>
      </w:pPr>
      <w:r>
        <w:rPr>
          <w:rFonts w:ascii="Microsoft YaHei" w:eastAsia="Microsoft YaHei" w:hAnsi="Microsoft YaHei" w:cs="Microsoft YaHei"/>
          <w:spacing w:val="1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商业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办公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居住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学校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文化等用地的附属绿地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广场可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在不对周边业主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、居民生活和工作造成影响的条件下对外开放；</w:t>
      </w:r>
    </w:p>
    <w:p>
      <w:pPr>
        <w:spacing w:before="59" w:line="192" w:lineRule="auto"/>
        <w:ind w:left="18" w:right="99" w:firstLine="42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>4</w:t>
      </w:r>
      <w:r>
        <w:rPr>
          <w:rFonts w:ascii="Microsoft YaHei" w:eastAsia="Microsoft YaHei" w:hAnsi="Microsoft YaHei" w:cs="Microsoft YaHei"/>
          <w:spacing w:val="8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多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高层民用建筑底层可架空用于开放空间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绿化空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间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通道等公共功能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且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24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小时开放使用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。</w:t>
      </w:r>
    </w:p>
    <w:p>
      <w:pPr>
        <w:spacing w:before="54" w:line="204" w:lineRule="auto"/>
        <w:ind w:left="4" w:right="99" w:hanging="4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老城区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可通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过环境整治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增补设施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优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化管理等方式改造提升绿地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广场等公共空间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可采取以下方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式：</w:t>
      </w:r>
    </w:p>
    <w:p>
      <w:pPr>
        <w:spacing w:before="57" w:line="175" w:lineRule="auto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可通过改造宅间绿地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空地等空间增加公共活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动场地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，</w:t>
      </w:r>
    </w:p>
    <w:p>
      <w:pPr>
        <w:spacing w:line="175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61"/>
          <w:footerReference w:type="default" r:id="rId62"/>
          <w:type w:val="nextPage"/>
          <w:pgSz w:w="8219" w:h="11904"/>
          <w:pgMar w:top="400" w:right="1071" w:bottom="1051" w:left="1167" w:header="0" w:footer="825" w:gutter="0"/>
          <w:pgNumType w:start="34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86" w:line="182" w:lineRule="auto"/>
        <w:ind w:left="5"/>
        <w:rPr>
          <w:rFonts w:ascii="Microsoft YaHei" w:eastAsia="Microsoft YaHei" w:hAnsi="Microsoft YaHei" w:cs="Microsoft YaHei"/>
          <w:sz w:val="20"/>
          <w:szCs w:val="20"/>
        </w:rPr>
      </w:pPr>
      <w:bookmarkStart w:id="22" w:name="bookmark29"/>
      <w:bookmarkEnd w:id="22"/>
      <w:bookmarkStart w:id="23" w:name="bookmark36"/>
      <w:bookmarkEnd w:id="23"/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广场舞等活动场地的设置不应扰民；</w:t>
      </w:r>
    </w:p>
    <w:p>
      <w:pPr>
        <w:spacing w:before="57" w:line="196" w:lineRule="auto"/>
        <w:ind w:left="3" w:right="83" w:firstLine="4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可对使用状况较差的广场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绿地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屋顶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桥下等空间进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行再设计，使消极空间转化为活力空间；</w:t>
      </w:r>
    </w:p>
    <w:p>
      <w:pPr>
        <w:spacing w:before="61" w:line="200" w:lineRule="auto"/>
        <w:ind w:left="2" w:right="83" w:firstLine="44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历史地段的公共空间及传统建筑周边的公共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空间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在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保护历史文化特色价值的基础上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可引入现代设施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满足当代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公共活动需求</w:t>
      </w:r>
      <w:r>
        <w:rPr>
          <w:rFonts w:ascii="Microsoft YaHei" w:eastAsia="Microsoft YaHei" w:hAnsi="Microsoft YaHei" w:cs="Microsoft YaHei"/>
          <w:spacing w:val="-2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。</w:t>
      </w:r>
    </w:p>
    <w:p>
      <w:pPr>
        <w:spacing w:before="216" w:line="176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5. 3 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绿色出行</w:t>
      </w:r>
    </w:p>
    <w:p>
      <w:pPr>
        <w:spacing w:before="195" w:line="197" w:lineRule="auto"/>
        <w:ind w:left="3" w:right="83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应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依托城市路网系统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构建完整的步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行网络，并符合以下要求：</w:t>
      </w:r>
    </w:p>
    <w:p>
      <w:pPr>
        <w:spacing w:before="63" w:line="204" w:lineRule="auto"/>
        <w:ind w:left="5" w:firstLine="442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商场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医院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学校等公共场所集中路段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火车站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码头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长途汽车站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快速公交车站所在路段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其人行道宽度不宜小于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>4m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城市中心区等人员活动聚集区人行道宽度不宜小于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spacing w:val="7"/>
          <w:sz w:val="20"/>
          <w:szCs w:val="20"/>
        </w:rPr>
        <w:t>3m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 xml:space="preserve">其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 xml:space="preserve">它地段不宜小于 </w:t>
      </w:r>
      <w:r>
        <w:rPr>
          <w:rFonts w:ascii="Arial" w:eastAsia="Arial" w:hAnsi="Arial" w:cs="Arial"/>
          <w:spacing w:val="10"/>
          <w:sz w:val="20"/>
          <w:szCs w:val="20"/>
        </w:rPr>
        <w:t>2m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；</w:t>
      </w:r>
    </w:p>
    <w:p>
      <w:pPr>
        <w:spacing w:before="52" w:line="202" w:lineRule="auto"/>
        <w:ind w:left="3" w:right="83" w:firstLine="439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居住社区的步行通道间距宜为</w:t>
      </w:r>
      <w:r>
        <w:rPr>
          <w:rFonts w:ascii="Microsoft YaHei" w:eastAsia="Microsoft YaHei" w:hAnsi="Microsoft YaHei" w:cs="Microsoft YaHei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5"/>
          <w:sz w:val="20"/>
          <w:szCs w:val="20"/>
        </w:rPr>
        <w:t>100m</w:t>
      </w:r>
      <w:r>
        <w:rPr>
          <w:rFonts w:ascii="Arial" w:eastAsia="Arial" w:hAnsi="Arial" w:cs="Arial"/>
          <w:spacing w:val="-2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4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spacing w:val="2"/>
          <w:position w:val="-2"/>
          <w:sz w:val="5"/>
          <w:szCs w:val="5"/>
        </w:rPr>
        <w:t xml:space="preserve">   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180m</w:t>
      </w:r>
      <w:r>
        <w:rPr>
          <w:rFonts w:ascii="Arial" w:eastAsia="Arial" w:hAnsi="Arial" w:cs="Arial"/>
          <w:spacing w:val="-1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公共活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动中心区与交通枢纽地区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步行通道间距宜为</w:t>
      </w:r>
      <w:r>
        <w:rPr>
          <w:rFonts w:ascii="Microsoft YaHei" w:eastAsia="Microsoft YaHei" w:hAnsi="Microsoft YaHei" w:cs="Microsoft YaHei"/>
          <w:spacing w:val="24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80m</w:t>
      </w:r>
      <w:r>
        <w:rPr>
          <w:rFonts w:ascii="Arial" w:eastAsia="Arial" w:hAnsi="Arial" w:cs="Arial"/>
          <w:spacing w:val="-2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4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spacing w:val="1"/>
          <w:position w:val="-2"/>
          <w:sz w:val="5"/>
          <w:szCs w:val="5"/>
        </w:rPr>
        <w:t xml:space="preserve">   </w:t>
      </w:r>
      <w:r>
        <w:rPr>
          <w:rFonts w:ascii="Arial" w:eastAsia="Arial" w:hAnsi="Arial" w:cs="Arial"/>
          <w:spacing w:val="-5"/>
          <w:position w:val="-1"/>
          <w:sz w:val="20"/>
          <w:szCs w:val="20"/>
        </w:rPr>
        <w:t>120m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-5"/>
          <w:sz w:val="20"/>
          <w:szCs w:val="20"/>
        </w:rPr>
        <w:t>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 xml:space="preserve">行网络密度宜在 </w:t>
      </w:r>
      <w:r>
        <w:rPr>
          <w:rFonts w:ascii="Arial" w:eastAsia="Arial" w:hAnsi="Arial" w:cs="Arial"/>
          <w:spacing w:val="19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km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/</w:t>
      </w:r>
      <w:r>
        <w:rPr>
          <w:rFonts w:ascii="Arial" w:eastAsia="Arial" w:hAnsi="Arial" w:cs="Arial"/>
          <w:sz w:val="20"/>
          <w:szCs w:val="20"/>
        </w:rPr>
        <w:t>km</w:t>
      </w:r>
      <w:r>
        <w:rPr>
          <w:rFonts w:ascii="Arial" w:eastAsia="Arial" w:hAnsi="Arial" w:cs="Arial"/>
          <w:spacing w:val="19"/>
          <w:position w:val="8"/>
          <w:sz w:val="11"/>
          <w:szCs w:val="11"/>
        </w:rPr>
        <w:t>2</w:t>
      </w:r>
      <w:r>
        <w:rPr>
          <w:rFonts w:ascii="Arial" w:eastAsia="Arial" w:hAnsi="Arial" w:cs="Arial"/>
          <w:spacing w:val="-6"/>
          <w:position w:val="8"/>
          <w:sz w:val="11"/>
          <w:szCs w:val="11"/>
        </w:rPr>
        <w:t xml:space="preserve"> </w:t>
      </w:r>
      <w:r>
        <w:rPr>
          <w:rFonts w:ascii="Arial" w:eastAsia="Arial" w:hAnsi="Arial" w:cs="Arial"/>
          <w:spacing w:val="125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position w:val="-2"/>
          <w:sz w:val="5"/>
          <w:szCs w:val="5"/>
        </w:rPr>
        <w:t xml:space="preserve">   </w:t>
      </w:r>
      <w:r>
        <w:rPr>
          <w:rFonts w:ascii="Arial" w:eastAsia="Arial" w:hAnsi="Arial" w:cs="Arial"/>
          <w:spacing w:val="14"/>
          <w:sz w:val="20"/>
          <w:szCs w:val="20"/>
        </w:rPr>
        <w:t>14</w:t>
      </w:r>
      <w:r>
        <w:rPr>
          <w:rFonts w:ascii="Arial" w:eastAsia="Arial" w:hAnsi="Arial" w:cs="Arial"/>
          <w:sz w:val="20"/>
          <w:szCs w:val="20"/>
        </w:rPr>
        <w:t>km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/</w:t>
      </w:r>
      <w:r>
        <w:rPr>
          <w:rFonts w:ascii="Arial" w:eastAsia="Arial" w:hAnsi="Arial" w:cs="Arial"/>
          <w:sz w:val="20"/>
          <w:szCs w:val="20"/>
        </w:rPr>
        <w:t>km</w:t>
      </w:r>
      <w:r>
        <w:rPr>
          <w:rFonts w:ascii="Arial" w:eastAsia="Arial" w:hAnsi="Arial" w:cs="Arial"/>
          <w:spacing w:val="14"/>
          <w:position w:val="8"/>
          <w:sz w:val="11"/>
          <w:szCs w:val="11"/>
        </w:rPr>
        <w:t>2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；</w:t>
      </w:r>
    </w:p>
    <w:p>
      <w:pPr>
        <w:spacing w:before="59" w:line="192" w:lineRule="auto"/>
        <w:ind w:left="11" w:right="83" w:firstLine="43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更新地区可通过开放内部或增加街巷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设置空中连廊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和地下通道等方式织密步行网络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</w:p>
    <w:p>
      <w:pPr>
        <w:spacing w:before="55" w:line="206" w:lineRule="auto"/>
        <w:ind w:left="1" w:right="83" w:hanging="1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9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9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应依托步行道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步行专用路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自行车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道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、自行车专用路，构建连续的慢行网络，加强居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民与社区各类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设施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、公共空间及人流集中场所的联系，可采取以下方式：</w:t>
      </w:r>
    </w:p>
    <w:p>
      <w:pPr>
        <w:spacing w:before="61" w:line="175" w:lineRule="auto"/>
        <w:ind w:left="44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可设置通往或朝向重要公共景观节点的慢行道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；</w:t>
      </w:r>
    </w:p>
    <w:p>
      <w:pPr>
        <w:spacing w:before="47" w:line="193" w:lineRule="auto"/>
        <w:ind w:left="21" w:right="4" w:firstLine="418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63"/>
          <w:footerReference w:type="default" r:id="rId64"/>
          <w:pgSz w:w="8219" w:h="11904"/>
          <w:pgMar w:top="400" w:right="1088" w:bottom="1051" w:left="1167" w:header="0" w:footer="827" w:gutter="0"/>
          <w:pgNumType w:start="35"/>
          <w:cols w:space="708"/>
        </w:sectPr>
      </w:pPr>
      <w:r>
        <w:rPr>
          <w:rFonts w:ascii="Microsoft YaHei" w:eastAsia="Microsoft YaHei" w:hAnsi="Microsoft YaHei" w:cs="Microsoft YaHei"/>
          <w:spacing w:val="15"/>
          <w:position w:val="-2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5"/>
          <w:position w:val="-2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可开放既有公共设施（如商办建筑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、文化体育设施等）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的内部通道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地块之间的连通道等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提升慢行道的可达性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。</w:t>
      </w:r>
    </w:p>
    <w:p>
      <w:pPr>
        <w:spacing w:before="55" w:line="201" w:lineRule="auto"/>
        <w:ind w:left="6" w:right="83" w:hanging="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内以休闲活动为主的滨水步道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应设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置连续的</w:t>
      </w: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自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行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车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绿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道 和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健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身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道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并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宜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设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置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定 的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绿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化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带</w:t>
      </w:r>
      <w:r>
        <w:rPr>
          <w:rFonts w:ascii="Microsoft YaHei" w:eastAsia="Microsoft YaHei" w:hAnsi="Microsoft YaHei" w:cs="Microsoft YaHei"/>
          <w:spacing w:val="-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-6"/>
          <w:sz w:val="20"/>
          <w:szCs w:val="20"/>
        </w:rPr>
        <w:t>每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800m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宜设置一定的休想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健身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服务等设施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。</w:t>
      </w:r>
    </w:p>
    <w:p>
      <w:pPr>
        <w:spacing w:before="56" w:line="197" w:lineRule="auto"/>
        <w:ind w:left="4" w:right="83" w:hanging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应提高公交站点的服务覆盖范围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建安全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、便捷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、无障碍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、舒适的公交乘车环境，并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符合以下要求：</w:t>
      </w:r>
    </w:p>
    <w:p>
      <w:pPr>
        <w:spacing w:line="197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65"/>
          <w:footerReference w:type="default" r:id="rId66"/>
          <w:type w:val="nextPage"/>
          <w:pgSz w:w="8219" w:h="11904"/>
          <w:pgMar w:top="400" w:right="1088" w:bottom="1051" w:left="1167" w:header="0" w:footer="827" w:gutter="0"/>
          <w:pgNumType w:start="36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86" w:line="195" w:lineRule="auto"/>
        <w:ind w:left="9" w:right="83" w:firstLine="44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非机动车道宜设置在公交停靠站外侧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且应在非机动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车道上设置人行横道线，同时满足无障碍通行的要求；</w:t>
      </w:r>
    </w:p>
    <w:p>
      <w:pPr>
        <w:spacing w:before="60" w:line="192" w:lineRule="auto"/>
        <w:ind w:left="7" w:right="83" w:firstLine="44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城市公共交通不同方式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不同线路之间的换乘距离不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宜大于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spacing w:val="8"/>
          <w:sz w:val="20"/>
          <w:szCs w:val="20"/>
        </w:rPr>
        <w:t>200m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换乘时间宜控制在</w:t>
      </w:r>
      <w:r>
        <w:rPr>
          <w:rFonts w:ascii="Microsoft YaHei" w:eastAsia="Microsoft YaHei" w:hAnsi="Microsoft YaHei" w:cs="Microsoft YaHei"/>
          <w:spacing w:val="23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8"/>
          <w:sz w:val="20"/>
          <w:szCs w:val="20"/>
        </w:rPr>
        <w:t>10</w:t>
      </w:r>
      <w:r>
        <w:rPr>
          <w:rFonts w:ascii="Arial" w:eastAsia="Arial" w:hAnsi="Arial" w:cs="Arial"/>
          <w:sz w:val="20"/>
          <w:szCs w:val="20"/>
        </w:rPr>
        <w:t>min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以内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；</w:t>
      </w:r>
    </w:p>
    <w:p>
      <w:pPr>
        <w:spacing w:before="54" w:line="194" w:lineRule="auto"/>
        <w:ind w:left="37" w:right="83" w:firstLine="39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1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公交站点设置宜满足</w:t>
      </w:r>
      <w:r>
        <w:rPr>
          <w:rFonts w:ascii="Microsoft YaHei" w:eastAsia="Microsoft YaHei" w:hAnsi="Microsoft YaHei" w:cs="Microsoft YaHei"/>
          <w:spacing w:val="23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4"/>
          <w:sz w:val="20"/>
          <w:szCs w:val="20"/>
        </w:rPr>
        <w:t>500m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服务半径内全覆盖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其中人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口密集地区宜满足 </w:t>
      </w:r>
      <w:r>
        <w:rPr>
          <w:rFonts w:ascii="Arial" w:eastAsia="Arial" w:hAnsi="Arial" w:cs="Arial"/>
          <w:spacing w:val="14"/>
          <w:sz w:val="20"/>
          <w:szCs w:val="20"/>
        </w:rPr>
        <w:t>300m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服务半径内全覆盖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；</w:t>
      </w:r>
    </w:p>
    <w:p>
      <w:pPr>
        <w:spacing w:before="58" w:line="196" w:lineRule="auto"/>
        <w:ind w:left="5" w:right="83" w:firstLine="44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公交站点和公共自行车服务点宜在公共设施</w:t>
      </w:r>
      <w:r>
        <w:rPr>
          <w:rFonts w:ascii="Microsoft YaHei" w:eastAsia="Microsoft YaHei" w:hAnsi="Microsoft YaHei" w:cs="Microsoft YaHei"/>
          <w:spacing w:val="-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公园绿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地等人流集中的公共空间附近设置；</w:t>
      </w:r>
    </w:p>
    <w:p>
      <w:pPr>
        <w:spacing w:before="60" w:line="195" w:lineRule="auto"/>
        <w:ind w:left="6" w:right="83" w:firstLine="44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公交车站应布置方便行人休憊的设施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如避免日晒雨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淋的候车亭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、座位或可倚靠的设施等；</w:t>
      </w:r>
    </w:p>
    <w:p>
      <w:pPr>
        <w:spacing w:before="62" w:line="202" w:lineRule="auto"/>
        <w:ind w:left="2" w:right="83" w:firstLine="43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1"/>
          <w:position w:val="-1"/>
          <w:sz w:val="20"/>
          <w:szCs w:val="20"/>
        </w:rPr>
        <w:t>6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社区公交站点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交通枢纽等周边区域</w:t>
      </w:r>
      <w:r>
        <w:rPr>
          <w:rFonts w:ascii="Microsoft YaHei" w:eastAsia="Microsoft YaHei" w:hAnsi="Microsoft YaHei" w:cs="Microsoft YaHei"/>
          <w:spacing w:val="2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应根据换乘需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求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在各出入口就近设置自行车停车设施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为驻车换乘提供良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好条件；</w:t>
      </w:r>
    </w:p>
    <w:p>
      <w:pPr>
        <w:spacing w:before="59" w:line="208" w:lineRule="auto"/>
        <w:ind w:left="6" w:right="83" w:firstLine="42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7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公交停靠站周边出租车与小汽车停靠点距离公交停靠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站不宜小于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"/>
          <w:sz w:val="20"/>
          <w:szCs w:val="20"/>
        </w:rPr>
        <w:t>50m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且不应与公交停靠站合设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当存在相互干扰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时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公交停靠站应优先设置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当行人不可避免要穿越公交车道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时，应明确标示，人行横道应布置在公交车道末端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。</w:t>
      </w:r>
    </w:p>
    <w:p>
      <w:pPr>
        <w:spacing w:before="54" w:line="194" w:lineRule="auto"/>
        <w:ind w:left="1" w:right="83" w:hanging="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5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的轨道站点出入口应保障与地面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公交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设施的便捷换乘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设置连续的步行通道和明显的交通导向标志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。</w:t>
      </w:r>
    </w:p>
    <w:p>
      <w:pPr>
        <w:spacing w:before="54" w:line="198" w:lineRule="auto"/>
        <w:ind w:left="12" w:right="83" w:hanging="1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6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的轨道站点与公交站点换乘时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步行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系统应便捷通畅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、导向性强，不宜多条通道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、多方向空间贯通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。</w:t>
      </w:r>
    </w:p>
    <w:p>
      <w:pPr>
        <w:spacing w:before="216" w:line="173" w:lineRule="auto"/>
        <w:ind w:left="157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5. 4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绿色环境卫生设施建设</w:t>
      </w:r>
    </w:p>
    <w:p>
      <w:pPr>
        <w:spacing w:before="197" w:line="208" w:lineRule="auto"/>
        <w:ind w:left="2" w:hanging="2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67"/>
          <w:footerReference w:type="default" r:id="rId68"/>
          <w:pgSz w:w="8219" w:h="11904"/>
          <w:pgMar w:top="400" w:right="1088" w:bottom="1051" w:left="1167" w:header="0" w:footer="825" w:gutter="0"/>
          <w:pgNumType w:start="37"/>
          <w:cols w:space="708"/>
        </w:sectPr>
      </w:pP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4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4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52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4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生活垃圾应实行可回收物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有害垃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>圾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>、厨余垃圾（湿垃圾）、其他垃圾（干垃圾）四分类，广场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>、公园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</w:p>
    <w:p>
      <w:pPr>
        <w:spacing w:before="197" w:line="208" w:lineRule="auto"/>
        <w:ind w:left="2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城市干道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体育场馆等公共区域可根据垃圾产生实际情况实行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除厨余垃圾（湿垃圾）之外的三分法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。</w:t>
      </w:r>
    </w:p>
    <w:p>
      <w:pPr>
        <w:spacing w:before="61" w:line="198" w:lineRule="auto"/>
        <w:ind w:left="4" w:right="83" w:hanging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居住区配置生活垃圾分类投放容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器应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符合以下要求：</w:t>
      </w:r>
    </w:p>
    <w:p>
      <w:pPr>
        <w:spacing w:before="58" w:line="175" w:lineRule="auto"/>
        <w:ind w:left="44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8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不宜在楼梯间设置生活垃圾收集容器</w:t>
      </w:r>
      <w:r>
        <w:rPr>
          <w:rFonts w:ascii="Microsoft YaHei" w:eastAsia="Microsoft YaHei" w:hAnsi="Microsoft YaHei" w:cs="Microsoft YaHei"/>
          <w:spacing w:val="18"/>
          <w:position w:val="1"/>
          <w:sz w:val="20"/>
          <w:szCs w:val="20"/>
        </w:rPr>
        <w:t>；</w:t>
      </w:r>
    </w:p>
    <w:p>
      <w:pPr>
        <w:spacing w:line="175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69"/>
          <w:footerReference w:type="default" r:id="rId70"/>
          <w:type w:val="nextPage"/>
          <w:pgSz w:w="8219" w:h="11904"/>
          <w:pgMar w:top="400" w:right="1088" w:bottom="1051" w:left="1167" w:header="0" w:footer="825" w:gutter="0"/>
          <w:pgNumType w:start="38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86" w:line="201" w:lineRule="auto"/>
        <w:ind w:left="3" w:firstLine="4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至少应设置</w:t>
      </w:r>
      <w:r>
        <w:rPr>
          <w:rFonts w:ascii="Microsoft YaHei" w:eastAsia="Microsoft YaHei" w:hAnsi="Microsoft YaHei" w:cs="Microsoft YaHei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2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个可回收物收集点</w:t>
      </w:r>
      <w:r>
        <w:rPr>
          <w:rFonts w:ascii="Microsoft YaHei" w:eastAsia="Microsoft YaHei" w:hAnsi="Microsoft YaHei" w:cs="Microsoft YaHei"/>
          <w:spacing w:val="2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配置相应的可</w:t>
      </w:r>
      <w:r>
        <w:rPr>
          <w:rFonts w:ascii="Microsoft YaHei" w:eastAsia="Microsoft YaHei" w:hAnsi="Microsoft YaHei" w:cs="Microsoft YaHei"/>
          <w:spacing w:val="21"/>
          <w:sz w:val="20"/>
          <w:szCs w:val="20"/>
        </w:rPr>
        <w:t>回收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物收集容器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因条件限制无法设置可回收物收集容器的地区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应在公共区域设置明显标识，公布回收电话，开展预约回收；</w:t>
      </w:r>
    </w:p>
    <w:p>
      <w:pPr>
        <w:spacing w:before="56" w:line="190" w:lineRule="auto"/>
        <w:ind w:left="3" w:right="75" w:firstLine="43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按照便利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快捷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安全原则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应设置有害垃圾容器</w:t>
      </w:r>
      <w:r>
        <w:rPr>
          <w:rFonts w:ascii="Microsoft YaHei" w:eastAsia="Microsoft YaHei" w:hAnsi="Microsoft YaHei" w:cs="Microsoft YaHei"/>
          <w:spacing w:val="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并进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行监管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至少应设置</w:t>
      </w:r>
      <w:r>
        <w:rPr>
          <w:rFonts w:ascii="Microsoft YaHei" w:eastAsia="Microsoft YaHei" w:hAnsi="Microsoft YaHei" w:cs="Microsoft YaHei"/>
          <w:spacing w:val="33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个有害垃圾收集点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；</w:t>
      </w:r>
    </w:p>
    <w:p>
      <w:pPr>
        <w:spacing w:before="55" w:line="193" w:lineRule="auto"/>
        <w:ind w:left="22" w:right="75" w:firstLine="41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4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餐厨垃圾和其他垃圾分类收集容器的设置应以方便居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民投放和适应垃圾产量为原则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服务半径不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宜超过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spacing w:val="9"/>
          <w:sz w:val="20"/>
          <w:szCs w:val="20"/>
        </w:rPr>
        <w:t>70m</w:t>
      </w:r>
      <w:r>
        <w:rPr>
          <w:rFonts w:ascii="Arial" w:eastAsia="Arial" w:hAnsi="Arial" w:cs="Arial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。</w:t>
      </w:r>
    </w:p>
    <w:p>
      <w:pPr>
        <w:spacing w:before="51" w:line="201" w:lineRule="auto"/>
        <w:ind w:left="4" w:right="75" w:hanging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9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9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内新建小区宜按每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spacing w:val="9"/>
          <w:sz w:val="20"/>
          <w:szCs w:val="20"/>
        </w:rPr>
        <w:t>300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户</w:t>
      </w:r>
      <w:r>
        <w:rPr>
          <w:rFonts w:ascii="Microsoft YaHei" w:eastAsia="Microsoft YaHei" w:hAnsi="Microsoft YaHei" w:cs="Microsoft YaHei"/>
          <w:spacing w:val="-2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40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spacing w:val="1"/>
          <w:position w:val="-2"/>
          <w:sz w:val="5"/>
          <w:szCs w:val="5"/>
        </w:rPr>
        <w:t xml:space="preserve">   </w:t>
      </w:r>
      <w:r>
        <w:rPr>
          <w:rFonts w:ascii="Arial" w:eastAsia="Arial" w:hAnsi="Arial" w:cs="Arial"/>
          <w:spacing w:val="14"/>
          <w:sz w:val="20"/>
          <w:szCs w:val="20"/>
        </w:rPr>
        <w:t>500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户配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建一个四分类生活垃圾集中投放点</w:t>
      </w:r>
      <w:r>
        <w:rPr>
          <w:rFonts w:ascii="Microsoft YaHei" w:eastAsia="Microsoft YaHei" w:hAnsi="Microsoft YaHei" w:cs="Microsoft YaHei"/>
          <w:spacing w:val="2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老旧小区按楼栋</w:t>
      </w: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>分布情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况，合理设置集中投放点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。</w:t>
      </w:r>
    </w:p>
    <w:p>
      <w:pPr>
        <w:spacing w:before="49" w:line="206" w:lineRule="auto"/>
        <w:ind w:left="3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>4</w:t>
      </w:r>
      <w:r>
        <w:rPr>
          <w:rFonts w:ascii="Arial" w:eastAsia="Arial" w:hAnsi="Arial" w:cs="Arial"/>
          <w:spacing w:val="13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3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3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应在社区人流密集处设置公共厕所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0"/>
          <w:szCs w:val="20"/>
        </w:rPr>
        <w:t>宜结合配套设施及室外综合健身场地（含老年人户外活</w:t>
      </w:r>
      <w:r>
        <w:rPr>
          <w:rFonts w:ascii="Microsoft YaHei" w:eastAsia="Microsoft YaHei" w:hAnsi="Microsoft YaHei" w:cs="Microsoft YaHei"/>
          <w:spacing w:val="25"/>
          <w:sz w:val="20"/>
          <w:szCs w:val="20"/>
        </w:rPr>
        <w:t>动场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地）设置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建筑面积不宜小于</w:t>
      </w:r>
      <w:r>
        <w:rPr>
          <w:rFonts w:ascii="Microsoft YaHei" w:eastAsia="Microsoft YaHei" w:hAnsi="Microsoft YaHei" w:cs="Microsoft YaHei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30m</w:t>
      </w:r>
      <w:r>
        <w:rPr>
          <w:rFonts w:ascii="Arial" w:eastAsia="Arial" w:hAnsi="Arial" w:cs="Arial"/>
          <w:spacing w:val="10"/>
          <w:position w:val="7"/>
          <w:sz w:val="11"/>
          <w:szCs w:val="11"/>
        </w:rPr>
        <w:t xml:space="preserve">2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受场地条件约束的既有居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住社区，可采用集成箱体式公共厕所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。</w:t>
      </w:r>
    </w:p>
    <w:p>
      <w:pPr>
        <w:spacing w:line="206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71"/>
          <w:footerReference w:type="default" r:id="rId72"/>
          <w:pgSz w:w="8219" w:h="11904"/>
          <w:pgMar w:top="400" w:right="1096" w:bottom="1051" w:left="1167" w:header="0" w:footer="827" w:gutter="0"/>
          <w:pgNumType w:start="39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12" w:line="179" w:lineRule="auto"/>
        <w:ind w:left="1167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26"/>
          <w:szCs w:val="26"/>
        </w:rPr>
        <w:t>6</w:t>
      </w:r>
      <w:r>
        <w:rPr>
          <w:rFonts w:ascii="Microsoft YaHei" w:eastAsia="Microsoft YaHei" w:hAnsi="Microsoft YaHei" w:cs="Microsoft YaHei"/>
          <w:spacing w:val="5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7"/>
          <w:position w:val="1"/>
          <w:sz w:val="26"/>
          <w:szCs w:val="26"/>
        </w:rPr>
        <w:t>"</w:t>
      </w:r>
      <w:r>
        <w:rPr>
          <w:rFonts w:ascii="Microsoft YaHei" w:eastAsia="Microsoft YaHei" w:hAnsi="Microsoft YaHei" w:cs="Microsoft YaHei"/>
          <w:spacing w:val="-32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spacing w:val="7"/>
          <w:sz w:val="26"/>
          <w:szCs w:val="26"/>
        </w:rPr>
        <w:t>15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>分钟生活圈</w:t>
      </w:r>
      <w:r>
        <w:rPr>
          <w:rFonts w:ascii="Microsoft YaHei" w:eastAsia="Microsoft YaHei" w:hAnsi="Microsoft YaHei" w:cs="Microsoft YaHei"/>
          <w:spacing w:val="7"/>
          <w:position w:val="1"/>
          <w:sz w:val="26"/>
          <w:szCs w:val="26"/>
        </w:rPr>
        <w:t>”</w:t>
      </w:r>
      <w:r>
        <w:rPr>
          <w:rFonts w:ascii="Microsoft YaHei" w:eastAsia="Microsoft YaHei" w:hAnsi="Microsoft YaHei" w:cs="Microsoft YaHei"/>
          <w:spacing w:val="7"/>
          <w:sz w:val="26"/>
          <w:szCs w:val="26"/>
        </w:rPr>
        <w:t>韧性建设</w:t>
      </w:r>
    </w:p>
    <w:p>
      <w:pPr>
        <w:spacing w:before="321" w:line="174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6.</w:t>
      </w:r>
      <w:r>
        <w:rPr>
          <w:rFonts w:ascii="Microsoft YaHei" w:eastAsia="Microsoft YaHei" w:hAnsi="Microsoft YaHei" w:cs="Microsoft YaHei"/>
          <w:spacing w:val="20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般规定</w:t>
      </w:r>
    </w:p>
    <w:p>
      <w:pPr>
        <w:spacing w:before="205" w:line="203" w:lineRule="auto"/>
        <w:ind w:left="2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7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3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为强化社区生活圈的弹性应对能力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提高社区应对各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类灾害和突发事件的事先预防</w:t>
      </w:r>
      <w:r>
        <w:rPr>
          <w:rFonts w:ascii="Microsoft YaHei" w:eastAsia="Microsoft YaHei" w:hAnsi="Microsoft YaHei" w:cs="Microsoft YaHei"/>
          <w:spacing w:val="-1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应急响应和灾后修复能力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保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障市政基础设施安全运行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营造具有安全感的社区环境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城市</w:t>
      </w:r>
      <w:r>
        <w:rPr>
          <w:rFonts w:ascii="Microsoft YaHei" w:eastAsia="Microsoft YaHei" w:hAnsi="Microsoft YaHei" w:cs="Microsoft YaHei"/>
          <w:spacing w:val="1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应打造韧性</w:t>
      </w:r>
      <w:r>
        <w:rPr>
          <w:rFonts w:ascii="Microsoft YaHei" w:eastAsia="Microsoft YaHei" w:hAnsi="Microsoft YaHei" w:cs="Microsoft YaHei"/>
          <w:spacing w:val="-3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9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”。</w:t>
      </w:r>
    </w:p>
    <w:p>
      <w:pPr>
        <w:spacing w:before="54" w:line="193" w:lineRule="auto"/>
        <w:ind w:left="4" w:hanging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的韧性建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设应包括防灾应急建设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市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政设施安全保障建设等内容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 xml:space="preserve">并宜符合本指南附录 </w:t>
      </w:r>
      <w:r>
        <w:rPr>
          <w:rFonts w:ascii="Arial" w:eastAsia="Arial" w:hAnsi="Arial" w:cs="Arial"/>
          <w:spacing w:val="14"/>
          <w:sz w:val="20"/>
          <w:szCs w:val="20"/>
        </w:rPr>
        <w:t>C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的规定</w:t>
      </w:r>
      <w:r>
        <w:rPr>
          <w:rFonts w:ascii="Microsoft YaHei" w:eastAsia="Microsoft YaHei" w:hAnsi="Microsoft YaHei" w:cs="Microsoft YaHei"/>
          <w:spacing w:val="-2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0"/>
          <w:szCs w:val="20"/>
        </w:rPr>
        <w:t>。</w:t>
      </w:r>
    </w:p>
    <w:p>
      <w:pPr>
        <w:spacing w:before="217" w:line="174" w:lineRule="auto"/>
        <w:ind w:left="201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6. 2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防灾应急建设</w:t>
      </w:r>
    </w:p>
    <w:p>
      <w:pPr>
        <w:spacing w:before="198" w:line="205" w:lineRule="auto"/>
        <w:ind w:left="3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的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防灾避难设施和场地设置与布局应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符合《社 区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生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活 圈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规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划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技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术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指</w:t>
      </w:r>
      <w:r>
        <w:rPr>
          <w:rFonts w:ascii="Microsoft YaHei" w:eastAsia="Microsoft YaHei" w:hAnsi="Microsoft YaHei" w:cs="Microsoft YaHei"/>
          <w:spacing w:val="-2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南》</w:t>
      </w:r>
      <w:r>
        <w:rPr>
          <w:rFonts w:ascii="Arial" w:eastAsia="Arial" w:hAnsi="Arial" w:cs="Arial"/>
          <w:sz w:val="20"/>
          <w:szCs w:val="20"/>
        </w:rPr>
        <w:t>TD</w:t>
      </w:r>
      <w:r>
        <w:rPr>
          <w:rFonts w:ascii="Microsoft YaHei" w:eastAsia="Microsoft YaHei" w:hAnsi="Microsoft YaHei" w:cs="Microsoft YaHei"/>
          <w:spacing w:val="3"/>
          <w:sz w:val="20"/>
          <w:szCs w:val="20"/>
        </w:rPr>
        <w:t>/</w:t>
      </w:r>
      <w:r>
        <w:rPr>
          <w:rFonts w:ascii="Arial" w:eastAsia="Arial" w:hAnsi="Arial" w:cs="Arial"/>
          <w:spacing w:val="3"/>
          <w:sz w:val="20"/>
          <w:szCs w:val="20"/>
        </w:rPr>
        <w:t>T1062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-</w:t>
      </w:r>
      <w:r>
        <w:rPr>
          <w:rFonts w:ascii="Arial" w:eastAsia="Arial" w:hAnsi="Arial" w:cs="Arial"/>
          <w:spacing w:val="2"/>
          <w:sz w:val="20"/>
          <w:szCs w:val="20"/>
        </w:rPr>
        <w:t>2021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的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相</w:t>
      </w:r>
      <w:r>
        <w:rPr>
          <w:rFonts w:ascii="Microsoft YaHei" w:eastAsia="Microsoft YaHei" w:hAnsi="Microsoft YaHei" w:cs="Microsoft YaHei"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关</w:t>
      </w:r>
      <w:r>
        <w:rPr>
          <w:rFonts w:ascii="Microsoft YaHei" w:eastAsia="Microsoft YaHei" w:hAnsi="Microsoft YaHei" w:cs="Microsoft YaHei"/>
          <w:spacing w:val="-1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规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定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。</w:t>
      </w:r>
    </w:p>
    <w:p>
      <w:pPr>
        <w:spacing w:before="55" w:line="205" w:lineRule="auto"/>
        <w:ind w:left="3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内应适度预留社区设施空间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充分利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用现有资源，查缺补漏，宜建立分级响应的空间转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换方案，有效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应对各类灾害，并应满足以下要求：</w:t>
      </w:r>
    </w:p>
    <w:p>
      <w:pPr>
        <w:spacing w:before="61" w:line="194" w:lineRule="auto"/>
        <w:ind w:left="7" w:firstLine="44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应结合公共卫生风险综合评估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保障社区卫生服务中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0"/>
          <w:szCs w:val="20"/>
        </w:rPr>
        <w:t>心平时功能的满足与战时功能转换的弹性预留；</w:t>
      </w:r>
    </w:p>
    <w:p>
      <w:pPr>
        <w:spacing w:before="61" w:line="198" w:lineRule="auto"/>
        <w:ind w:left="5" w:firstLine="43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2</w:t>
      </w:r>
      <w:r>
        <w:rPr>
          <w:rFonts w:ascii="Microsoft YaHei" w:eastAsia="Microsoft YaHei" w:hAnsi="Microsoft YaHei" w:cs="Microsoft YaHei"/>
          <w:spacing w:val="5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居家养老设施在应急情况下宜作为临时收容及护理疗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愈场所；</w:t>
      </w:r>
    </w:p>
    <w:p>
      <w:pPr>
        <w:spacing w:before="60" w:line="176" w:lineRule="auto"/>
        <w:ind w:left="435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73"/>
          <w:footerReference w:type="default" r:id="rId74"/>
          <w:pgSz w:w="8219" w:h="11904"/>
          <w:pgMar w:top="400" w:right="1171" w:bottom="1051" w:left="1168" w:header="0" w:footer="827" w:gutter="0"/>
          <w:pgNumType w:start="40"/>
          <w:cols w:space="708"/>
        </w:sectPr>
      </w:pPr>
      <w:r>
        <w:rPr>
          <w:rFonts w:ascii="Microsoft YaHei" w:eastAsia="Microsoft YaHei" w:hAnsi="Microsoft YaHei" w:cs="Microsoft YaHei"/>
          <w:spacing w:val="4"/>
          <w:position w:val="-2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体育场（含中小学操场）、公园绿地宜作为避难空间</w:t>
      </w:r>
      <w:r>
        <w:rPr>
          <w:rFonts w:ascii="Microsoft YaHei" w:eastAsia="Microsoft YaHei" w:hAnsi="Microsoft YaHei" w:cs="Microsoft YaHei"/>
          <w:spacing w:val="-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。</w:t>
      </w:r>
    </w:p>
    <w:p>
      <w:pPr>
        <w:spacing w:before="202" w:line="174" w:lineRule="auto"/>
        <w:ind w:left="157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6. 3   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市政设施安全保障建设</w:t>
      </w:r>
    </w:p>
    <w:p>
      <w:pPr>
        <w:spacing w:before="199" w:line="196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46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6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内应加强水电气设施的安全保障建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设，并符合以下要求：</w:t>
      </w:r>
    </w:p>
    <w:p>
      <w:pPr>
        <w:spacing w:before="61" w:line="173" w:lineRule="auto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已建地区应有计划地实施供水管网改造与更新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改造</w:t>
      </w:r>
    </w:p>
    <w:p>
      <w:pPr>
        <w:spacing w:line="173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75"/>
          <w:footerReference w:type="default" r:id="rId76"/>
          <w:type w:val="nextPage"/>
          <w:pgSz w:w="8219" w:h="11904"/>
          <w:pgMar w:top="400" w:right="1171" w:bottom="1051" w:left="1168" w:header="0" w:footer="827" w:gutter="0"/>
          <w:pgNumType w:start="41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86" w:line="181" w:lineRule="auto"/>
        <w:ind w:left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漏损严重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、爆管频繁的管段，减少长期漏损和事故漏损；</w:t>
      </w:r>
    </w:p>
    <w:p>
      <w:pPr>
        <w:spacing w:before="55" w:line="200" w:lineRule="auto"/>
        <w:ind w:left="3" w:right="79" w:firstLine="445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应实行雨污分流</w:t>
      </w:r>
      <w:r>
        <w:rPr>
          <w:rFonts w:ascii="Microsoft YaHei" w:eastAsia="Microsoft YaHei" w:hAnsi="Microsoft YaHei" w:cs="Microsoft YaHei"/>
          <w:spacing w:val="2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对雨污合流的社区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宜逐步进行雨污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分流改造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雨污水分流的区域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不应将污水管网与雨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水管网相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0"/>
          <w:szCs w:val="20"/>
        </w:rPr>
        <w:t>互混接；</w:t>
      </w:r>
    </w:p>
    <w:p>
      <w:pPr>
        <w:spacing w:before="54" w:line="205" w:lineRule="auto"/>
        <w:ind w:left="1" w:firstLine="432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6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20"/>
          <w:szCs w:val="20"/>
        </w:rPr>
        <w:t>应定期对老旧社区的供水供电等市政管网进行监测评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估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老旧小区室外中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低压配电网改造宜采用电缆地下敷设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因条件限制不宜地下敷设时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可由相关单位归整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可采用架空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电缆敷设；</w:t>
      </w:r>
    </w:p>
    <w:p>
      <w:pPr>
        <w:spacing w:before="56" w:line="200" w:lineRule="auto"/>
        <w:ind w:left="4" w:right="79" w:firstLine="444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已建地区老旧小区应排查燃气管线及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阀门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拆改腐蚀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老化管线</w:t>
      </w:r>
      <w:r>
        <w:rPr>
          <w:rFonts w:ascii="Microsoft YaHei" w:eastAsia="Microsoft YaHei" w:hAnsi="Microsoft YaHei" w:cs="Microsoft YaHei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0"/>
          <w:szCs w:val="20"/>
        </w:rPr>
        <w:t>。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有条件时可将燃气引入口阀门安装在住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户外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并完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善燃气管道标志标识；</w:t>
      </w:r>
    </w:p>
    <w:p>
      <w:pPr>
        <w:spacing w:before="50" w:line="195" w:lineRule="auto"/>
        <w:ind w:left="3" w:right="79" w:firstLine="43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20"/>
          <w:szCs w:val="20"/>
        </w:rPr>
        <w:t>5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5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5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5"/>
          <w:sz w:val="20"/>
          <w:szCs w:val="20"/>
        </w:rPr>
        <w:t>内新建供热管道宜采用地下直埋方式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敷设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。</w:t>
      </w:r>
    </w:p>
    <w:p>
      <w:pPr>
        <w:spacing w:before="50" w:line="192" w:lineRule="auto"/>
        <w:ind w:left="3" w:right="79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老城区的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2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”，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宜采取自建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合建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统建等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方式增设微型消防站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合理划定最小灭火单元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。</w:t>
      </w:r>
    </w:p>
    <w:p>
      <w:pPr>
        <w:spacing w:before="50" w:line="195" w:lineRule="auto"/>
        <w:ind w:left="3" w:right="79" w:hanging="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6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7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的居住小区宜开展海绵化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建设与改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造，并符合以下要求：</w:t>
      </w:r>
    </w:p>
    <w:p>
      <w:pPr>
        <w:spacing w:before="52" w:line="195" w:lineRule="auto"/>
        <w:ind w:left="4" w:right="79" w:firstLine="44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已建地区宜保留和恢复</w:t>
      </w:r>
      <w:r>
        <w:rPr>
          <w:rFonts w:ascii="Microsoft YaHei" w:eastAsia="Microsoft YaHei" w:hAnsi="Microsoft YaHei" w:cs="Microsoft YaHei"/>
          <w:spacing w:val="-1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2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内自然雨洪通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道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、蓄滞洪空间，建设和改造排水管网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0"/>
          <w:szCs w:val="20"/>
        </w:rPr>
        <w:t>、泵站；</w:t>
      </w:r>
    </w:p>
    <w:p>
      <w:pPr>
        <w:spacing w:before="57" w:line="193" w:lineRule="auto"/>
        <w:ind w:left="3" w:right="79" w:firstLine="43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住区宜结合景观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建筑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水体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广场等</w:t>
      </w:r>
      <w:r>
        <w:rPr>
          <w:rFonts w:ascii="Microsoft YaHei" w:eastAsia="Microsoft YaHei" w:hAnsi="Microsoft YaHei" w:cs="Microsoft YaHei"/>
          <w:spacing w:val="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2"/>
          <w:sz w:val="20"/>
          <w:szCs w:val="20"/>
        </w:rPr>
        <w:t>因</w:t>
      </w:r>
      <w:r>
        <w:rPr>
          <w:rFonts w:ascii="Microsoft YaHei" w:eastAsia="Microsoft YaHei" w:hAnsi="Microsoft YaHei" w:cs="Microsoft YaHei"/>
          <w:spacing w:val="1"/>
          <w:sz w:val="20"/>
          <w:szCs w:val="20"/>
        </w:rPr>
        <w:t>地制宜建设低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>影响开发设施，增强社区雨水渗</w:t>
      </w:r>
      <w:r>
        <w:rPr>
          <w:rFonts w:ascii="Microsoft YaHei" w:eastAsia="Microsoft YaHei" w:hAnsi="Microsoft YaHei" w:cs="Microsoft YaHei"/>
          <w:spacing w:val="-1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>、滞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>、蓄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>、净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>、用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>、排能力</w:t>
      </w:r>
      <w:r>
        <w:rPr>
          <w:rFonts w:ascii="Microsoft YaHei" w:eastAsia="Microsoft YaHei" w:hAnsi="Microsoft YaHei" w:cs="Microsoft YaHei"/>
          <w:spacing w:val="-2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0"/>
          <w:szCs w:val="20"/>
        </w:rPr>
        <w:t>。</w:t>
      </w:r>
    </w:p>
    <w:p>
      <w:pPr>
        <w:spacing w:line="193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77"/>
          <w:footerReference w:type="default" r:id="rId78"/>
          <w:pgSz w:w="8219" w:h="11904"/>
          <w:pgMar w:top="400" w:right="1091" w:bottom="1051" w:left="1168" w:header="0" w:footer="825" w:gutter="0"/>
          <w:pgNumType w:start="42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12" w:line="180" w:lineRule="auto"/>
        <w:ind w:left="1166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8"/>
          <w:position w:val="-2"/>
          <w:sz w:val="26"/>
          <w:szCs w:val="26"/>
        </w:rPr>
        <w:t>7</w:t>
      </w:r>
      <w:r>
        <w:rPr>
          <w:rFonts w:ascii="Microsoft YaHei" w:eastAsia="Microsoft YaHei" w:hAnsi="Microsoft YaHei" w:cs="Microsoft YaHei"/>
          <w:spacing w:val="1"/>
          <w:position w:val="-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8"/>
          <w:position w:val="1"/>
          <w:sz w:val="26"/>
          <w:szCs w:val="26"/>
        </w:rPr>
        <w:t>"</w:t>
      </w:r>
      <w:r>
        <w:rPr>
          <w:rFonts w:ascii="Microsoft YaHei" w:eastAsia="Microsoft YaHei" w:hAnsi="Microsoft YaHei" w:cs="Microsoft YaHei"/>
          <w:spacing w:val="-32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spacing w:val="8"/>
          <w:sz w:val="26"/>
          <w:szCs w:val="26"/>
        </w:rPr>
        <w:t>15</w:t>
      </w:r>
      <w:r>
        <w:rPr>
          <w:rFonts w:ascii="Microsoft YaHei" w:eastAsia="Microsoft YaHei" w:hAnsi="Microsoft YaHei" w:cs="Microsoft YaHei"/>
          <w:spacing w:val="8"/>
          <w:sz w:val="26"/>
          <w:szCs w:val="26"/>
        </w:rPr>
        <w:t>分钟生活圈</w:t>
      </w:r>
      <w:r>
        <w:rPr>
          <w:rFonts w:ascii="Microsoft YaHei" w:eastAsia="Microsoft YaHei" w:hAnsi="Microsoft YaHei" w:cs="Microsoft YaHei"/>
          <w:spacing w:val="8"/>
          <w:position w:val="1"/>
          <w:sz w:val="26"/>
          <w:szCs w:val="26"/>
        </w:rPr>
        <w:t>”</w:t>
      </w:r>
      <w:r>
        <w:rPr>
          <w:rFonts w:ascii="Microsoft YaHei" w:eastAsia="Microsoft YaHei" w:hAnsi="Microsoft YaHei" w:cs="Microsoft YaHei"/>
          <w:spacing w:val="8"/>
          <w:sz w:val="26"/>
          <w:szCs w:val="26"/>
        </w:rPr>
        <w:t>智慧建设</w:t>
      </w:r>
    </w:p>
    <w:p>
      <w:pPr>
        <w:spacing w:before="319" w:line="174" w:lineRule="auto"/>
        <w:ind w:left="22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>7.</w:t>
      </w:r>
      <w:r>
        <w:rPr>
          <w:rFonts w:ascii="Microsoft YaHei" w:eastAsia="Microsoft YaHei" w:hAnsi="Microsoft YaHei" w:cs="Microsoft YaHei"/>
          <w:spacing w:val="19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-3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>般规定</w:t>
      </w:r>
    </w:p>
    <w:p>
      <w:pPr>
        <w:spacing w:before="203" w:line="202" w:lineRule="auto"/>
        <w:ind w:left="5" w:right="83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7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9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为更便捷地服务居民生活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提升社区治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理能力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实现互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联互通的社区智慧治理和服务体系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城市应打造智慧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0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7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分钟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0"/>
          <w:szCs w:val="20"/>
        </w:rPr>
        <w:t>生活圈”。</w:t>
      </w:r>
    </w:p>
    <w:p>
      <w:pPr>
        <w:spacing w:before="51" w:line="201" w:lineRule="auto"/>
        <w:ind w:left="2" w:right="83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7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>1</w:t>
      </w:r>
      <w:r>
        <w:rPr>
          <w:rFonts w:ascii="Arial" w:eastAsia="Arial" w:hAnsi="Arial" w:cs="Arial"/>
          <w:spacing w:val="17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2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1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7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的智</w:t>
      </w:r>
      <w:r>
        <w:rPr>
          <w:rFonts w:ascii="Microsoft YaHei" w:eastAsia="Microsoft YaHei" w:hAnsi="Microsoft YaHei" w:cs="Microsoft YaHei"/>
          <w:spacing w:val="16"/>
          <w:sz w:val="20"/>
          <w:szCs w:val="20"/>
        </w:rPr>
        <w:t>慧建设应包括智慧基础设施建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设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智慧社区服务建设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智慧社区治理建设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等内容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并宜符合本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 xml:space="preserve">指南附录 </w:t>
      </w:r>
      <w:r>
        <w:rPr>
          <w:rFonts w:ascii="Arial" w:eastAsia="Arial" w:hAnsi="Arial" w:cs="Arial"/>
          <w:spacing w:val="17"/>
          <w:sz w:val="20"/>
          <w:szCs w:val="20"/>
        </w:rPr>
        <w:t>D</w:t>
      </w:r>
      <w:r>
        <w:rPr>
          <w:rFonts w:ascii="Microsoft YaHei" w:eastAsia="Microsoft YaHei" w:hAnsi="Microsoft YaHei" w:cs="Microsoft YaHei"/>
          <w:spacing w:val="17"/>
          <w:sz w:val="20"/>
          <w:szCs w:val="20"/>
        </w:rPr>
        <w:t>的规定</w:t>
      </w:r>
      <w:r>
        <w:rPr>
          <w:rFonts w:ascii="Microsoft YaHei" w:eastAsia="Microsoft YaHei" w:hAnsi="Microsoft YaHei" w:cs="Microsoft YaHei"/>
          <w:spacing w:val="-2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0"/>
          <w:szCs w:val="20"/>
        </w:rPr>
        <w:t>。</w:t>
      </w:r>
    </w:p>
    <w:p>
      <w:pPr>
        <w:spacing w:before="216" w:line="174" w:lineRule="auto"/>
        <w:ind w:left="179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7. 2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智慧基础设施建设</w:t>
      </w:r>
    </w:p>
    <w:p>
      <w:pPr>
        <w:spacing w:before="197" w:line="197" w:lineRule="auto"/>
        <w:ind w:left="5" w:right="83" w:hanging="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7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的互联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网设施应光纤入户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实现无线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覆盖，可建立应急通信系统</w:t>
      </w:r>
      <w:r>
        <w:rPr>
          <w:rFonts w:ascii="Microsoft YaHei" w:eastAsia="Microsoft YaHei" w:hAnsi="Microsoft YaHei" w:cs="Microsoft YaHei"/>
          <w:spacing w:val="-2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。</w:t>
      </w:r>
    </w:p>
    <w:p>
      <w:pPr>
        <w:spacing w:before="55" w:line="193" w:lineRule="auto"/>
        <w:ind w:left="4" w:hanging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7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7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7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可依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托物联网基础传感设备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在楼宇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停车</w:t>
      </w:r>
      <w:r>
        <w:rPr>
          <w:rFonts w:ascii="Microsoft YaHei" w:eastAsia="Microsoft YaHei" w:hAnsi="Microsoft YaHei" w:cs="Microsoft YaHei"/>
          <w:spacing w:val="-1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安防监控等方面设置智能终端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0"/>
          <w:szCs w:val="20"/>
        </w:rPr>
        <w:t>。</w:t>
      </w:r>
    </w:p>
    <w:p>
      <w:pPr>
        <w:spacing w:before="55" w:line="193" w:lineRule="auto"/>
        <w:ind w:left="2" w:right="83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7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1"/>
          <w:position w:val="-1"/>
          <w:sz w:val="20"/>
          <w:szCs w:val="20"/>
        </w:rPr>
        <w:t xml:space="preserve">3   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可建立智慧消防系统</w:t>
      </w:r>
      <w:r>
        <w:rPr>
          <w:rFonts w:ascii="Microsoft YaHei" w:eastAsia="Microsoft YaHei" w:hAnsi="Microsoft YaHei" w:cs="Microsoft YaHei"/>
          <w:spacing w:val="11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实时监控消防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0"/>
          <w:szCs w:val="20"/>
        </w:rPr>
        <w:t>设施运转情况</w:t>
      </w:r>
      <w:r>
        <w:rPr>
          <w:rFonts w:ascii="Microsoft YaHei" w:eastAsia="Microsoft YaHei" w:hAnsi="Microsoft YaHei" w:cs="Microsoft YaHei"/>
          <w:spacing w:val="-2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0"/>
          <w:szCs w:val="20"/>
        </w:rPr>
        <w:t>。</w:t>
      </w:r>
    </w:p>
    <w:p>
      <w:pPr>
        <w:spacing w:before="54" w:line="203" w:lineRule="auto"/>
        <w:ind w:left="4" w:right="83" w:hanging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7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2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4 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2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的居住小区宜设置访客对讲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防越报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警</w:t>
      </w:r>
      <w:r>
        <w:rPr>
          <w:rFonts w:ascii="Microsoft YaHei" w:eastAsia="Microsoft YaHei" w:hAnsi="Microsoft YaHei" w:cs="Microsoft YaHei"/>
          <w:spacing w:val="-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闭路电视监控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门禁管理系统等智能化设备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提高社区安全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保障</w:t>
      </w:r>
      <w:r>
        <w:rPr>
          <w:rFonts w:ascii="Microsoft YaHei" w:eastAsia="Microsoft YaHei" w:hAnsi="Microsoft YaHei" w:cs="Microsoft YaHei"/>
          <w:spacing w:val="-2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。</w:t>
      </w:r>
    </w:p>
    <w:p>
      <w:pPr>
        <w:spacing w:before="217" w:line="173" w:lineRule="auto"/>
        <w:ind w:left="1797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79"/>
          <w:footerReference w:type="default" r:id="rId80"/>
          <w:pgSz w:w="8219" w:h="11904"/>
          <w:pgMar w:top="400" w:right="1088" w:bottom="1051" w:left="1166" w:header="0" w:footer="827" w:gutter="0"/>
          <w:pgNumType w:start="43"/>
          <w:cols w:space="708"/>
        </w:sect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7. 3  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智慧社区服务建设</w:t>
      </w:r>
    </w:p>
    <w:p>
      <w:pPr>
        <w:spacing w:before="197" w:line="197" w:lineRule="auto"/>
        <w:ind w:left="8" w:right="83" w:hanging="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7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.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>3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20"/>
          <w:szCs w:val="20"/>
        </w:rPr>
        <w:t xml:space="preserve">1   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"</w:t>
      </w:r>
      <w:r>
        <w:rPr>
          <w:rFonts w:ascii="Microsoft YaHei" w:eastAsia="Microsoft YaHei" w:hAnsi="Microsoft YaHei" w:cs="Microsoft YaHei"/>
          <w:spacing w:val="-2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>15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分钟生活圈</w:t>
      </w:r>
      <w:r>
        <w:rPr>
          <w:rFonts w:ascii="Microsoft YaHei" w:eastAsia="Microsoft YaHei" w:hAnsi="Microsoft YaHei" w:cs="Microsoft YaHei"/>
          <w:spacing w:val="10"/>
          <w:position w:val="1"/>
          <w:sz w:val="20"/>
          <w:szCs w:val="20"/>
        </w:rPr>
        <w:t>”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宜开展智能水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电气热管理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智能物流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配送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0"/>
          <w:szCs w:val="20"/>
        </w:rPr>
        <w:t>、智能安保监控等智能化建设内容，并符合以下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要求：</w:t>
      </w:r>
    </w:p>
    <w:p>
      <w:pPr>
        <w:spacing w:before="58" w:line="191" w:lineRule="auto"/>
        <w:ind w:left="10" w:right="83" w:firstLine="43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宜建设多组智能信报箱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智能快递箱</w:t>
      </w:r>
      <w:r>
        <w:rPr>
          <w:rFonts w:ascii="Microsoft YaHei" w:eastAsia="Microsoft YaHei" w:hAnsi="Microsoft YaHei" w:cs="Microsoft YaHei"/>
          <w:spacing w:val="12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2"/>
          <w:sz w:val="20"/>
          <w:szCs w:val="20"/>
        </w:rPr>
        <w:t>提</w:t>
      </w:r>
      <w:r>
        <w:rPr>
          <w:rFonts w:ascii="Microsoft YaHei" w:eastAsia="Microsoft YaHei" w:hAnsi="Microsoft YaHei" w:cs="Microsoft YaHei"/>
          <w:spacing w:val="11"/>
          <w:sz w:val="20"/>
          <w:szCs w:val="20"/>
        </w:rPr>
        <w:t>供邮件快件收</w:t>
      </w:r>
      <w:r>
        <w:rPr>
          <w:rFonts w:ascii="Microsoft YaHei" w:eastAsia="Microsoft YaHei" w:hAnsi="Microsoft YaHei" w:cs="Microsoft YaHei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寄</w:t>
      </w:r>
      <w:r>
        <w:rPr>
          <w:rFonts w:ascii="Microsoft YaHei" w:eastAsia="Microsoft YaHei" w:hAnsi="Microsoft YaHei" w:cs="Microsoft YaHei"/>
          <w:spacing w:val="-2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、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投递服务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格口数量宜为社区日均投递量的</w:t>
      </w:r>
      <w:r>
        <w:rPr>
          <w:rFonts w:ascii="Microsoft YaHei" w:eastAsia="Microsoft YaHei" w:hAnsi="Microsoft YaHei" w:cs="Microsoft YaHei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spacing w:val="7"/>
          <w:sz w:val="20"/>
          <w:szCs w:val="20"/>
        </w:rPr>
        <w:t>1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倍</w:t>
      </w:r>
      <w:r>
        <w:rPr>
          <w:rFonts w:ascii="Microsoft YaHei" w:eastAsia="Microsoft YaHei" w:hAnsi="Microsoft YaHei" w:cs="Microsoft YaHei"/>
          <w:spacing w:val="-2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31"/>
          <w:w w:val="175"/>
          <w:position w:val="-2"/>
          <w:sz w:val="5"/>
          <w:szCs w:val="5"/>
        </w:rPr>
        <w:t>~</w:t>
      </w:r>
      <w:r>
        <w:rPr>
          <w:rFonts w:ascii="Arial" w:eastAsia="Arial" w:hAnsi="Arial" w:cs="Arial"/>
          <w:position w:val="-2"/>
          <w:sz w:val="5"/>
          <w:szCs w:val="5"/>
        </w:rPr>
        <w:t xml:space="preserve">   </w:t>
      </w:r>
      <w:r>
        <w:rPr>
          <w:rFonts w:ascii="Arial" w:eastAsia="Arial" w:hAnsi="Arial" w:cs="Arial"/>
          <w:spacing w:val="7"/>
          <w:position w:val="-1"/>
          <w:sz w:val="20"/>
          <w:szCs w:val="20"/>
        </w:rPr>
        <w:t>1.</w:t>
      </w:r>
      <w:r>
        <w:rPr>
          <w:rFonts w:ascii="Arial" w:eastAsia="Arial" w:hAnsi="Arial" w:cs="Arial"/>
          <w:spacing w:val="23"/>
          <w:w w:val="10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7"/>
          <w:sz w:val="20"/>
          <w:szCs w:val="20"/>
        </w:rPr>
        <w:t>3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倍</w:t>
      </w:r>
      <w:r>
        <w:rPr>
          <w:rFonts w:ascii="Microsoft YaHei" w:eastAsia="Microsoft YaHei" w:hAnsi="Microsoft YaHei" w:cs="Microsoft YaHei"/>
          <w:spacing w:val="7"/>
          <w:position w:val="1"/>
          <w:sz w:val="20"/>
          <w:szCs w:val="20"/>
        </w:rPr>
        <w:t>；</w:t>
      </w:r>
    </w:p>
    <w:p>
      <w:pPr>
        <w:spacing w:before="60" w:line="174" w:lineRule="auto"/>
        <w:ind w:left="45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20"/>
          <w:szCs w:val="20"/>
        </w:rPr>
        <w:t xml:space="preserve">2   </w:t>
      </w:r>
      <w:r>
        <w:rPr>
          <w:rFonts w:ascii="Microsoft YaHei" w:eastAsia="Microsoft YaHei" w:hAnsi="Microsoft YaHei" w:cs="Microsoft YaHei"/>
          <w:spacing w:val="20"/>
          <w:sz w:val="20"/>
          <w:szCs w:val="20"/>
        </w:rPr>
        <w:t>新建居住社区应建设邮政快递末端综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合服务站</w:t>
      </w:r>
      <w:r>
        <w:rPr>
          <w:rFonts w:ascii="Microsoft YaHei" w:eastAsia="Microsoft YaHei" w:hAnsi="Microsoft YaHei" w:cs="Microsoft YaHei"/>
          <w:spacing w:val="19"/>
          <w:position w:val="1"/>
          <w:sz w:val="20"/>
          <w:szCs w:val="20"/>
        </w:rPr>
        <w:t>，</w:t>
      </w:r>
      <w:r>
        <w:rPr>
          <w:rFonts w:ascii="Microsoft YaHei" w:eastAsia="Microsoft YaHei" w:hAnsi="Microsoft YaHei" w:cs="Microsoft YaHei"/>
          <w:spacing w:val="19"/>
          <w:sz w:val="20"/>
          <w:szCs w:val="20"/>
        </w:rPr>
        <w:t>使用</w:t>
      </w:r>
    </w:p>
    <w:p>
      <w:pPr>
        <w:spacing w:line="174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z w:val="20"/>
          <w:szCs w:val="20"/>
        </w:rPr>
        <w:br/>
      </w:r>
      <w:r>
        <w:rPr>
          <w:rFonts w:ascii="Microsoft YaHei" w:eastAsia="Microsoft YaHei" w:hAnsi="Microsoft YaHei" w:cs="Microsoft YaHei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https://d.book118.com/948140067132006042</w:t>
        </w:r>
      </w:hyperlink>
    </w:p>
    <w:p>
      <w:pPr>
        <w:spacing w:line="174" w:lineRule="auto"/>
        <w:rPr>
          <w:rFonts w:ascii="Microsoft YaHei" w:eastAsia="Microsoft YaHei" w:hAnsi="Microsoft YaHei" w:cs="Microsoft YaHei"/>
          <w:sz w:val="20"/>
          <w:szCs w:val="20"/>
        </w:rPr>
      </w:pPr>
    </w:p>
    <w:sectPr>
      <w:headerReference w:type="default" r:id="rId82"/>
      <w:footerReference w:type="default" r:id="rId83"/>
      <w:type w:val="nextPage"/>
      <w:pgSz w:w="8219" w:h="11904"/>
      <w:pgMar w:top="400" w:right="1088" w:bottom="1051" w:left="1166" w:header="0" w:footer="827" w:gutter="0"/>
      <w:pgNumType w:start="4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2254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2024   </w:t>
    </w:r>
    <w:r>
      <w:rPr>
        <w:rFonts w:ascii="Microsoft YaHei" w:eastAsia="Microsoft YaHei" w:hAnsi="Microsoft YaHei" w:cs="Microsoft YaHei"/>
        <w:spacing w:val="1"/>
        <w:position w:val="1"/>
        <w:sz w:val="19"/>
        <w:szCs w:val="19"/>
      </w:rPr>
      <w:t>合    肥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563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11"/>
        <w:sz w:val="19"/>
        <w:szCs w:val="19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6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5"/>
        <w:w w:val="125"/>
        <w:sz w:val="19"/>
        <w:szCs w:val="19"/>
      </w:rPr>
      <w:t>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6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6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562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562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15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3"/>
        <w:sz w:val="19"/>
        <w:szCs w:val="19"/>
      </w:rPr>
      <w:t>8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563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563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15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10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7" w:lineRule="auto"/>
      <w:ind w:left="5633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25"/>
        <w:sz w:val="19"/>
        <w:szCs w:val="19"/>
      </w:rPr>
      <w:t>1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155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3"/>
        <w:sz w:val="19"/>
        <w:szCs w:val="19"/>
      </w:rPr>
      <w:t>2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155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3"/>
        <w:sz w:val="19"/>
        <w:szCs w:val="19"/>
      </w:rPr>
      <w:t>2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5" w:lineRule="exact"/>
      <w:ind w:left="5633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2"/>
        <w:position w:val="-1"/>
        <w:sz w:val="19"/>
        <w:szCs w:val="19"/>
      </w:rPr>
      <w:t>3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56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5"/>
        <w:w w:val="125"/>
        <w:sz w:val="19"/>
        <w:szCs w:val="19"/>
      </w:rPr>
      <w:t>4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1"/>
        <w:sz w:val="19"/>
        <w:szCs w:val="19"/>
      </w:rPr>
      <w:t>5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58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4"/>
        <w:w w:val="112"/>
        <w:sz w:val="19"/>
        <w:szCs w:val="19"/>
      </w:rPr>
      <w:t>6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58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4"/>
        <w:w w:val="112"/>
        <w:sz w:val="19"/>
        <w:szCs w:val="19"/>
      </w:rPr>
      <w:t>6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7"/>
        <w:w w:val="109"/>
        <w:sz w:val="19"/>
        <w:szCs w:val="19"/>
      </w:rPr>
      <w:t>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15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3"/>
        <w:sz w:val="19"/>
        <w:szCs w:val="19"/>
      </w:rPr>
      <w:t>8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15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6"/>
        <w:w w:val="113"/>
        <w:sz w:val="19"/>
        <w:szCs w:val="19"/>
      </w:rPr>
      <w:t>8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5634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5"/>
        <w:w w:val="111"/>
        <w:sz w:val="19"/>
        <w:szCs w:val="19"/>
      </w:rPr>
      <w:t>9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15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10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7" w:lineRule="auto"/>
      <w:ind w:left="55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11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7" w:lineRule="auto"/>
      <w:ind w:left="55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11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7" w:lineRule="auto"/>
      <w:ind w:left="16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12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7" w:lineRule="auto"/>
      <w:ind w:left="16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12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55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13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55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13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7" w:lineRule="auto"/>
      <w:ind w:left="16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14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7" w:lineRule="auto"/>
      <w:ind w:left="160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14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5532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15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15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16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15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16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7" w:lineRule="auto"/>
      <w:ind w:left="5531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17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161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18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4" w:lineRule="auto"/>
      <w:ind w:left="161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pacing w:val="12"/>
        <w:sz w:val="19"/>
        <w:szCs w:val="19"/>
      </w:rPr>
      <w:t>18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header" Target="header2.xml" /><Relationship Id="rId12" Type="http://schemas.openxmlformats.org/officeDocument/2006/relationships/footer" Target="footer7.xml" /><Relationship Id="rId13" Type="http://schemas.openxmlformats.org/officeDocument/2006/relationships/header" Target="header3.xml" /><Relationship Id="rId14" Type="http://schemas.openxmlformats.org/officeDocument/2006/relationships/footer" Target="footer8.xml" /><Relationship Id="rId15" Type="http://schemas.openxmlformats.org/officeDocument/2006/relationships/header" Target="header4.xml" /><Relationship Id="rId16" Type="http://schemas.openxmlformats.org/officeDocument/2006/relationships/footer" Target="footer9.xml" /><Relationship Id="rId17" Type="http://schemas.openxmlformats.org/officeDocument/2006/relationships/header" Target="header5.xml" /><Relationship Id="rId18" Type="http://schemas.openxmlformats.org/officeDocument/2006/relationships/footer" Target="footer10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header" Target="header7.xml" /><Relationship Id="rId22" Type="http://schemas.openxmlformats.org/officeDocument/2006/relationships/footer" Target="footer12.xml" /><Relationship Id="rId23" Type="http://schemas.openxmlformats.org/officeDocument/2006/relationships/header" Target="header8.xml" /><Relationship Id="rId24" Type="http://schemas.openxmlformats.org/officeDocument/2006/relationships/footer" Target="footer13.xml" /><Relationship Id="rId25" Type="http://schemas.openxmlformats.org/officeDocument/2006/relationships/header" Target="header9.xml" /><Relationship Id="rId26" Type="http://schemas.openxmlformats.org/officeDocument/2006/relationships/footer" Target="footer14.xml" /><Relationship Id="rId27" Type="http://schemas.openxmlformats.org/officeDocument/2006/relationships/header" Target="header10.xml" /><Relationship Id="rId28" Type="http://schemas.openxmlformats.org/officeDocument/2006/relationships/footer" Target="footer15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6.xml" /><Relationship Id="rId31" Type="http://schemas.openxmlformats.org/officeDocument/2006/relationships/header" Target="header12.xml" /><Relationship Id="rId32" Type="http://schemas.openxmlformats.org/officeDocument/2006/relationships/footer" Target="footer17.xml" /><Relationship Id="rId33" Type="http://schemas.openxmlformats.org/officeDocument/2006/relationships/header" Target="header13.xml" /><Relationship Id="rId34" Type="http://schemas.openxmlformats.org/officeDocument/2006/relationships/footer" Target="footer18.xml" /><Relationship Id="rId35" Type="http://schemas.openxmlformats.org/officeDocument/2006/relationships/header" Target="header14.xml" /><Relationship Id="rId36" Type="http://schemas.openxmlformats.org/officeDocument/2006/relationships/footer" Target="footer19.xml" /><Relationship Id="rId37" Type="http://schemas.openxmlformats.org/officeDocument/2006/relationships/header" Target="header15.xml" /><Relationship Id="rId38" Type="http://schemas.openxmlformats.org/officeDocument/2006/relationships/footer" Target="footer20.xml" /><Relationship Id="rId39" Type="http://schemas.openxmlformats.org/officeDocument/2006/relationships/header" Target="header16.xml" /><Relationship Id="rId4" Type="http://schemas.openxmlformats.org/officeDocument/2006/relationships/footer" Target="footer1.xml" /><Relationship Id="rId40" Type="http://schemas.openxmlformats.org/officeDocument/2006/relationships/footer" Target="footer21.xml" /><Relationship Id="rId41" Type="http://schemas.openxmlformats.org/officeDocument/2006/relationships/header" Target="header17.xml" /><Relationship Id="rId42" Type="http://schemas.openxmlformats.org/officeDocument/2006/relationships/footer" Target="footer22.xml" /><Relationship Id="rId43" Type="http://schemas.openxmlformats.org/officeDocument/2006/relationships/header" Target="header18.xml" /><Relationship Id="rId44" Type="http://schemas.openxmlformats.org/officeDocument/2006/relationships/footer" Target="footer23.xml" /><Relationship Id="rId45" Type="http://schemas.openxmlformats.org/officeDocument/2006/relationships/header" Target="header19.xml" /><Relationship Id="rId46" Type="http://schemas.openxmlformats.org/officeDocument/2006/relationships/footer" Target="footer24.xml" /><Relationship Id="rId47" Type="http://schemas.openxmlformats.org/officeDocument/2006/relationships/header" Target="header20.xml" /><Relationship Id="rId48" Type="http://schemas.openxmlformats.org/officeDocument/2006/relationships/footer" Target="footer25.xml" /><Relationship Id="rId49" Type="http://schemas.openxmlformats.org/officeDocument/2006/relationships/header" Target="header21.xml" /><Relationship Id="rId5" Type="http://schemas.openxmlformats.org/officeDocument/2006/relationships/footer" Target="footer2.xml" /><Relationship Id="rId50" Type="http://schemas.openxmlformats.org/officeDocument/2006/relationships/footer" Target="footer26.xml" /><Relationship Id="rId51" Type="http://schemas.openxmlformats.org/officeDocument/2006/relationships/header" Target="header22.xml" /><Relationship Id="rId52" Type="http://schemas.openxmlformats.org/officeDocument/2006/relationships/footer" Target="footer27.xml" /><Relationship Id="rId53" Type="http://schemas.openxmlformats.org/officeDocument/2006/relationships/header" Target="header23.xml" /><Relationship Id="rId54" Type="http://schemas.openxmlformats.org/officeDocument/2006/relationships/footer" Target="footer28.xml" /><Relationship Id="rId55" Type="http://schemas.openxmlformats.org/officeDocument/2006/relationships/header" Target="header24.xml" /><Relationship Id="rId56" Type="http://schemas.openxmlformats.org/officeDocument/2006/relationships/footer" Target="footer29.xml" /><Relationship Id="rId57" Type="http://schemas.openxmlformats.org/officeDocument/2006/relationships/header" Target="header25.xml" /><Relationship Id="rId58" Type="http://schemas.openxmlformats.org/officeDocument/2006/relationships/footer" Target="footer30.xml" /><Relationship Id="rId59" Type="http://schemas.openxmlformats.org/officeDocument/2006/relationships/header" Target="header26.xml" /><Relationship Id="rId6" Type="http://schemas.openxmlformats.org/officeDocument/2006/relationships/footer" Target="footer3.xml" /><Relationship Id="rId60" Type="http://schemas.openxmlformats.org/officeDocument/2006/relationships/footer" Target="footer31.xml" /><Relationship Id="rId61" Type="http://schemas.openxmlformats.org/officeDocument/2006/relationships/header" Target="header27.xml" /><Relationship Id="rId62" Type="http://schemas.openxmlformats.org/officeDocument/2006/relationships/footer" Target="footer32.xml" /><Relationship Id="rId63" Type="http://schemas.openxmlformats.org/officeDocument/2006/relationships/header" Target="header28.xml" /><Relationship Id="rId64" Type="http://schemas.openxmlformats.org/officeDocument/2006/relationships/footer" Target="footer33.xml" /><Relationship Id="rId65" Type="http://schemas.openxmlformats.org/officeDocument/2006/relationships/header" Target="header29.xml" /><Relationship Id="rId66" Type="http://schemas.openxmlformats.org/officeDocument/2006/relationships/footer" Target="footer34.xml" /><Relationship Id="rId67" Type="http://schemas.openxmlformats.org/officeDocument/2006/relationships/header" Target="header30.xml" /><Relationship Id="rId68" Type="http://schemas.openxmlformats.org/officeDocument/2006/relationships/footer" Target="footer35.xml" /><Relationship Id="rId69" Type="http://schemas.openxmlformats.org/officeDocument/2006/relationships/header" Target="header31.xml" /><Relationship Id="rId7" Type="http://schemas.openxmlformats.org/officeDocument/2006/relationships/footer" Target="footer4.xml" /><Relationship Id="rId70" Type="http://schemas.openxmlformats.org/officeDocument/2006/relationships/footer" Target="footer36.xml" /><Relationship Id="rId71" Type="http://schemas.openxmlformats.org/officeDocument/2006/relationships/header" Target="header32.xml" /><Relationship Id="rId72" Type="http://schemas.openxmlformats.org/officeDocument/2006/relationships/footer" Target="footer37.xml" /><Relationship Id="rId73" Type="http://schemas.openxmlformats.org/officeDocument/2006/relationships/header" Target="header33.xml" /><Relationship Id="rId74" Type="http://schemas.openxmlformats.org/officeDocument/2006/relationships/footer" Target="footer38.xml" /><Relationship Id="rId75" Type="http://schemas.openxmlformats.org/officeDocument/2006/relationships/header" Target="header34.xml" /><Relationship Id="rId76" Type="http://schemas.openxmlformats.org/officeDocument/2006/relationships/footer" Target="footer39.xml" /><Relationship Id="rId77" Type="http://schemas.openxmlformats.org/officeDocument/2006/relationships/header" Target="header35.xml" /><Relationship Id="rId78" Type="http://schemas.openxmlformats.org/officeDocument/2006/relationships/footer" Target="footer40.xml" /><Relationship Id="rId79" Type="http://schemas.openxmlformats.org/officeDocument/2006/relationships/header" Target="header36.xml" /><Relationship Id="rId8" Type="http://schemas.openxmlformats.org/officeDocument/2006/relationships/footer" Target="footer5.xml" /><Relationship Id="rId80" Type="http://schemas.openxmlformats.org/officeDocument/2006/relationships/footer" Target="footer41.xml" /><Relationship Id="rId81" Type="http://schemas.openxmlformats.org/officeDocument/2006/relationships/hyperlink" Target="https://d.book118.com/948140067132006042" TargetMode="External" /><Relationship Id="rId82" Type="http://schemas.openxmlformats.org/officeDocument/2006/relationships/header" Target="header37.xml" /><Relationship Id="rId83" Type="http://schemas.openxmlformats.org/officeDocument/2006/relationships/footer" Target="footer42.xml" /><Relationship Id="rId84" Type="http://schemas.openxmlformats.org/officeDocument/2006/relationships/theme" Target="theme/theme1.xml" /><Relationship Id="rId85" Type="http://schemas.openxmlformats.org/officeDocument/2006/relationships/styles" Target="style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2024-03-05T16:16:07Z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2024-03-06T08:38:36Z</vt:filetime>
  </property>
  <property fmtid="{D5CDD505-2E9C-101B-9397-08002B2CF9AE}" pid="3" name="CRO">
    <vt:lpwstr>wqlLaW5nc29mdCBQREYgdG8gV1BTIDkw</vt:lpwstr>
  </property>
</Properties>
</file>