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bookmarkStart w:id="0" w:name="_Toc26779"/>
      <w:bookmarkStart w:id="1" w:name="_Toc23851"/>
      <w:bookmarkStart w:id="2" w:name="_Toc5131"/>
      <w:bookmarkStart w:id="3" w:name="_Toc18638"/>
      <w:bookmarkStart w:id="4" w:name="_Toc6811"/>
      <w:bookmarkStart w:id="5" w:name="_Toc32199"/>
      <w:bookmarkStart w:id="6" w:name="_Toc29810"/>
      <w:r>
        <w:rPr>
          <w:rFonts w:ascii="黑体" w:eastAsia="黑体" w:hAnsi="黑体" w:cs="黑体" w:hint="eastAsia"/>
          <w:sz w:val="24"/>
          <w:szCs w:val="24"/>
        </w:rPr>
        <w:fldChar w:fldCharType="begin"/>
      </w:r>
      <w:r>
        <w:rPr>
          <w:rFonts w:ascii="黑体" w:eastAsia="黑体" w:hAnsi="黑体" w:cs="黑体" w:hint="eastAsia"/>
          <w:sz w:val="24"/>
          <w:szCs w:val="24"/>
        </w:rPr>
        <w:instrText xml:space="preserve">TOC \o "1-3" \h \u </w:instrText>
      </w:r>
      <w:r>
        <w:rPr>
          <w:rFonts w:ascii="黑体" w:eastAsia="黑体" w:hAnsi="黑体" w:cs="黑体" w:hint="eastAsia"/>
          <w:sz w:val="24"/>
          <w:szCs w:val="24"/>
        </w:rPr>
        <w:fldChar w:fldCharType="separate"/>
      </w:r>
      <w:hyperlink w:anchor="_Toc17560" w:history="1">
        <w:r>
          <w:rPr>
            <w:rFonts w:ascii="黑体" w:eastAsia="黑体" w:hAnsi="黑体" w:cs="黑体" w:hint="eastAsia"/>
            <w:b/>
            <w:sz w:val="24"/>
            <w:szCs w:val="24"/>
          </w:rPr>
          <w:t>摘  要</w:t>
        </w:r>
        <w:r>
          <w:rPr>
            <w:rFonts w:ascii="黑体" w:eastAsia="黑体" w:hAnsi="黑体" w:cs="黑体" w:hint="eastAsia"/>
            <w:b/>
            <w:sz w:val="24"/>
            <w:szCs w:val="24"/>
          </w:rPr>
          <w:tab/>
        </w:r>
        <w:r>
          <w:rPr>
            <w:rFonts w:ascii="黑体" w:eastAsia="黑体" w:hAnsi="黑体" w:cs="黑体" w:hint="eastAsia"/>
            <w:b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/>
            <w:sz w:val="24"/>
            <w:szCs w:val="24"/>
          </w:rPr>
          <w:instrText xml:space="preserve"> PAGEREF _Toc17560 </w:instrText>
        </w:r>
        <w:r>
          <w:rPr>
            <w:rFonts w:ascii="黑体" w:eastAsia="黑体" w:hAnsi="黑体" w:cs="黑体" w:hint="eastAsia"/>
            <w:b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/>
            <w:sz w:val="24"/>
            <w:szCs w:val="24"/>
          </w:rPr>
          <w:t>3</w:t>
        </w:r>
        <w:r>
          <w:rPr>
            <w:rFonts w:ascii="黑体" w:eastAsia="黑体" w:hAnsi="黑体" w:cs="黑体" w:hint="eastAsia"/>
            <w:b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7638" w:history="1">
        <w:r>
          <w:rPr>
            <w:rFonts w:ascii="黑体" w:eastAsia="黑体" w:hAnsi="黑体" w:cs="黑体" w:hint="eastAsia"/>
            <w:b/>
            <w:sz w:val="24"/>
            <w:szCs w:val="24"/>
          </w:rPr>
          <w:t>第1章  绪  论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_Toc17638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4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32615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1.1问题的提出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_Toc32615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4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629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1.2研究问题及价值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_Toc629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5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7312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1.3研究方法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_Toc17312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6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4042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1.4研究的创新点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_Toc4042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6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9023" w:history="1">
        <w:r>
          <w:rPr>
            <w:rFonts w:ascii="黑体" w:eastAsia="黑体" w:hAnsi="黑体" w:cs="黑体" w:hint="eastAsia"/>
            <w:b/>
            <w:sz w:val="24"/>
            <w:szCs w:val="24"/>
          </w:rPr>
          <w:t>第2章 招商引资的基础理论及文献综述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_Toc19023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6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20225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2.1招商引资的基础理论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_Toc20225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6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4519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2.2国外研究文献综述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_Toc14519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6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5456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2.3国内研究文献综述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_Toc15456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6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8862" w:history="1">
        <w:r>
          <w:rPr>
            <w:rFonts w:ascii="黑体" w:eastAsia="黑体" w:hAnsi="黑体" w:cs="黑体" w:hint="eastAsia"/>
            <w:b/>
            <w:sz w:val="24"/>
            <w:szCs w:val="24"/>
          </w:rPr>
          <w:t>第3章 滦平县对外招商引资现状及问题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_Toc8862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9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2810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3.1 滦平县对外招商引资概况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_Toc12810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9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27209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3.2 滦平县对外招商引资特点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_Toc27209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10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31732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3.3滦平县对外招商引资内容及形式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_Toc31732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12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3564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3.4 滦平县对外招商引资的SWOT分析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_Toc3564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14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30415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3.5 京津冀一体化背景下滦平县对外招商引资的机会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_Toc30415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15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21144" w:history="1">
        <w:r>
          <w:rPr>
            <w:rFonts w:ascii="黑体" w:eastAsia="黑体" w:hAnsi="黑体" w:cs="黑体" w:hint="eastAsia"/>
            <w:b/>
            <w:sz w:val="24"/>
            <w:szCs w:val="24"/>
          </w:rPr>
          <w:t>第4章</w:t>
        </w:r>
        <w:r>
          <w:rPr>
            <w:rFonts w:ascii="黑体" w:eastAsia="黑体" w:hAnsi="黑体" w:cs="黑体" w:hint="eastAsia"/>
            <w:sz w:val="24"/>
            <w:szCs w:val="24"/>
          </w:rPr>
          <w:t xml:space="preserve"> </w:t>
        </w:r>
        <w:r>
          <w:rPr>
            <w:rFonts w:ascii="黑体" w:eastAsia="黑体" w:hAnsi="黑体" w:cs="黑体" w:hint="eastAsia"/>
            <w:b/>
            <w:sz w:val="24"/>
            <w:szCs w:val="24"/>
          </w:rPr>
          <w:t>滦平县对外招商引资存在的问题及应对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_Toc21144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18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8598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4.1 滦平县对外招商引资的现实性探索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_Toc18598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18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23216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4.2 滦平县招商引资现实性困难的对策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_Toc23216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19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22181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4.3 区域一体化对滦平县招商引资的启示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_Toc22181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21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24699" w:history="1">
        <w:r>
          <w:rPr>
            <w:rFonts w:ascii="黑体" w:eastAsia="黑体" w:hAnsi="黑体" w:cs="黑体" w:hint="eastAsia"/>
            <w:b/>
            <w:sz w:val="24"/>
            <w:szCs w:val="24"/>
          </w:rPr>
          <w:t>第5章 滦平县对外招商引资策略选择与实施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_Toc24699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24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9982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5.1 滦平县对外招商引资策略选择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_Toc19982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24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6017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5.2 滦平县对外招商引资策略实施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_Toc6017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26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10831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5.3 滦平县对外招商引资发展建议及趋势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_Toc10831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28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  <w:hyperlink w:anchor="_Toc29538" w:history="1">
        <w:r>
          <w:rPr>
            <w:rFonts w:ascii="黑体" w:eastAsia="黑体" w:hAnsi="黑体" w:cs="黑体" w:hint="eastAsia"/>
            <w:b/>
            <w:sz w:val="24"/>
            <w:szCs w:val="24"/>
          </w:rPr>
          <w:t>结  语</w:t>
        </w:r>
        <w:r>
          <w:rPr>
            <w:rFonts w:ascii="黑体" w:eastAsia="黑体" w:hAnsi="黑体" w:cs="黑体" w:hint="eastAsia"/>
            <w:sz w:val="24"/>
            <w:szCs w:val="24"/>
          </w:rPr>
          <w:tab/>
        </w:r>
        <w:r>
          <w:rPr>
            <w:rFonts w:ascii="黑体" w:eastAsia="黑体" w:hAnsi="黑体" w:cs="黑体" w:hint="eastAsia"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sz w:val="24"/>
            <w:szCs w:val="24"/>
          </w:rPr>
          <w:instrText xml:space="preserve"> PAGEREF _Toc29538 </w:instrText>
        </w:r>
        <w:r>
          <w:rPr>
            <w:rFonts w:ascii="黑体" w:eastAsia="黑体" w:hAnsi="黑体" w:cs="黑体" w:hint="eastAsia"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sz w:val="24"/>
            <w:szCs w:val="24"/>
          </w:rPr>
          <w:t>29</w:t>
        </w:r>
        <w:r>
          <w:rPr>
            <w:rFonts w:ascii="黑体" w:eastAsia="黑体" w:hAnsi="黑体" w:cs="黑体" w:hint="eastAsia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b/>
          <w:bCs/>
          <w:sz w:val="24"/>
          <w:szCs w:val="24"/>
        </w:rPr>
      </w:pPr>
      <w:hyperlink w:anchor="_Toc26342" w:history="1"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参考文献</w:t>
        </w:r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ab/>
        </w:r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fldChar w:fldCharType="begin"/>
        </w:r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instrText xml:space="preserve"> PAGEREF _Toc26342 </w:instrText>
        </w:r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fldChar w:fldCharType="separate"/>
        </w:r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t>30</w:t>
        </w:r>
        <w:r>
          <w:rPr>
            <w:rFonts w:ascii="黑体" w:eastAsia="黑体" w:hAnsi="黑体" w:cs="黑体" w:hint="eastAsia"/>
            <w:b/>
            <w:bCs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306"/>
        </w:tabs>
        <w:spacing w:line="360" w:lineRule="auto"/>
        <w:rPr>
          <w:rFonts w:ascii="黑体" w:eastAsia="黑体" w:hAnsi="黑体" w:cs="黑体"/>
          <w:sz w:val="24"/>
          <w:szCs w:val="24"/>
        </w:rPr>
      </w:pPr>
    </w:p>
    <w:p>
      <w:pPr>
        <w:spacing w:before="312" w:beforeLines="100" w:after="312" w:afterLines="100"/>
        <w:jc w:val="center"/>
        <w:outlineLvl w:val="0"/>
        <w:rPr>
          <w:rFonts w:eastAsia="黑体"/>
          <w:szCs w:val="32"/>
        </w:rPr>
      </w:pPr>
      <w:r>
        <w:rPr>
          <w:rFonts w:ascii="黑体" w:eastAsia="黑体" w:hAnsi="黑体" w:cs="黑体" w:hint="eastAsia"/>
          <w:sz w:val="24"/>
          <w:szCs w:val="24"/>
        </w:rPr>
        <w:fldChar w:fldCharType="end"/>
      </w:r>
    </w:p>
    <w:p>
      <w:pPr>
        <w:spacing w:before="312" w:beforeLines="100" w:after="312" w:afterLines="100"/>
        <w:jc w:val="center"/>
        <w:outlineLvl w:val="0"/>
        <w:rPr>
          <w:rFonts w:eastAsia="黑体"/>
          <w:szCs w:val="32"/>
        </w:rPr>
        <w:sectPr>
          <w:headerReference w:type="default" r:id="rId5"/>
          <w:footerReference w:type="default" r:id="rId6"/>
          <w:footnotePr>
            <w:numRestart w:val="eachPage"/>
          </w:footnotePr>
          <w:pgSz w:w="11906" w:h="16838"/>
          <w:pgMar w:top="1440" w:right="1800" w:bottom="1440" w:left="1800" w:header="851" w:footer="992" w:gutter="0"/>
          <w:pgNumType w:start="1"/>
          <w:cols w:num="1" w:space="720"/>
          <w:docGrid w:type="lines" w:linePitch="312" w:charSpace="0"/>
        </w:sectPr>
      </w:pPr>
    </w:p>
    <w:p>
      <w:pPr>
        <w:spacing w:before="312" w:beforeLines="100" w:after="312" w:afterLines="100"/>
        <w:jc w:val="center"/>
        <w:outlineLvl w:val="0"/>
        <w:rPr>
          <w:rFonts w:eastAsia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7" w:name="_Toc7328"/>
      <w:bookmarkStart w:id="8" w:name="_Toc17560"/>
      <w:r>
        <w:rPr>
          <w:rFonts w:eastAsia="黑体" w:hint="eastAsia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摘  要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>
      <w:pPr>
        <w:spacing w:line="360" w:lineRule="auto"/>
        <w:ind w:firstLine="480" w:firstLineChars="200"/>
        <w:rPr>
          <w:rStyle w:val="apple-style-span"/>
          <w:rFonts w:ascii="Arial" w:hAnsi="Arial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Style w:val="apple-style-span"/>
          <w:rFonts w:ascii="Arial" w:hAnsi="Arial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京津冀一体化受到各行各业不同群体的普遍关注，日渐成为人们关注的焦点。近段时期京津冀地区发展步伐显著加快，伴随着国家政策的倾斜，京津冀地区在我国北方经济发展中的作用越来越重大。京津冀区域划分来源于特定的地缘政治，是国家综合经济、社会、民生诸多领域进行的整体规划。京津冀一体化总体布局的历史背景下，承德市也是最具有潜力和发展的城市。抢抓京津冀一体化环境下承德市滦平县招商引资的发展，有利于滦平县经济的可持续发展。             </w:t>
      </w:r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文介绍了滦平县对外招商引资概况，分析了滦平县对外招商引资特点，着重探讨了滦平县对外招商引资依托产业，力求剖析滦平县招商引资的发展条件，为滦平县经济的跨越式发展提供发展策略。通过综合分析滦平县区域经济发展的机遇，确定发展方向，全方位融入京津冀协同发展，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全方位融合京津冀创新思维。结合滦平县自身发展优势，持续增强招商引资功能配套，强化举措，创新机制，科学谋划抓开放。</w:t>
      </w:r>
    </w:p>
    <w:p>
      <w:pPr>
        <w:spacing w:line="360" w:lineRule="auto"/>
        <w:ind w:firstLine="480"/>
        <w:jc w:val="left"/>
        <w:outlineLvl w:val="2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bookmarkStart w:id="9" w:name="_Toc22944"/>
      <w:bookmarkStart w:id="10" w:name="_Toc32757"/>
      <w:r>
        <w:rPr>
          <w:rFonts w:ascii="宋体" w:hAnsi="宋体"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滦平县对外招商引资策略选择：抓项目促投资，推动经济快速增长；抓协同促开放，借势京津加速崛起。强化合作，促进协同，确保滦平在全面对接京津中得到更好发展。招商引资需要遵循发展规律，重点学习思考创新、协调、绿色、开放、共享的发展理念，坚定走“绿色崛起、环首突破”之路，坚持“五大功能区”发展战略，着力在转型升级、协同发展、改革创新、生态建设、脱贫攻坚上实现新突破，统筹推进“五位一体”总体布局，加快滦平招商引资的发展步伐。</w:t>
      </w:r>
      <w:bookmarkEnd w:id="9"/>
      <w:bookmarkEnd w:id="10"/>
    </w:p>
    <w:p>
      <w:pPr>
        <w:spacing w:line="360" w:lineRule="auto"/>
        <w:ind w:firstLine="480"/>
        <w:jc w:val="left"/>
        <w:outlineLvl w:val="2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0"/>
        <w:jc w:val="left"/>
        <w:outlineLvl w:val="2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关键词：京津冀一体化； 滦平县； 招商引资； 策略研究</w:t>
      </w:r>
    </w:p>
    <w:p>
      <w:pPr>
        <w:spacing w:line="360" w:lineRule="auto"/>
        <w:rPr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TOC1"/>
        <w:tabs>
          <w:tab w:val="right" w:leader="dot" w:pos="8306"/>
        </w:tabs>
        <w:jc w:val="center"/>
        <w:outlineLvl w:val="0"/>
        <w:rPr>
          <w:rFonts w:ascii="黑体" w:eastAsia="黑体" w:hAnsi="黑体" w:cs="黑体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11" w:name="_Toc27341"/>
      <w:bookmarkStart w:id="12" w:name="_Toc16591"/>
    </w:p>
    <w:bookmarkEnd w:id="11"/>
    <w:bookmarkEnd w:id="12"/>
    <w:p>
      <w:pPr>
        <w:rPr>
          <w:rFonts w:ascii="黑体" w:eastAsia="黑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13" w:name="_Toc13150"/>
      <w:bookmarkStart w:id="14" w:name="_Toc3358"/>
      <w:bookmarkStart w:id="15" w:name="_Toc23601"/>
      <w:bookmarkStart w:id="16" w:name="_Toc13425"/>
      <w:bookmarkStart w:id="17" w:name="_Toc30453"/>
      <w:bookmarkStart w:id="18" w:name="_Toc933"/>
    </w:p>
    <w:p>
      <w:pPr>
        <w:rPr>
          <w:rFonts w:ascii="黑体" w:eastAsia="黑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TOC1"/>
        <w:tabs>
          <w:tab w:val="right" w:leader="dot" w:pos="8306"/>
        </w:tabs>
        <w:jc w:val="center"/>
        <w:outlineLvl w:val="0"/>
        <w:rPr>
          <w:rFonts w:ascii="黑体" w:eastAsia="黑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7"/>
          <w:footerReference w:type="default" r:id="rId8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720"/>
          <w:titlePg w:val="0"/>
          <w:docGrid w:type="lines" w:linePitch="312" w:charSpace="0"/>
        </w:sectPr>
      </w:pPr>
      <w:bookmarkStart w:id="19" w:name="_Toc32737"/>
      <w:bookmarkStart w:id="20" w:name="_Toc17638"/>
      <w:r>
        <w:rPr>
          <w:rFonts w:ascii="黑体" w:eastAsia="黑体" w:hint="eastAsia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第1章  绪  论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>
      <w:pPr>
        <w:tabs>
          <w:tab w:val="left" w:pos="478"/>
        </w:tabs>
        <w:spacing w:line="360" w:lineRule="auto"/>
        <w:jc w:val="left"/>
        <w:outlineLvl w:val="1"/>
        <w:rPr>
          <w:rFonts w:ascii="黑体" w:eastAsia="黑体" w:hAnsi="黑体" w:cs="黑体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21" w:name="_Toc32615"/>
      <w:bookmarkStart w:id="22" w:name="_Toc7983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1.1 问题的提出</w:t>
      </w:r>
      <w:bookmarkEnd w:id="21"/>
      <w:bookmarkEnd w:id="22"/>
    </w:p>
    <w:p>
      <w:pPr>
        <w:tabs>
          <w:tab w:val="left" w:pos="478"/>
        </w:tabs>
        <w:spacing w:line="360" w:lineRule="auto"/>
        <w:ind w:firstLine="560"/>
        <w:jc w:val="left"/>
        <w:outlineLvl w:val="1"/>
        <w:rPr>
          <w:rStyle w:val="apple-style-span"/>
          <w:rFonts w:ascii="Arial" w:hAnsi="Arial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23" w:name="_Toc10389"/>
      <w:bookmarkStart w:id="24" w:name="_Toc12159"/>
      <w:bookmarkStart w:id="25" w:name="_Toc6112"/>
      <w:bookmarkStart w:id="26" w:name="_Toc5515"/>
      <w:bookmarkStart w:id="27" w:name="_Toc31335"/>
      <w:bookmarkStart w:id="28" w:name="_Toc22153"/>
      <w:bookmarkStart w:id="29" w:name="_Toc2086"/>
      <w:bookmarkStart w:id="30" w:name="_Toc22512"/>
      <w:bookmarkStart w:id="31" w:name="_Toc26806"/>
      <w:r>
        <w:rPr>
          <w:rStyle w:val="apple-style-span"/>
          <w:rFonts w:ascii="Arial" w:hAnsi="Arial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京津冀区域划分来源于特定的地缘政治，是国家综合经济、社会、民生诸多领域进行的整体规划。这一区域包含了北京市、天津市以及人口经济大省河北省，该区域经济体量巨大、人口众多、行政区划复杂。京津冀协同发展孕育着巨大的发展机遇，给予了区域内经济实体重大的发展际遇，为承德市滦平县这样需要借力发展的区域提供了机会。承德市滦平县滦平县位于河北省东北部，承德市西南部，面向京津，背靠辽蒙，处于京、津、辽、蒙四省市“金三角”交汇点，素有“首都北大门”之称，地理理具有天然的遗留优势，为京津蓄积水源，是组成京津冀协同发展大局的重要成分。</w:t>
      </w:r>
      <w:bookmarkEnd w:id="23"/>
      <w:bookmarkEnd w:id="24"/>
      <w:bookmarkStart w:id="32" w:name="_Toc2365"/>
      <w:bookmarkStart w:id="33" w:name="_Toc1260"/>
      <w:r>
        <w:rPr>
          <w:rStyle w:val="apple-style-span"/>
          <w:rFonts w:ascii="Arial" w:hAnsi="Arial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随着改革开发以来，承德市经济发展速度较快，由于一些区域特有原因限制了承德的跨越式发展，如城镇化体系不完善、层次不分明等。承德市滦平县滦平县位于河北省东北部，承德市西南部，面向京津，背靠辽蒙，处于京、津、辽、蒙四省市“金三角”交汇点，素有“首都北大门”之称。</w:t>
      </w:r>
      <w:bookmarkEnd w:id="32"/>
      <w:bookmarkEnd w:id="33"/>
    </w:p>
    <w:bookmarkEnd w:id="25"/>
    <w:bookmarkEnd w:id="26"/>
    <w:bookmarkEnd w:id="27"/>
    <w:bookmarkEnd w:id="28"/>
    <w:bookmarkEnd w:id="29"/>
    <w:bookmarkEnd w:id="30"/>
    <w:p>
      <w:pPr>
        <w:tabs>
          <w:tab w:val="left" w:pos="478"/>
        </w:tabs>
        <w:spacing w:line="360" w:lineRule="auto"/>
        <w:jc w:val="left"/>
        <w:outlineLvl w:val="1"/>
        <w:rPr>
          <w:rFonts w:ascii="黑体" w:eastAsia="黑体" w:hAnsi="黑体" w:cs="黑体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34" w:name="_Toc629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1.2 研究问题及价值</w:t>
      </w:r>
      <w:bookmarkEnd w:id="31"/>
      <w:bookmarkEnd w:id="34"/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招商引资是地方政府促进经济发展的重要举措，是利用外部资源振兴地方经济的重要手段，抢抓新经济形势下的发展机遇是发展区域经济的有效途径。面对京津冀一体化的战略发展机遇期，旧有的招商引资方法已经不适应经济发展的新常态，为此需要开辟京津冀协同发展背景下的招商引资新途径。承德市滦平县</w:t>
      </w:r>
      <w:r>
        <w:rPr>
          <w:rFonts w:hint="eastAsia"/>
          <w:color w:val="000000" w:themeColor="text1"/>
          <w:sz w:val="24"/>
          <w:szCs w:val="22"/>
          <w:highlight w:val="none"/>
          <w14:textFill>
            <w14:solidFill>
              <w14:schemeClr w14:val="tx1"/>
            </w14:solidFill>
          </w14:textFill>
        </w:rPr>
        <w:t>是河北省22个环京津卫星城之一，是河北省委、省政府确定的环首都绿色经济圈14县（市、区）之一。县内基础设施完备，境内现有铁路三条、公路网发达，具备运行通达的运输条件。县内旅游资源富集，举世闻名的金山岭长城是万里长城的精粹，滦平县矿物资源丰富，已发现的有用矿物34种。</w:t>
      </w:r>
    </w:p>
    <w:p>
      <w:pPr>
        <w:spacing w:line="540" w:lineRule="exact"/>
        <w:ind w:firstLine="480" w:firstLineChars="20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9"/>
          <w:footerReference w:type="default" r:id="rId10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spacing w:line="540" w:lineRule="exact"/>
        <w:ind w:firstLine="480" w:firstLineChars="20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抓住京津冀协同发展的重大机遇，确定自身发展定位，与京津展开全方位对接。加强与国家部委、京津及省市相关部门沟通对接，做好《京津冀协同发展规划》重大事项，积极迎接发展机会壮大自身发展力量。抓取京津冀协同发展的上升期，完善招商引资基础设施工程建设，加快完善交通体系规划，重点实现与北京交通网的全面互联，打通“断头路”和“瓶颈路”，推进招商引资工作发展进程，为经济发展助力。抓住京津冀协同发展机遇，重点与北京形成区域间产业合理分布和上下游联动机制，争取一批符合我县产业要求的工业企业落户。招商引资有利于进一步深化和拓展与京津的产业化合作和产业转移，提升滦平农业发展水平，扩大京津绿色农产品基地规模。招商引资有利于加快推进已签约重点合作项目建设进度，同时依托大项目发展连锁式农家游、乡村游，进一步引进京津地区战略投资者，加大核心景区开发力度。充分利用招商引资的发展机遇，可以有力地加快区域经济的快速发展，实现县域经济的跨越式发展。</w:t>
      </w:r>
    </w:p>
    <w:p>
      <w:pPr>
        <w:spacing w:line="360" w:lineRule="auto"/>
        <w:jc w:val="left"/>
        <w:outlineLvl w:val="1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35" w:name="_Toc14154"/>
      <w:bookmarkStart w:id="36" w:name="_Toc25552"/>
      <w:bookmarkStart w:id="37" w:name="_Toc13532"/>
      <w:bookmarkStart w:id="38" w:name="_Toc20715"/>
      <w:bookmarkStart w:id="39" w:name="_Toc17312"/>
      <w:bookmarkStart w:id="40" w:name="_Toc3382"/>
      <w:bookmarkStart w:id="41" w:name="_Toc16200"/>
      <w:bookmarkStart w:id="42" w:name="_Toc19041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1.3研究方法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</w:p>
    <w:p>
      <w:pPr>
        <w:spacing w:line="540" w:lineRule="exact"/>
        <w:ind w:firstLine="480" w:firstLineChars="20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（1）调查法</w:t>
      </w:r>
    </w:p>
    <w:p>
      <w:pPr>
        <w:spacing w:line="540" w:lineRule="exact"/>
        <w:ind w:firstLine="480" w:firstLineChars="20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本研究采用实地调查的方法，对承德市的招商引资环境进行调查分析，考察各个招商区域的招商引资策略。针对承德市内招商引资的成功区县进行走访，分析其宏观利用政策的发展举措，汲取微观上其招商引资的具体做法，从成功的招商引资案例中探寻发展路径。</w:t>
      </w:r>
    </w:p>
    <w:p>
      <w:pPr>
        <w:spacing w:line="540" w:lineRule="exact"/>
        <w:ind w:firstLine="480" w:firstLineChars="20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（2）文献研究法</w:t>
      </w:r>
    </w:p>
    <w:p>
      <w:pPr>
        <w:spacing w:line="540" w:lineRule="exact"/>
        <w:ind w:firstLine="480" w:firstLineChars="200"/>
        <w:outlineLvl w:val="0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bookmarkStart w:id="43" w:name="_Toc31362"/>
      <w:bookmarkStart w:id="44" w:name="_Toc15995"/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文献研究法主要指搜集</w:t>
      </w:r>
      <w:r>
        <w:rPr>
          <w:rFonts w:ascii="宋体" w:hAnsi="宋体"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鉴别</w:t>
      </w:r>
      <w:r>
        <w:rPr>
          <w:rFonts w:ascii="宋体" w:hAnsi="宋体"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整理文献，</w:t>
      </w:r>
      <w:r>
        <w:rPr>
          <w:rFonts w:ascii="宋体" w:hAnsi="宋体"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通过阅读国内、国外对外招商引资的发展资料，进行归纳整理，总结招商引资的成功经验。</w:t>
      </w:r>
      <w:bookmarkEnd w:id="43"/>
      <w:bookmarkEnd w:id="44"/>
      <w:bookmarkStart w:id="45" w:name="_Toc12607"/>
    </w:p>
    <w:p>
      <w:pPr>
        <w:spacing w:line="540" w:lineRule="exact"/>
        <w:outlineLvl w:val="1"/>
        <w:rPr>
          <w:rFonts w:ascii="宋体" w:hAnsi="宋体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46" w:name="_Toc4042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1.4研究的创新点</w:t>
      </w:r>
      <w:bookmarkEnd w:id="45"/>
      <w:bookmarkEnd w:id="46"/>
    </w:p>
    <w:p>
      <w:pPr>
        <w:spacing w:line="360" w:lineRule="auto"/>
        <w:jc w:val="left"/>
        <w:outlineLvl w:val="1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47" w:name="_Toc8042"/>
      <w:bookmarkStart w:id="48" w:name="_Toc4702"/>
      <w:bookmarkStart w:id="49" w:name="_Toc23896"/>
      <w:bookmarkStart w:id="50" w:name="_Toc26868"/>
      <w:bookmarkStart w:id="51" w:name="_Toc2130"/>
      <w:bookmarkStart w:id="52" w:name="_Toc15112"/>
      <w:bookmarkStart w:id="53" w:name="_Toc14437"/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区域经济的发展离不开资源的借助力量，滦平县经济的发展需要综合京津冀协同发展的共享资源。本文立足于滦平县的自然资源、人力资源优势，抓住京津冀协同发展的机遇，将县域经济发展与区域协调发展相结合，实现了资源配置的创新。同时，将经济发展的趋势与县域经济结合起来，对京津冀地区的大量产业数据进行了归类汇总，并对应招商引资理论进行综合分析。同时对滦平县的发展优势进行定性的分析，对资源、人才、资金等进行了定量分析，综合发展的优缺点集中分析。京津冀的产业结构调整能给出滦平县经济发展的前进方向，明晰滦平县经济发展的路径，将论文的研究推向纵深。</w:t>
      </w:r>
    </w:p>
    <w:bookmarkEnd w:id="47"/>
    <w:p>
      <w:pPr>
        <w:spacing w:line="360" w:lineRule="auto"/>
        <w:jc w:val="center"/>
        <w:outlineLvl w:val="0"/>
        <w:rPr>
          <w:rFonts w:ascii="黑体" w:eastAsia="黑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54" w:name="_Toc19023"/>
      <w:r>
        <w:rPr>
          <w:rFonts w:ascii="黑体" w:eastAsia="黑体" w:hint="eastAsia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第2章 招商引资的基础理论及文献综述</w:t>
      </w:r>
      <w:bookmarkEnd w:id="54"/>
    </w:p>
    <w:p>
      <w:pPr>
        <w:spacing w:line="540" w:lineRule="exact"/>
        <w:outlineLvl w:val="1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11"/>
          <w:footerReference w:type="default" r:id="rId12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720"/>
          <w:titlePg w:val="0"/>
          <w:docGrid w:type="lines" w:linePitch="312" w:charSpace="0"/>
        </w:sectPr>
      </w:pPr>
      <w:bookmarkStart w:id="55" w:name="_Toc20225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2.1招商引资的基础理论</w:t>
      </w:r>
      <w:bookmarkEnd w:id="55"/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招商引资的总体思路是积极利用其他国家的技术、管理、资金方面的发展经验，借助外力发展自身经济的历程。在招商引资的过程中需要投资方和引资方配合完成，双方看准发展时机交换资源，为自身争取最大的发展机会。中国招商引资聚集在改革开放的前沿区域，把经济开发区作为发展重点，加之开发范围的不断扩大，政府综合发展策略推动市场经济体制改革、优化政府资源配置。加速产业结构调整与升级、增强固定资产投资能力、推动政府职能转换的重要手段。在营销的视角观察，招商引资利用的是营销的发展模式。买卖双方清晰界定，投资者充当买方，把自身需求展示出来，用资金金钱去购买所需商品。吸引资金的一方需要提供质量过硬有持续吸引力的产品，将产品服务做到价值最大化。引资的一方本质上是在营销，对投资者的购买意图和内在需求进行准确把脉，继而用各种策略推销自己，用比较成熟的计划方案提高招商引资的机会。 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随着改革开放以来，京津两地先后在国家政策支持下快速发展，城市经济水平不断提高，城市日趋繁华，但是，京津周边地区城市与之相比差距较大，形成周边城市经济建设落后，京津冀地区发展不协调现象。我国“十二·五”期间将京津冀一体化发展提升至国家重大发展战略，发展京津两地与周边城市形成产业互补，交通体系互融，公共服务等协调发展，更加紧密联系京津冀区域一体化发展，带动周边城市经济发展水平和职能分工，形成一体化大都市圈。承德市作为紧邻京津地区的重要城市，面临着发展重大机遇，新型城镇化是承德市发展的重要推力。京津冀一体化以及产业的协调发展具有全局性和系统性,需要有一个顶层设计与规划机制来进行统一指导。顶层设计与规划最主要的就是要用整体观和大局观的思路，打破地方政府的“一亩三分地”边界以及“诸侯经济”的格局。此外，顶层设计与规划机制还要对区域内的整体产业建设进行合理布局，在区域经济发展和构建统一市场的过程中凝聚力量,形成合力,集中力量办大事。在利益分享过程中能够进行权衡和统筹，不挫伤地方积极性，真正做到利益共享，合作共赢。</w:t>
      </w:r>
    </w:p>
    <w:p>
      <w:pPr>
        <w:spacing w:line="540" w:lineRule="exact"/>
        <w:outlineLvl w:val="1"/>
        <w:rPr>
          <w:rFonts w:ascii="黑体" w:eastAsia="黑体" w:hAnsi="黑体" w:cs="黑体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56" w:name="_Toc14519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2.2国外研究文献综述</w:t>
      </w:r>
      <w:bookmarkEnd w:id="56"/>
    </w:p>
    <w:p>
      <w:pPr>
        <w:spacing w:line="540" w:lineRule="exact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（1）国外招商引资研究现状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13"/>
          <w:footerReference w:type="default" r:id="rId14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招商引资首先梳理的是发展的内在需要，然后将人才、技术、管理人才的经验、以及发展资金相整合，学习这一系列发展要素的成功经验发展自己。招投资双方定位自发展角色，时刻争取自身发展的重要机会，同时争取利用双方的优势资源进行协同发展。外国的招商引资伴随着浓重的政治经济发展背景，同国家本身的发展情况相对应。追溯二战后各国的发展，战后国家的经济举步维艰，恢复重建是发展的根本，应对这一历史发展机遇招商引资成为风口浪尖的发展模式。经过后期的建设与发展，投资的形势从发达国家向发展中国家逐步转变，发达国家间也加强了各个领域的合作，发达国家与发展中国家也相互利用发展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国外的投资包含着众多利益集团，招商引资的对象也比较复杂繁多，集中在大型有实力的跨国公司，同时含纳私募股权基金、风险投资基金等。在投资的方式上，发展中国家坚持以政府为主导，用政府政策吸引外部投资。大多采用通用的引资模式，设立经济园区、海外办事处、政府专门招商机构等。而发达国家的招商引资注重与市场对接，多以以企业为主导。发达国家的引资项目主要集中在具有高精尖科技含量较高的项目，对高新技术的现实性要求比较高。发展中国家的引资项目主要集中在劳动力密集型的制造业，以及对人力资源要求较多的服务业。发达国家的投资力度和规模逐步扩大，将投资范围扩展到全球，扩展了全球经济的发展视野，使得全球经济的发展更加充分。发展中国家而发展中国家对外投资尚处于发展阶段，投资规模有限，局限在特定自身经济发展区域内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15"/>
          <w:footerReference w:type="default" r:id="rId16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国外招商引资比较成功且有可能复制成功的案例来自新加坡：其人口约550万，国土面积有限，并且各种物质类的资源并不充裕。就是这样发展条件并不占优的国家，却能够飞速发展步步创造经济发展的奇迹，一直被看作国家利用外部资源发展的典范。新加坡积极利用外部资源发展自身经济，重点发展方向就是吸引国外企业，用各种实际优惠策略招揽外资。外资企业在新加坡发展迅速，各种人才资源聚合，逐渐形成集团发展优势，政府进一步利用资源积聚优势对外投资，形成了吸引投资与加快外部投资的双赢发展局面。新加坡政府在管理招商引资策略时，专款专用专门成立招商引资部门，将各个部门的职能细化，使得其各司其职各有分工。与此同时，重点发展大企业战略项目，用这些产业重大发展项目带动其他产业发展。建设园区经济，以打造国际一流的基础设施为发展目标，重金发展基础实施，为经济持续发展夯实内在基础。新加坡政府还分外注重软实力的建设，发展软环境建设，按照国际通用的标准进行运作，使投资没有发展的后顾之忧。</w:t>
      </w:r>
    </w:p>
    <w:p>
      <w:pPr>
        <w:spacing w:line="360" w:lineRule="auto"/>
        <w:jc w:val="left"/>
        <w:outlineLvl w:val="1"/>
        <w:rPr>
          <w:rFonts w:ascii="黑体" w:eastAsia="黑体" w:hAnsi="黑体" w:cs="黑体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</w:t>
      </w:r>
      <w:bookmarkStart w:id="57" w:name="_Toc15456"/>
      <w:bookmarkStart w:id="58" w:name="_Toc13941"/>
      <w:bookmarkStart w:id="59" w:name="_Toc14197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2.3国内研究文献综述</w:t>
      </w:r>
      <w:bookmarkEnd w:id="57"/>
    </w:p>
    <w:p>
      <w:pPr>
        <w:spacing w:line="360" w:lineRule="auto"/>
        <w:jc w:val="left"/>
        <w:outlineLvl w:val="1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（1）国内招商引资研究现状</w:t>
      </w:r>
      <w:bookmarkEnd w:id="58"/>
      <w:bookmarkEnd w:id="59"/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在中国，招商引资最早出现在改革开放的最前沿—经济技术开发区，随着经济总量的增加和开放范围的不断扩大，现已成为各地方政府推动市场经济体制改革、优化政府资源配置的重要手段。招商引资吸引外部资源，有利于加速产业结构的调整，能够有力地增强固定资产投资能力，是推动政府职能转换的重要动力。一段时期以来，中国经济发展态势良好经济总量增长迅速，招商引资项目在其中扮演了重要角色，从资金、技术、人力资源等各个方面推动经济的快速发展。招商引资的主体长期以来定位为地方政府，是促进地方区域经济发展的主要动力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招商引资是中国改革开放政策的重要组成部分，是国家经济发展的重要推动力量。一直以来，中国持续保持对西方国家的招商引资力度，运用政策导向吸引</w:t>
      </w:r>
    </w:p>
    <w:p>
      <w:pPr>
        <w:spacing w:line="360" w:lineRule="auto"/>
        <w:rPr>
          <w:rFonts w:ascii="黑体" w:eastAsia="黑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欧美、日韩、东南亚等发达国家来华投资。中国经济发展路径逐渐宽阔，发展步伐也渐趋加快，一些较有实力和发展潜力公司瞄准发展机遇对中国进行投资。外商投资的重点从过去的基础实施逐渐转变为金融、保险类的新兴产业。全球经济集体向前发展，新兴科技发展势头强劲，中国抓住发展机遇转向高新技术产业。中国招商引资的发展规模逐年扩大，在东南沿海地区继续保持着发展优势，外部资源的利用比较积极。内路地区经济发展步伐较慢，但伴随着京津冀的协同发展北部和西部地区开始加快发展步幅，投资规模和水平持续增长。  </w:t>
      </w:r>
      <w:bookmarkEnd w:id="48"/>
      <w:bookmarkEnd w:id="49"/>
      <w:bookmarkEnd w:id="50"/>
      <w:bookmarkEnd w:id="51"/>
      <w:bookmarkEnd w:id="52"/>
      <w:bookmarkEnd w:id="53"/>
    </w:p>
    <w:p>
      <w:pPr>
        <w:spacing w:line="360" w:lineRule="auto"/>
        <w:jc w:val="center"/>
        <w:outlineLvl w:val="0"/>
        <w:rPr>
          <w:rFonts w:ascii="黑体" w:eastAsia="黑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60" w:name="_Toc8862"/>
      <w:r>
        <w:rPr>
          <w:rFonts w:ascii="黑体" w:eastAsia="黑体" w:hint="eastAsia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第3章 滦平县对外招商引资现状及问题</w:t>
      </w:r>
      <w:bookmarkEnd w:id="60"/>
    </w:p>
    <w:p>
      <w:pPr>
        <w:spacing w:line="360" w:lineRule="auto"/>
        <w:outlineLvl w:val="1"/>
        <w:rPr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61" w:name="_Toc12810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3.1 滦平县对外招商引资概况</w:t>
      </w:r>
      <w:bookmarkEnd w:id="61"/>
      <w:r>
        <w:rPr>
          <w:rFonts w:hint="eastAsia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</w:p>
    <w:p>
      <w:pPr>
        <w:tabs>
          <w:tab w:val="left" w:pos="6120"/>
        </w:tabs>
        <w:spacing w:line="570" w:lineRule="exact"/>
        <w:ind w:firstLine="480" w:firstLineChars="20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17"/>
          <w:footerReference w:type="default" r:id="rId18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县县城中心的规划面积177.8平方公里，近期规划人口将达13万人，城市建设用地将达到14平方公里；中远期规划人口将达21万人，城市建设用地将达到22.3平方公里。我们将这个区域定位为京津冀辽蒙五省市交汇区域的重要节点，以拓展城市空间、完善城市基础设施和功能、发展商贸物流服务业为重点，通过旧城区开发改造、东部新城区建设等战略的实施，将会集中展现滦平生态宜居的首都卫星城风貌，成为北京教育、医疗、养老、文化、休闲等产业转移的“首选地”。滦平县也面临着招商引资的产业失衡状况，</w:t>
      </w:r>
    </w:p>
    <w:p>
      <w:pPr>
        <w:tabs>
          <w:tab w:val="left" w:pos="6120"/>
        </w:tabs>
        <w:spacing w:line="570" w:lineRule="exact"/>
        <w:ind w:firstLine="420" w:firstLineChars="200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tabs>
          <w:tab w:val="left" w:pos="6120"/>
        </w:tabs>
        <w:spacing w:line="570" w:lineRule="exact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tabs>
          <w:tab w:val="left" w:pos="6120"/>
        </w:tabs>
        <w:ind w:firstLine="420" w:firstLineChars="200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617720" cy="3467100"/>
            <wp:effectExtent l="0" t="0" r="0" b="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772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tabs>
          <w:tab w:val="left" w:pos="6120"/>
        </w:tabs>
        <w:spacing w:line="570" w:lineRule="exact"/>
        <w:ind w:firstLine="480" w:firstLineChars="20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tabs>
          <w:tab w:val="left" w:pos="6120"/>
        </w:tabs>
        <w:spacing w:line="570" w:lineRule="exact"/>
        <w:ind w:firstLine="480" w:firstLineChars="200"/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20"/>
          <w:footerReference w:type="default" r:id="rId21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县抢抓京津冀协同发展机遇，坚持把项目作为根本抓手，尽心竭力破除发展瓶颈，全面加快对外开放步伐。通过开展重点项目全程代办、四大班子领导“大走访”“大招商”等系列活动，累计新开工亿元以上项目182个；成功与中信中证、碧桂园、恒大等100多家国内知名企业、科研院校签订了合作协议，签约总额突破1000亿元，项目合作覆盖到基础设施建设、文化旅游、现代农业、新兴产业等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一些相关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领域。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通过多方面的积极争取，得到了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上级专项资金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将近一百亿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同时得到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上级地方政府债券资金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37.6亿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；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在整个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全县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地区，又增加了9家经融机构，累计获得贷款108.2亿，从而为全县的发展奠定了更加坚实的基础。各类投资也在持续稳定增长，投资总额达到了32.08亿，不管是省干线还是农村公路都进行了一定的改造，其中省干线达到了390KM，而农村公路改造678KM；有一批国家重点工程已经突入使用，例如，重要的张唐铁路。</w:t>
      </w:r>
    </w:p>
    <w:p>
      <w:pPr>
        <w:spacing w:line="360" w:lineRule="auto"/>
        <w:outlineLvl w:val="1"/>
        <w:rPr>
          <w:rFonts w:ascii="黑体" w:eastAsia="黑体" w:hAnsi="黑体" w:cs="黑体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62" w:name="_Toc27209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3.2 滦平县对外招商引资特点</w:t>
      </w:r>
      <w:bookmarkEnd w:id="62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通过查重相关资料我们可以发现，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有着比较特别的地理资源，在进行对外招商引资时，主要是利用内部发展来有效的吸引外部投资。一直把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“河北一流、承德第一”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当做全县的发展目标，全县人民不怕苦，不怕累，事事追求第一，这很大的促进了全县各个产业的有效发展。多次荣获国家和省级荣誉，例如，荣获的省级现代农业园区，这是对全县发展的一种肯定。同时，在张百湾地区的产业示范区，已经被河北省评定为省级高新技术开发区，这是河北省对全县近年来高新技术发展的一种认可，极大的鼓励了全县人民的奋斗热情。全县多个单位都获得了国家级、省级、市级等多项荣誉，其中国家级荣誉达到了33项，可见，国家对于全县政府部门的各个单位工作都是比较肯定的，这也激励着各单位在新时代做出更多的成绩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（1）依托区县产业，打造区域品牌</w:t>
      </w:r>
    </w:p>
    <w:p>
      <w:pPr>
        <w:spacing w:line="360" w:lineRule="auto"/>
        <w:ind w:firstLine="480"/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政府为了给外商进入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进行投资兴业创设良好的投资环境，在许多领域都开展了大量的工作，例如，投入了大量的资金来进行环境保护工作，修复破坏的环境，全县各个部门单位都积极的参与，同时也发动了全县的民众一起来</w:t>
      </w:r>
      <w:r>
        <w:rPr>
          <w:rFonts w:ascii="宋体" w:hAnsi="宋体"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保护环境，这些积极的行为得到了市领导的表扬。大美滦平在一定区域范围内已经形成了一个比较响亮的品牌。同时也举办了著名的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“中美旅游年·千名美国游客游长城”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的重要活动，让全世界看到了一美丽，而且富有活力的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这是一种有效的世界推广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还依托自己的产业成功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打造了“滦熙”等4个省级著名商标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80"/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22"/>
          <w:footerReference w:type="default" r:id="rId23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基础设施是许多企业投资的一个重要参考指标，因为完备的基础设施是企业快速发展的基础条件。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县有关部门十分重视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软环境</w:t>
      </w:r>
    </w:p>
    <w:p>
      <w:pPr>
        <w:spacing w:line="360" w:lineRule="auto"/>
        <w:ind w:firstLine="480"/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的打造，把主要精力放在了基础设施建设上。找了许多专家学者对全县经济发展进行了总体的规划，对进入园区的企业进行严格的评定，让那些前景广阔，发展有质量的企业进入园区，对于那些发展效益极低的企业一概不准进入。注重新兴产业发展，对他们进行必要的扶持，加大各个园区的互补性，更好的促进他们一起共同发展，让外商看到园区的发展活力与潜力。根据现有条件，发展适合本地经济产业的产业集群，对相关的管理制度进行更加科学、合理的优化，使管理工作跟上企业发展的速度，更好的促进企业发展。继续坚持开放型的发展模式，把园区各方面的信息都有效的展现给投资者，让投资者看到未来发展的潜力。建立一系列政策优惠措施，对进入园区的企业进行适当的政策扶持，增强他们发展的活力。对进入园区的企业采取税费一致的原则，给外商创造一个公平的竞争环境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建设专门的投资服务平台，对办事程序进行适当的简化，缩短事情办理时间，提高办事效率，实行政务公开；推行“一站式”服务，简化进入园区的审批手续和程序；设立有效的监督激励机制，对于那些损害到经济环境的行为坚决查处，给外商进入园区提供方便快捷的通道。加大法制规范的建设，对全县市场进行严格的规范和整顿，使每一名投资者的利益都得到有效的额保障，创设公平公正的环境；协调各个部门对那些欺诈行为进行严厉的打击，创设诚信的法制环境；加对黑恶势力的整治，给全县创设一个和谐、安全的环境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（2）深改革促创新，激发县域发展活力</w:t>
      </w:r>
    </w:p>
    <w:p>
      <w:pPr>
        <w:spacing w:line="360" w:lineRule="auto"/>
        <w:ind w:firstLine="480"/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当前，国家正在进行深入的改革，来促进经济的稳定持续发展，因此，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也应紧随潮流，根据全县的实际情况，进行一系列的改革，从而激发创新活力，用创新来促进全县产业的快速、持续发展。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首先，对重点领域进行进一步的深化改革。进行适当的权利下方和行政工作的简化，认真落实好国务院发布的相关文件精神，不断加大事中和事后的监管；把全县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330项许可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97项公共服务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全部放在一个大厅，让企业感受到真实的快捷方便；简化审查登记工作，适当放宽外商的准入门槛，有效的增加园区的总体规模；对农村进行各项改革工作，保证农村地区不动产登记工作顺利完成；根据发展需要建立健全农村产权交易平台，加大对适度规模经营的支持力度。其次，创新投融资方式。基于当前的投融资平台，根据发展需要，争取中期或者长期的资金支持；利用一切可利用的投融资平台资金，来支持农业龙头企业的产业建设，更好的促进农业发展；和证券公司开展合作，为县里企业上市创造更多的优惠政策，积极引进外部资本进入本县企业，把全县的市场做大。最后，实行创新驱动机制。当下的中国，鼓励全民进行大众创业，万众创新，可见，创新的重要性。全县要积极的引导全县企业进行创新，着重培养一批科技型企业，和一些科研机构进行合作，加大资金支持，提升技术成果的市场转化。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（3）强化“四抓”载体，提升招商实效性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24"/>
          <w:footerReference w:type="default" r:id="rId25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对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那些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招商引资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已经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落地的项目，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要对其进行适当引导，推进项目的进行，使其很快的进行开工建设。对于园区的重点项目，实行严格的周、月、季通报工作，按照项目规划进行推进，对于项目中存在的问题及时的帮助企业进行解决。做好各个部门的信息沟通工作，使企业办事流程更加简化。政府要严格把控工程进度，派专人在项目建设的一线进行指导，帮助企业解决工程建设难题，使整个项目工作更加快速、有序的推进。积极协调各个部门对加快项目的审批进程，对那些重大的项目实行专人负责制，让各个部门的工作同时推进，有效的减少审批时间。对于园区企业的水电气等困难，政府部门及时的帮助他们解决。在项目签约后，政府相关部门的领导还要继续跟进项目，了解项目的整体进展和推进计划。在项目动工之前，协调各个部门做好前期工作，确保项目的如期开工。对于那些故意不按照项目规划进行项目推进的企业，坚决将其退出，把资源留给更好的项目。</w:t>
      </w:r>
    </w:p>
    <w:p>
      <w:pPr>
        <w:spacing w:line="360" w:lineRule="auto"/>
        <w:outlineLvl w:val="1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63" w:name="_Toc31732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3.3滦平县对外招商引资内容及形式</w:t>
      </w:r>
      <w:bookmarkEnd w:id="63"/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滦平县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在对外招商方面取得了一些显著的成绩，但是也存在着一些问题，例如，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招商进展慢、项目规模小。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所以，政府需要认真做好招商引资工作，有效提高招商引资的效率，基于创新的思路，需要着重做好以下几个方面。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（1）更新理念，强化思路开创性</w:t>
      </w:r>
    </w:p>
    <w:p>
      <w:pPr>
        <w:spacing w:line="360" w:lineRule="auto"/>
        <w:ind w:firstLine="480"/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26"/>
          <w:footerReference w:type="default" r:id="rId27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对于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滦平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县来说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，</w:t>
      </w:r>
    </w:p>
    <w:p>
      <w:pPr>
        <w:spacing w:line="360" w:lineRule="auto"/>
        <w:ind w:firstLine="480"/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首先需要解决的问题就是矿产一家独大的发展瓶颈，虽然，矿产业给全县财政贡献了不少的收入，但是，这不是长久发展之计，全县需要解放思想，大力提升全县的内在发展动力。放手去进行招商引资，当下全县财政方面是比较紧张的，短期内是没有足够的资金去新产业的建设，所以，必须进行大力的招商引资，鼓励民间资本和外部企业来县里进行相关的投资兴业。建设一批高标准的厂房免费提供给发展潜力大的企业使用，加大吸引力。继续加大基础设施的建设，虽然这会给政府带来许多债务，但是，好的基础设施会给企业发展带来更多的活力，企业会发展的更快，这会增加税收，税收可以用来偿还债务。招商引资也不能过于盲目，要尽量选择那些优质企业，优质企业发展潜力大，发展也更具活力，发展效益更好。金科科技、氧化球团等一批全县代表性的企业要根据企业的实际情况，推进和大公司的合作，适当的引进一些先进的科学技术和管理经验，从而更好的提升自己，使企业的综合竞争力得到显著增强。引入企业固然重要，但是也要引导全县有实力的企业走出去发展，不断做大做强企业，获得更多的市场占有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（2）革新产业布局，着眼合作的带动性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要坚持以招商引资为主线，加快推进我县的工业化、城镇化、民营化和农业产业化进程。着眼于推进工业化，大力实施工业兴县战略，走新型工业化之路，抓大项目、做大企业，突出新材料、装备制造、休闲旅游等重点产业，努力扩张产业规模。要发挥企业招商主体的作用，突出工业项目、独资项目、大型项目、高科技项目，以及对全县经济具有较强辐射作用、能明显增加就业的外资项目的引进。要拿出最好的企业、最好的项目寻求合资合作，新上一批工业企业，嫁接一批老企业，拍卖一批亏损企业，努力追求有限资产的效益最大化，进一步强化工业的主体地位。着眼于推进城镇化，坚持高起点规划、高标准建设、高水平管理、高效能经营。县城建设坚持市场化运作，鼓励外商、民资投入基础设施建设，以地兴城、以城养城、以市活城，加快城镇水路电讯等设施建设。建立土地储备制度、招标拍卖制度和统一管理制度，由政府垄断土地一级市场，坚决杜绝零星征地、插建现象。配套完善有利于农民进城的土地、户籍、医疗、教育等制度，加快农村劳动力转移，提高城镇化水平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（3）着眼于推进民营化和农业产业化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大力发展民营经济，鼓励民间资本、外来资金参与一、二、三产业发展的各个领域，无论是传统工业，还是农业开发、第三产业等，只要有利于本行业的发展，都可以向民间资本放开，都可以与外商合资合作。对城建、交通、教育、卫生、文化等事业，可采取BOT、TOT等招商模式吸引民资或外资，也可以根据实际情况对一些社会公益事业的发展实行“民办公助”，以资源换资金，变包袱为财富。着眼于推进农业产业化，坚持以安全、绿色、有机为标准，大力调整农业结构，积极推进农业开发，加快农产品基地建设。用工业化的理念谋划农业发展，大力培植农产品加工、运销、贮藏、等为主的农村二三产业，拉长产业链条，用龙头企业快速膨胀带动支柱产业和特色产业的发展，使各产业由分散走向集中，变弱势为强势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（4）实事求是，强化工作针对性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28"/>
          <w:footerReference w:type="default" r:id="rId29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打好全民招商这场硬仗，要从实际出发，以“四源”建设为抓手，提高招商引资活动的效率。准确收集县内外客商、企业负责人资料，特别是京、津与我县有经贸联系客户的情况，全面掌握其企业具体情况，建立比较完备的客商资料库。同时定期举办由各地外商参加的联谊、经贸洽谈活动，以商招商、以外引外，使更多的外商了解滦平，增强来滦投资的信心，巩固老客商、结交新客商。项目是招商引资的基础。各部门要认真研究，全力抓好本领域项目储备。抓衔接，依据国家宏观政策走势和投资导向，力争把项目列入国家或省市计划的“篮子”，以提高项目争取的成功率；抓根本，结合滦平资源、劳动力等优势，精心编制、包装一批关联度高、牵动性强的大项目；抓外联，按照先进发达地区产业升级和资本转移的趋势、外商投资的热点，加强推介项目的筛选、论证，不断充实项目库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发动多方面力量，利用战友、老乡、同学、朋友等多种关系沟通信息；认真研究国外及国内沿海地区正在转移的产业及资本的信息、正在寻找新的投资领域和合作伙伴的企业信息；及时了解全国及地区性重点会展、经贸洽谈会等发布的有关项目信息；加强与各地招商中介组织、专业招商队伍的联系，实行代理和委托招商，及时掌握项目信息；通过因互联网、电子商务等现代化手段，及时发布并获取各类信息。招商引资涉及政治、经济、法律、商业、经贸及国家政策、市场等方面的知识，专业性极强，需要一批接洽高手、谈判专家。经过近几年的招商实践，培养了一批熟悉招商工作的人才，许多经常同企业打交道的本地企业家也成为了专家。对这些人才要纳入专门管理，给荣誉、给待遇，并通过多种形式进行培养、深造。</w:t>
      </w:r>
    </w:p>
    <w:p>
      <w:pPr>
        <w:spacing w:line="360" w:lineRule="auto"/>
        <w:outlineLvl w:val="1"/>
        <w:rPr>
          <w:rFonts w:ascii="黑体" w:eastAsia="黑体" w:hAnsi="黑体" w:cs="黑体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64" w:name="_Toc3564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3.4 滦平县对外招商引资的SWOT分析</w:t>
      </w:r>
      <w:bookmarkEnd w:id="64"/>
    </w:p>
    <w:p>
      <w:pPr>
        <w:spacing w:line="360" w:lineRule="auto"/>
        <w:outlineLvl w:val="1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65" w:name="_Toc24714"/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2.4.1滦平县对外招商引资的优势</w:t>
      </w:r>
      <w:bookmarkEnd w:id="65"/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滦平位于河北省东北部、承德市西南部，总面积2993平方公里，辖20个乡镇、1个街道办事处，总人口32万，其中以满族为主的少数民族30个，是河北省政府确定的民族县和环首都绿色经济圈重点县。县内资源丰富，各项优势在环首县中较为突出。  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（1）区位优势独特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毗邻京津，背靠辽蒙，东接承德市区，南距北京市区仅165公里，是衔接京承的重要节点。全县有6个乡镇21个行政村分别与北京市密云县和怀柔区接壤，边界线长113公里。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30"/>
          <w:footerReference w:type="default" r:id="rId31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（2）基础设施完备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交通便捷，是东北和内蒙地区通往首都北京的交通要道，  京通铁路、张唐铁路在县城东部交汇并设有枢纽站，京承高速、张承高速，国道101线、112线，省道京承线、滦赤线、半虎线、张隆线和规划中的京锡高速贯穿全境，公路、铁路总里程分别达到2048和144公里；已开通与北京的公交线路，每天对开车次30余次；能源充足，建成投入运行的各类变电站20座，其中500千伏变电站1座，正在建设的220千伏变电站1座、110千伏变电站2座将于近期建成投运；内蒙古克什克腾旗至北京煤制天然气管道途经我县，设有分输站一座，年可用天然气6亿立方米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（3）旅游资源富集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金山岭长城被誉为“万里长城之精粹”,被列为世界文化遗产、全国重点文物保护单位、国家4A级旅游景区、国家级重点风景名胜区; 白草洼国家级森林公园，拥有华北地区最大的原始次生白桦林，森林覆盖率近80%，负氧离子含量平均每立方厘米4万个，最高瞬时值高达每立方厘米10万个，是华北地区自然植物群落保存最好的景区之一。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（4）生态环境康宜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生态优良，气候适宜，森林覆盖率达到58.5%，是“夏季避暑、冬季躲霾、春季赏花、秋季观景”的宜居首选地。土地，滦平是“八山一水一分田”的浅山区，全县园地0.9万公顷、林地18万公顷、草地7万公顷（适宜多种植物、作物生长）、水域及水利设施用地0.4万公顷。气候，属燕山山地气候，四季分明、冬长夏短；全县二级以上优良天数达到350天，占全年总天数的96%，充分印证了康熙帝在其《烟波致爽并序》中所说的“热河地既高敞，气亦清朗，无蒙雾霾氛”。水文，境内有潮河、滦河、伊逊河、兴洲河四条大河，是京津两市的重要水源涵养地，全县水资源总量13.7亿立方米，人均占有量达767立方米，是河北省人均307立方米的2.5倍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（5）文化底蕴厚重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32"/>
          <w:footerReference w:type="default" r:id="rId33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6800年前滦平即有人类文明，山戎民族从商周到战国时期在此延续700多年；兴洲小城子为汉代白檀县县城，是中华根祖文化代表地之一；满族文化和皇家文化积淀深厚，清代皇帝秋狝避暑往返此区域230次；地区普通话发音标准，是建国初期全国普通话标准音采集地，现被国家语委确定为全国普通话体验区。</w:t>
      </w:r>
    </w:p>
    <w:p>
      <w:pPr>
        <w:spacing w:line="360" w:lineRule="auto"/>
        <w:outlineLvl w:val="1"/>
        <w:rPr>
          <w:rFonts w:ascii="黑体" w:eastAsia="黑体" w:hAnsi="黑体" w:cs="黑体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66" w:name="_Toc30415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3.5 京津冀一体化背景下滦平县对外招商引资的机会</w:t>
      </w:r>
      <w:bookmarkEnd w:id="66"/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（1）全方位融入京津冀协同发展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紧紧抓住京津冀协同发展的重大机遇，围绕“五大功能区”发展定位，与京津展开全方位对接。规划对接，加强与国家部委、京津及省市相关部门沟通对接，做好《京津冀协同发展规划》重大事项、重点项目争列工作，赢得主动。交通对接，加快完善交通体系规划，重点实现与北京交通网的全面互联，打通“断头路”和“瓶颈路”，推进与怀柔、密云等新的公交专线、轻轨等规划争列工作。工业对接，重点与北京形成区域间产业合理分布和上下游联动机制，争取一批符合我县产业要求的工业企业落户。农业对接，进一步深化和拓展与京津的产业化合作和产业转移，提升滦平农业发展水平，扩大京津绿色农产品基地规模。休闲旅游对接，加快推进已签约重点合作项目建设进度，同时依托大项目发展连锁式农家游、乡村游，进一步引进京津地区战略投资者，加大核心景区开发力度。商贸物流对接，加快编织现代物流业发展规划，完善物流园区规划布局，重点打造功能市场，大力推进重点项目，积极引进大型批发市场到我县建设现代物流园区。社会事业对接，重点推动医疗、教育、养老等方面的对接合作，以城市产业建设为目标，做好京津优势公共服务资源引进工作。园区对接，创新合作模式，加强与北京重点开发区的合作对接，共建科技园、产业园、孵化基地，大力推进园区合作共建和重点项目建设。生态建设对接，积极争取国家、省和京津对我县生态项目的支持，完善生态补偿机制，提高生态建设标准，赢得更多的生态话语权。信息对接，进一步整合政府间、部门间信息资源，健全京津商会组织，挖掘各方面信息资源，形成信息快速反馈机制。</w:t>
      </w:r>
    </w:p>
    <w:p>
      <w:pPr>
        <w:spacing w:line="576" w:lineRule="exact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（2）全方位融合京津冀创新思维</w:t>
      </w:r>
    </w:p>
    <w:p>
      <w:pPr>
        <w:spacing w:line="576" w:lineRule="exact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34"/>
          <w:footerReference w:type="default" r:id="rId35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76" w:lineRule="exact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主动适应经济发展新常态带来的趋势性变化，积极借鉴京津创新发展理念，通过思维融合，带动发展融合。工业转型升级方面,以京津绿色、循环、低碳标准为引领，借力京津的科技、人才、信息资源，走工业化和信息化融合的跨越发展之路。现代农业建设方面，积极引进京津都市型农业发展理念，以新业态、新布局、新模式、新服务体系为目标，大力提高滦平农业竞争力。城镇建设方面，借鉴好产业、文化、生态融合发展思维，着力突显滦平特色，打造对京津人口、社会资源、城市产业具有反磁力的宜居宜业明星城镇。生态建设和乡村建设方面，认真学习密云、怀柔北部山区经验，把美丽乡村建设作为打造和提升旅游休闲产业的平台。要素保障方面，学会运用激活资本市场、搞活财政资金、用活土地政策、放活科技人才四种创新思维，在融入京津冀协同发展中突破要素壁垒。</w:t>
      </w:r>
    </w:p>
    <w:p>
      <w:pPr>
        <w:spacing w:line="576" w:lineRule="exact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（3）全方位实现转型升级做大做强新兴产业</w:t>
      </w:r>
    </w:p>
    <w:p>
      <w:pPr>
        <w:spacing w:line="576" w:lineRule="exact"/>
        <w:ind w:firstLine="480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结合传统产业改造升级，大力推进钒铁、强力磁铁、磷钛产品、新型建材等新材料产业建设；大力发展光伏发电、风电等新能源产业；大力引进新一代互联技术，发展物联网技术运用等电子信息产业；发展生物处理、清洁生产及清洁能源开发利用等生态产业；发展现代物流、冷链物流、电子商务、健康养老等生产性新兴服务业。做优做特农业产业。培育壮大一批竞争力强、带动面广、与优势产业相配套的农业龙头企业，开发特色农产品，提高农产品附加值，延伸农业产业链条。面向首都农产品供应市场，进一步突出主导产业地位，大力发展现代循环农业园区，提高滦平农业规模化、现代化、集约化水平。做深做透旅游产业。围绕旅游与生态、文化、地产等融合发展，立足发挥资源、区位优势，着力开发一批中高端旅游项目，形成一批高水平文化旅游体验产品，全面融入京承秦旅游金三角。做精做细城市经济。定位于首都教育、医疗、养老产业的辐射基地，加快引进北京优势资源，依托北京大力发展城市经济，打造新的经济增长极。新兴产业、旅游产业与传统产业形成三足鼎立的局面，通过增量调优，使矿业经济占全县比重以每年3个百分点以上的速度递减。</w:t>
      </w:r>
    </w:p>
    <w:p>
      <w:pPr>
        <w:spacing w:line="576" w:lineRule="exact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（4）全方位优化生态环境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sectPr>
          <w:headerReference w:type="default" r:id="rId36"/>
          <w:footerReference w:type="default" r:id="rId37"/>
          <w:footnotePr>
            <w:numRestart w:val="eachPage"/>
          </w:footnote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充分发挥滦平森林覆盖率高、水资源丰沛的优势，建设好京津水源涵养地和首都生态安全屏障。加强水源涵养，大力发展林果业和林下经济，实施山地综合开发；大力实施京津风沙源二期工程、京冀生态水源保护林等项目建设；大力谋划和推进重点控制性工程，加快实施“五小”水利富民工程，蓄水控水能力得到明显提升。加强水质保护，加快实施水土流失、21世纪首水、清洁型小流域、河流生态治理等项目，实施矿区治理、废水污水处理和农村面貌改造提升工程，进一步完善京津水资源保护措施。强化环境提升，建立环境监测预警一体化机制，在烟气治理、污水处理、固废处理等领域积极开展节能环保第三方治理。全县森林覆盖率每年增长1个百分点以上，饮用水水源地水质、地表水水质断面达标率保持100%，全年环境空气质量二级以上天数保持在240天以上，成为全省生态环境质量最优县区。京津冀协同发展战略实施以来，我们坚持抢抓首都地区人口外迁、功能疏解机遇，以承接北京服务功能外溢为重点，大力推动教育、医疗、科研等方面的合作。教育方面，与农业部合作开办了全国农村实用人才培训基地；与北京化工大学、北京新东方学校、中关村学院等院校开展了合作办学。强化合作办医，与北京中医医院合作实施的“医联体”试点项目，与北京大学人民医院、北京安贞医院合作实施的“医共体”试点项目，与北京中医科学院合作实施的“医药体”项目已全面启动实施；北京名医假日疑难病会诊中心项目正在推动建设，建成后将与北京协和、309等37家三甲医院建立稳定合作关系。承接北京科研成果孵化，与中国工程院院士、中国农大动科院院长李德发合作，建立了环首都地区唯一的“猪业创新院士工作站”。产业项目方面，已有伯瑞高端保健食品深加工、北京城建集团“长城河谷”、北京世纪唐人旅游公司唐乡乡村主体酒店等23个总投资达41亿元的项目签约落地，有的已经建成投产；与北京航天工业机关服务局、北京物美超市、新客隆超市等10余家单位和商超签订了建设农产品产销基地协议，美绿源、金锣口、尚亚等多家现代农业园区农产品畅销北京市场；以“医联体”的“国医堂、国医馆”为依托，以打造“正宗国医、道地药材”品牌为目标，以发展大宗道地中药材为主要内容，将滦平打造成燕山中药材经济核心示范区。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360" w:lineRule="auto"/>
        <w:jc w:val="center"/>
        <w:outlineLvl w:val="0"/>
        <w:rPr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67" w:name="_Toc21144"/>
      <w:r>
        <w:rPr>
          <w:rFonts w:ascii="黑体" w:eastAsia="黑体" w:hint="eastAsia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第4章</w:t>
      </w:r>
      <w:r>
        <w:rPr>
          <w:rFonts w:hint="eastAsia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eastAsia="黑体" w:hint="eastAsia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滦平县对外招商引资存在的问题及应对</w:t>
      </w:r>
      <w:bookmarkEnd w:id="67"/>
    </w:p>
    <w:p>
      <w:pPr>
        <w:spacing w:line="360" w:lineRule="auto"/>
        <w:outlineLvl w:val="1"/>
        <w:rPr>
          <w:rFonts w:ascii="黑体" w:eastAsia="黑体" w:hAnsi="黑体" w:cs="黑体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68" w:name="_Toc18598"/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4.1 滦平县对外招商引资的现实性探索</w:t>
      </w:r>
      <w:bookmarkEnd w:id="68"/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br/>
      </w:r>
      <w:r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https://d.book118.com/948141072105006023</w:t>
        </w:r>
      </w:hyperlink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sectPr>
      <w:headerReference w:type="default" r:id="rId39"/>
      <w:footerReference w:type="default" r:id="rId40"/>
      <w:footnotePr>
        <w:numRestart w:val="eachPage"/>
      </w:footnotePr>
      <w:type w:val="nextPage"/>
      <w:pgSz w:w="11906" w:h="16838"/>
      <w:pgMar w:top="1440" w:right="1800" w:bottom="1440" w:left="1800" w:header="851" w:footer="992" w:gutter="0"/>
      <w:pgNumType w:start="17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49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57421668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69960926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1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76673077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72318031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3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22971870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4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35385350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5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11755089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6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34014147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7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76594564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8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37287215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9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62892115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0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27423206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1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88370571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2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69224939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3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24158007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4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86022474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5" type="#_x0000_t202" style="width:9.05pt;height:10.35pt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-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A9F"/>
    <w:rsid w:val="00294B80"/>
    <w:rsid w:val="002B672C"/>
    <w:rsid w:val="002E4F9A"/>
    <w:rsid w:val="00697070"/>
    <w:rsid w:val="009F3EB7"/>
    <w:rsid w:val="00AD7D50"/>
    <w:rsid w:val="00B84A06"/>
    <w:rsid w:val="00BA75CB"/>
    <w:rsid w:val="00CC3A9F"/>
    <w:rsid w:val="0107648F"/>
    <w:rsid w:val="01CC4CE4"/>
    <w:rsid w:val="024E1BE1"/>
    <w:rsid w:val="031A5BA5"/>
    <w:rsid w:val="0323306D"/>
    <w:rsid w:val="032610B9"/>
    <w:rsid w:val="03303E85"/>
    <w:rsid w:val="03EF2B42"/>
    <w:rsid w:val="04A709EF"/>
    <w:rsid w:val="052C394A"/>
    <w:rsid w:val="06286C42"/>
    <w:rsid w:val="066579B7"/>
    <w:rsid w:val="07552A5D"/>
    <w:rsid w:val="07933F13"/>
    <w:rsid w:val="07DA5DDC"/>
    <w:rsid w:val="08010BD3"/>
    <w:rsid w:val="081B577D"/>
    <w:rsid w:val="083037BE"/>
    <w:rsid w:val="08822EF3"/>
    <w:rsid w:val="093C7B4E"/>
    <w:rsid w:val="0A437BFF"/>
    <w:rsid w:val="0A8269E8"/>
    <w:rsid w:val="0ADD7931"/>
    <w:rsid w:val="0C9F6D21"/>
    <w:rsid w:val="0CEA5854"/>
    <w:rsid w:val="0D9D2D07"/>
    <w:rsid w:val="0DAC65F1"/>
    <w:rsid w:val="0E7A335D"/>
    <w:rsid w:val="0E9E5AB2"/>
    <w:rsid w:val="0EB22A1D"/>
    <w:rsid w:val="0F440907"/>
    <w:rsid w:val="0F51427E"/>
    <w:rsid w:val="0F635C1F"/>
    <w:rsid w:val="0FB12132"/>
    <w:rsid w:val="0FB83A4D"/>
    <w:rsid w:val="0FCB250B"/>
    <w:rsid w:val="10540128"/>
    <w:rsid w:val="10711686"/>
    <w:rsid w:val="10AB273E"/>
    <w:rsid w:val="10B23E66"/>
    <w:rsid w:val="10E16C2C"/>
    <w:rsid w:val="11A742A4"/>
    <w:rsid w:val="1207328B"/>
    <w:rsid w:val="124E6B85"/>
    <w:rsid w:val="124F0012"/>
    <w:rsid w:val="147452DE"/>
    <w:rsid w:val="14751916"/>
    <w:rsid w:val="14B62052"/>
    <w:rsid w:val="14F55C38"/>
    <w:rsid w:val="155554F5"/>
    <w:rsid w:val="15661F2C"/>
    <w:rsid w:val="157835B8"/>
    <w:rsid w:val="159D503B"/>
    <w:rsid w:val="15B67505"/>
    <w:rsid w:val="160015AE"/>
    <w:rsid w:val="16801562"/>
    <w:rsid w:val="168B5E5E"/>
    <w:rsid w:val="16987E06"/>
    <w:rsid w:val="17273EF4"/>
    <w:rsid w:val="17365C47"/>
    <w:rsid w:val="1746075C"/>
    <w:rsid w:val="176444CC"/>
    <w:rsid w:val="18633502"/>
    <w:rsid w:val="18DB7EA9"/>
    <w:rsid w:val="198D1B33"/>
    <w:rsid w:val="19964193"/>
    <w:rsid w:val="19ED7866"/>
    <w:rsid w:val="19FC0E2D"/>
    <w:rsid w:val="1A3F7FD5"/>
    <w:rsid w:val="1ACE7F75"/>
    <w:rsid w:val="1ACF642C"/>
    <w:rsid w:val="1C780F91"/>
    <w:rsid w:val="1CAA3C63"/>
    <w:rsid w:val="1CF9040B"/>
    <w:rsid w:val="1D730BD6"/>
    <w:rsid w:val="1D824F52"/>
    <w:rsid w:val="1D86664E"/>
    <w:rsid w:val="1EB47DEB"/>
    <w:rsid w:val="1EDA6B53"/>
    <w:rsid w:val="1EDB6E28"/>
    <w:rsid w:val="1F2462AC"/>
    <w:rsid w:val="1F3A6105"/>
    <w:rsid w:val="1F575733"/>
    <w:rsid w:val="1FE06FD9"/>
    <w:rsid w:val="203B43B0"/>
    <w:rsid w:val="204F74B9"/>
    <w:rsid w:val="207334D1"/>
    <w:rsid w:val="21257E50"/>
    <w:rsid w:val="213E1CF1"/>
    <w:rsid w:val="21B15E4B"/>
    <w:rsid w:val="21CB3440"/>
    <w:rsid w:val="22370A59"/>
    <w:rsid w:val="224D3638"/>
    <w:rsid w:val="22A32BC7"/>
    <w:rsid w:val="22BD0C57"/>
    <w:rsid w:val="22CB204B"/>
    <w:rsid w:val="233D2749"/>
    <w:rsid w:val="236C20F2"/>
    <w:rsid w:val="23AB2F40"/>
    <w:rsid w:val="2431028A"/>
    <w:rsid w:val="2492061E"/>
    <w:rsid w:val="24931A45"/>
    <w:rsid w:val="24AE3CA3"/>
    <w:rsid w:val="24C50400"/>
    <w:rsid w:val="267E54DD"/>
    <w:rsid w:val="28180228"/>
    <w:rsid w:val="29F777BB"/>
    <w:rsid w:val="2A13303E"/>
    <w:rsid w:val="2ABF6503"/>
    <w:rsid w:val="2AD92679"/>
    <w:rsid w:val="2B066001"/>
    <w:rsid w:val="2B2B1337"/>
    <w:rsid w:val="2BEC60B1"/>
    <w:rsid w:val="2C4F4ECB"/>
    <w:rsid w:val="2C651E2C"/>
    <w:rsid w:val="2CA02FCE"/>
    <w:rsid w:val="2D1C5033"/>
    <w:rsid w:val="2D2126F4"/>
    <w:rsid w:val="2DC036AA"/>
    <w:rsid w:val="2E580E25"/>
    <w:rsid w:val="2E731BB8"/>
    <w:rsid w:val="2E7B7C33"/>
    <w:rsid w:val="2EA03CB1"/>
    <w:rsid w:val="2EE64B2E"/>
    <w:rsid w:val="2F5961EF"/>
    <w:rsid w:val="2F730590"/>
    <w:rsid w:val="2F9211A9"/>
    <w:rsid w:val="306D2CFF"/>
    <w:rsid w:val="31ED2298"/>
    <w:rsid w:val="321507FD"/>
    <w:rsid w:val="32DD7100"/>
    <w:rsid w:val="33081B36"/>
    <w:rsid w:val="33B4344D"/>
    <w:rsid w:val="33C75DA8"/>
    <w:rsid w:val="343368B6"/>
    <w:rsid w:val="34B24A48"/>
    <w:rsid w:val="35187E69"/>
    <w:rsid w:val="352C53E4"/>
    <w:rsid w:val="353D0465"/>
    <w:rsid w:val="35516FB5"/>
    <w:rsid w:val="35F03942"/>
    <w:rsid w:val="363F38F3"/>
    <w:rsid w:val="373B0BA5"/>
    <w:rsid w:val="37542ED1"/>
    <w:rsid w:val="3766278A"/>
    <w:rsid w:val="37F84ED6"/>
    <w:rsid w:val="38F270A5"/>
    <w:rsid w:val="39157042"/>
    <w:rsid w:val="3917733A"/>
    <w:rsid w:val="39AD1BF6"/>
    <w:rsid w:val="39BF1C16"/>
    <w:rsid w:val="39F2640B"/>
    <w:rsid w:val="3A4D22E6"/>
    <w:rsid w:val="3A9473DC"/>
    <w:rsid w:val="3ABF0FE9"/>
    <w:rsid w:val="3B3109F2"/>
    <w:rsid w:val="3C410FBC"/>
    <w:rsid w:val="3C671F6C"/>
    <w:rsid w:val="3CDE7B5D"/>
    <w:rsid w:val="3E68006F"/>
    <w:rsid w:val="3EE271B2"/>
    <w:rsid w:val="3F8346D2"/>
    <w:rsid w:val="40277870"/>
    <w:rsid w:val="40320583"/>
    <w:rsid w:val="40CE4E76"/>
    <w:rsid w:val="40F9431E"/>
    <w:rsid w:val="40FC3197"/>
    <w:rsid w:val="42FB11F4"/>
    <w:rsid w:val="43127D39"/>
    <w:rsid w:val="432B6A8D"/>
    <w:rsid w:val="43D6786B"/>
    <w:rsid w:val="44F4633E"/>
    <w:rsid w:val="45332C88"/>
    <w:rsid w:val="45941C44"/>
    <w:rsid w:val="465C6A2D"/>
    <w:rsid w:val="46B565D1"/>
    <w:rsid w:val="47827E51"/>
    <w:rsid w:val="479D1479"/>
    <w:rsid w:val="47C44A2B"/>
    <w:rsid w:val="47CC0AE1"/>
    <w:rsid w:val="482A5C2D"/>
    <w:rsid w:val="496E7506"/>
    <w:rsid w:val="497C1DFB"/>
    <w:rsid w:val="4A240BBA"/>
    <w:rsid w:val="4B702FDD"/>
    <w:rsid w:val="4B7D1FB5"/>
    <w:rsid w:val="4C2D033D"/>
    <w:rsid w:val="4C4A112E"/>
    <w:rsid w:val="4C9D421B"/>
    <w:rsid w:val="4CB176DD"/>
    <w:rsid w:val="4D9443C6"/>
    <w:rsid w:val="4E710371"/>
    <w:rsid w:val="4F0B5D9B"/>
    <w:rsid w:val="4F2558B8"/>
    <w:rsid w:val="4F902D62"/>
    <w:rsid w:val="4FA02CAA"/>
    <w:rsid w:val="505F47BA"/>
    <w:rsid w:val="50AF45F7"/>
    <w:rsid w:val="50FD4AF7"/>
    <w:rsid w:val="51460522"/>
    <w:rsid w:val="523A01C9"/>
    <w:rsid w:val="524D47D5"/>
    <w:rsid w:val="52E42FE3"/>
    <w:rsid w:val="530A3473"/>
    <w:rsid w:val="53111E9E"/>
    <w:rsid w:val="533A1599"/>
    <w:rsid w:val="536B6B43"/>
    <w:rsid w:val="536F2BBF"/>
    <w:rsid w:val="54A35E82"/>
    <w:rsid w:val="54C34505"/>
    <w:rsid w:val="553204E1"/>
    <w:rsid w:val="55C31F19"/>
    <w:rsid w:val="565E4033"/>
    <w:rsid w:val="570C743E"/>
    <w:rsid w:val="57110AEF"/>
    <w:rsid w:val="57FC2F60"/>
    <w:rsid w:val="581E23B2"/>
    <w:rsid w:val="58233CE4"/>
    <w:rsid w:val="58903D68"/>
    <w:rsid w:val="58CE236A"/>
    <w:rsid w:val="58D85E0A"/>
    <w:rsid w:val="597B26DF"/>
    <w:rsid w:val="5B0B2095"/>
    <w:rsid w:val="5B1F5FC1"/>
    <w:rsid w:val="5C2C7BC2"/>
    <w:rsid w:val="5C754602"/>
    <w:rsid w:val="5CD0546A"/>
    <w:rsid w:val="5DA60C33"/>
    <w:rsid w:val="5E1361CE"/>
    <w:rsid w:val="5E146926"/>
    <w:rsid w:val="5F09299B"/>
    <w:rsid w:val="5F1C4EDC"/>
    <w:rsid w:val="5F3A4216"/>
    <w:rsid w:val="5F725D26"/>
    <w:rsid w:val="5F771AB8"/>
    <w:rsid w:val="5FF33549"/>
    <w:rsid w:val="600F54B4"/>
    <w:rsid w:val="60753E7B"/>
    <w:rsid w:val="611323D0"/>
    <w:rsid w:val="62570BDD"/>
    <w:rsid w:val="62ED4E04"/>
    <w:rsid w:val="633E58A9"/>
    <w:rsid w:val="634E46F4"/>
    <w:rsid w:val="636D574A"/>
    <w:rsid w:val="63BC432D"/>
    <w:rsid w:val="64991BFD"/>
    <w:rsid w:val="654666CB"/>
    <w:rsid w:val="66E95EDD"/>
    <w:rsid w:val="66F41257"/>
    <w:rsid w:val="67B83752"/>
    <w:rsid w:val="67DE4E41"/>
    <w:rsid w:val="68477DBF"/>
    <w:rsid w:val="68E00AA9"/>
    <w:rsid w:val="696C7BE5"/>
    <w:rsid w:val="69F35C3A"/>
    <w:rsid w:val="6A2330C0"/>
    <w:rsid w:val="6A4D3C5D"/>
    <w:rsid w:val="6A9473CE"/>
    <w:rsid w:val="6A9F2B64"/>
    <w:rsid w:val="6B321F55"/>
    <w:rsid w:val="6B662E0F"/>
    <w:rsid w:val="6BAA3C9C"/>
    <w:rsid w:val="6C057E14"/>
    <w:rsid w:val="6C115306"/>
    <w:rsid w:val="6C2421B0"/>
    <w:rsid w:val="6C9F33FC"/>
    <w:rsid w:val="6D853A60"/>
    <w:rsid w:val="6DE82CF8"/>
    <w:rsid w:val="6E2C7F71"/>
    <w:rsid w:val="6E3764AF"/>
    <w:rsid w:val="6E3837CA"/>
    <w:rsid w:val="6E71784D"/>
    <w:rsid w:val="6EDE19E4"/>
    <w:rsid w:val="6F272D92"/>
    <w:rsid w:val="6FF80C34"/>
    <w:rsid w:val="7029320F"/>
    <w:rsid w:val="70B331AE"/>
    <w:rsid w:val="70DA3CA6"/>
    <w:rsid w:val="714050A5"/>
    <w:rsid w:val="71C97A82"/>
    <w:rsid w:val="72743E32"/>
    <w:rsid w:val="73192472"/>
    <w:rsid w:val="747C795E"/>
    <w:rsid w:val="74BF4979"/>
    <w:rsid w:val="757C6A55"/>
    <w:rsid w:val="75DF55AA"/>
    <w:rsid w:val="75FC44AC"/>
    <w:rsid w:val="769141B3"/>
    <w:rsid w:val="771E7223"/>
    <w:rsid w:val="77F5255B"/>
    <w:rsid w:val="78FE377E"/>
    <w:rsid w:val="79042A70"/>
    <w:rsid w:val="792D179A"/>
    <w:rsid w:val="794004D7"/>
    <w:rsid w:val="79654F80"/>
    <w:rsid w:val="79D93FCE"/>
    <w:rsid w:val="7A9A758A"/>
    <w:rsid w:val="7C2B3C9D"/>
    <w:rsid w:val="7C2F6327"/>
    <w:rsid w:val="7C5341E5"/>
    <w:rsid w:val="7C6819B5"/>
    <w:rsid w:val="7CED0867"/>
    <w:rsid w:val="7EBA3EB4"/>
    <w:rsid w:val="7EF40FBC"/>
    <w:rsid w:val="7F335AEB"/>
    <w:rsid w:val="7FCD113C"/>
  </w:rsids>
  <w:docVars>
    <w:docVar w:name="commondata" w:val="eyJoZGlkIjoiNDgxMzNjZDIxOGMzNzlmNmFmNTU5MjQ2OGU5YjljN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0" w:unhideWhenUsed="0" w:qFormat="1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qFormat="1"/>
    <w:lsdException w:name="footer" w:semiHidden="0" w:uiPriority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0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apple-style-span">
    <w:name w:val="apple-style-span"/>
    <w:basedOn w:val="DefaultParagraphFont"/>
    <w:qFormat/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1.pn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yperlink" Target="https://d.book118.com/948141072105006023" TargetMode="Externa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17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5521</Words>
  <Characters>31474</Characters>
  <Application>Microsoft Office Word</Application>
  <DocSecurity>0</DocSecurity>
  <Lines>262</Lines>
  <Paragraphs>73</Paragraphs>
  <ScaleCrop>false</ScaleCrop>
  <Company/>
  <LinksUpToDate>false</LinksUpToDate>
  <CharactersWithSpaces>36922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LMM</dc:creator>
  <cp:lastModifiedBy>浮城</cp:lastModifiedBy>
  <cp:revision>3</cp:revision>
  <dcterms:created xsi:type="dcterms:W3CDTF">2018-03-17T14:16:00Z</dcterms:created>
  <dcterms:modified xsi:type="dcterms:W3CDTF">2024-01-05T02:59:09Z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D6643B5A8B424FC7BE930D95F0CB6832_12</vt:lpwstr>
  </property>
  <property fmtid="{D5CDD505-2E9C-101B-9397-08002B2CF9AE}" pid="3" name="KSOProductBuildVer">
    <vt:lpwstr>2052-12.1.0.16120</vt:lpwstr>
  </property>
</Properties>
</file>