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磁带车产业分析报告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574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_Toc26574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80" w:history="1">
        <w:r>
          <w:rPr>
            <w:rFonts w:ascii="仿宋" w:eastAsia="仿宋" w:hAnsi="仿宋" w:cs="仿宋" w:hint="eastAsia"/>
            <w:lang w:val="en-GB"/>
          </w:rPr>
          <w:t>一、磁带车危机管理与应对策略</w:t>
        </w:r>
        <w:r>
          <w:tab/>
        </w:r>
        <w:r>
          <w:fldChar w:fldCharType="begin"/>
        </w:r>
        <w:r>
          <w:instrText xml:space="preserve"> PAGEREF _Toc26280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6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_Toc24636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4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_Toc15814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_Toc71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2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_Toc14742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79" w:history="1">
        <w:r>
          <w:rPr>
            <w:rFonts w:ascii="仿宋" w:eastAsia="仿宋" w:hAnsi="仿宋" w:cs="仿宋" w:hint="eastAsia"/>
            <w:lang w:val="en-GB"/>
          </w:rPr>
          <w:t>二、磁带车行业发展现状</w:t>
        </w:r>
        <w:r>
          <w:tab/>
        </w:r>
        <w:r>
          <w:fldChar w:fldCharType="begin"/>
        </w:r>
        <w:r>
          <w:instrText xml:space="preserve"> PAGEREF _Toc5279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5" w:history="1">
        <w:r>
          <w:rPr>
            <w:rFonts w:ascii="仿宋" w:eastAsia="仿宋" w:hAnsi="仿宋" w:cs="仿宋" w:hint="eastAsia"/>
            <w:lang w:val="en-GB"/>
          </w:rPr>
          <w:t>(一)、磁带车行业整体概况</w:t>
        </w:r>
        <w:r>
          <w:tab/>
        </w:r>
        <w:r>
          <w:fldChar w:fldCharType="begin"/>
        </w:r>
        <w:r>
          <w:instrText xml:space="preserve"> PAGEREF _Toc4695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3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_Toc16813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2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_Toc31582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7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_Toc29597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09" w:history="1">
        <w:r>
          <w:rPr>
            <w:rFonts w:ascii="仿宋" w:eastAsia="仿宋" w:hAnsi="仿宋" w:cs="仿宋" w:hint="eastAsia"/>
            <w:lang w:val="en-GB"/>
          </w:rPr>
          <w:t>三、人力资源分析</w:t>
        </w:r>
        <w:r>
          <w:tab/>
        </w:r>
        <w:r>
          <w:fldChar w:fldCharType="begin"/>
        </w:r>
        <w:r>
          <w:instrText xml:space="preserve"> PAGEREF _Toc26009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1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_Toc24431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3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_Toc8893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80" w:history="1">
        <w:r>
          <w:rPr>
            <w:rFonts w:ascii="仿宋" w:eastAsia="仿宋" w:hAnsi="仿宋" w:cs="仿宋" w:hint="eastAsia"/>
            <w:lang w:val="en-GB"/>
          </w:rPr>
          <w:t>四、磁带车行业前景</w:t>
        </w:r>
        <w:r>
          <w:tab/>
        </w:r>
        <w:r>
          <w:fldChar w:fldCharType="begin"/>
        </w:r>
        <w:r>
          <w:instrText xml:space="preserve"> PAGEREF _Toc9680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3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_Toc22353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9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_Toc28049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2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_Toc22972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5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_Toc15085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10" w:history="1">
        <w:r>
          <w:rPr>
            <w:rFonts w:ascii="仿宋" w:eastAsia="仿宋" w:hAnsi="仿宋" w:cs="仿宋" w:hint="eastAsia"/>
            <w:lang w:val="en-GB"/>
          </w:rPr>
          <w:t>五、公司简介</w:t>
        </w:r>
        <w:r>
          <w:tab/>
        </w:r>
        <w:r>
          <w:fldChar w:fldCharType="begin"/>
        </w:r>
        <w:r>
          <w:instrText xml:space="preserve"> PAGEREF _Toc20210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8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_Toc12808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1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_Toc6531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99" w:history="1">
        <w:r>
          <w:rPr>
            <w:rFonts w:ascii="仿宋" w:eastAsia="仿宋" w:hAnsi="仿宋" w:cs="仿宋" w:hint="eastAsia"/>
            <w:lang w:val="en-GB"/>
          </w:rPr>
          <w:t>六、磁带车定价策略</w:t>
        </w:r>
        <w:r>
          <w:tab/>
        </w:r>
        <w:r>
          <w:fldChar w:fldCharType="begin"/>
        </w:r>
        <w:r>
          <w:instrText xml:space="preserve"> PAGEREF _Toc9799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49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_Toc5649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6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_Toc9576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0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_Toc14450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8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_Toc25748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89" w:history="1">
        <w:r>
          <w:rPr>
            <w:rFonts w:ascii="仿宋" w:eastAsia="仿宋" w:hAnsi="仿宋" w:cs="仿宋" w:hint="eastAsia"/>
            <w:lang w:val="en-GB"/>
          </w:rPr>
          <w:t>七、市场趋势与消费者洞察</w:t>
        </w:r>
        <w:r>
          <w:tab/>
        </w:r>
        <w:r>
          <w:fldChar w:fldCharType="begin"/>
        </w:r>
        <w:r>
          <w:instrText xml:space="preserve"> PAGEREF _Toc30489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0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_Toc26300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0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_Toc7790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0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_Toc12020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76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_Toc13376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09" w:history="1">
        <w:r>
          <w:rPr>
            <w:rFonts w:ascii="仿宋" w:eastAsia="仿宋" w:hAnsi="仿宋" w:cs="仿宋" w:hint="eastAsia"/>
            <w:lang w:val="en-GB"/>
          </w:rPr>
          <w:t>八、磁带车组织市场分析</w:t>
        </w:r>
        <w:r>
          <w:tab/>
        </w:r>
        <w:r>
          <w:fldChar w:fldCharType="begin"/>
        </w:r>
        <w:r>
          <w:instrText xml:space="preserve"> PAGEREF _Toc9909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5" w:history="1">
        <w:r>
          <w:rPr>
            <w:rFonts w:ascii="仿宋" w:eastAsia="仿宋" w:hAnsi="仿宋" w:cs="仿宋" w:hint="eastAsia"/>
            <w:lang w:val="en-GB"/>
          </w:rPr>
          <w:t>(一)、组织结构</w:t>
        </w:r>
        <w:r>
          <w:tab/>
        </w:r>
        <w:r>
          <w:fldChar w:fldCharType="begin"/>
        </w:r>
        <w:r>
          <w:instrText xml:space="preserve"> PAGEREF _Toc4985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7" w:history="1">
        <w:r>
          <w:rPr>
            <w:rFonts w:ascii="仿宋" w:eastAsia="仿宋" w:hAnsi="仿宋" w:cs="仿宋" w:hint="eastAsia"/>
            <w:lang w:val="en-GB"/>
          </w:rPr>
          <w:t>(二)、决策机制</w:t>
        </w:r>
        <w:r>
          <w:tab/>
        </w:r>
        <w:r>
          <w:fldChar w:fldCharType="begin"/>
        </w:r>
        <w:r>
          <w:instrText xml:space="preserve"> PAGEREF _Toc24367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1" w:history="1">
        <w:r>
          <w:rPr>
            <w:rFonts w:ascii="仿宋" w:eastAsia="仿宋" w:hAnsi="仿宋" w:cs="仿宋" w:hint="eastAsia"/>
            <w:lang w:val="en-GB"/>
          </w:rPr>
          <w:t>(三)、企业文化</w:t>
        </w:r>
        <w:r>
          <w:tab/>
        </w:r>
        <w:r>
          <w:fldChar w:fldCharType="begin"/>
        </w:r>
        <w:r>
          <w:instrText xml:space="preserve"> PAGEREF _Toc27321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6" w:history="1">
        <w:r>
          <w:rPr>
            <w:rFonts w:ascii="仿宋" w:eastAsia="仿宋" w:hAnsi="仿宋" w:cs="仿宋" w:hint="eastAsia"/>
            <w:lang w:val="en-GB"/>
          </w:rPr>
          <w:t>(四)、供应商关系</w:t>
        </w:r>
        <w:r>
          <w:tab/>
        </w:r>
        <w:r>
          <w:fldChar w:fldCharType="begin"/>
        </w:r>
        <w:r>
          <w:instrText xml:space="preserve"> PAGEREF _Toc19976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86" w:history="1">
        <w:r>
          <w:rPr>
            <w:rFonts w:ascii="仿宋" w:eastAsia="仿宋" w:hAnsi="仿宋" w:cs="仿宋" w:hint="eastAsia"/>
            <w:lang w:val="en-GB"/>
          </w:rPr>
          <w:t>九、磁带车市场地位与竞争战略</w:t>
        </w:r>
        <w:r>
          <w:tab/>
        </w:r>
        <w:r>
          <w:fldChar w:fldCharType="begin"/>
        </w:r>
        <w:r>
          <w:instrText xml:space="preserve"> PAGEREF _Toc23686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2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_Toc26942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7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_Toc13867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1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_Toc25361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795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_Toc6795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98" w:history="1">
        <w:r>
          <w:rPr>
            <w:rFonts w:ascii="仿宋" w:eastAsia="仿宋" w:hAnsi="仿宋" w:cs="仿宋" w:hint="eastAsia"/>
            <w:lang w:val="en-GB"/>
          </w:rPr>
          <w:t>十、磁带车促销策略</w:t>
        </w:r>
        <w:r>
          <w:tab/>
        </w:r>
        <w:r>
          <w:fldChar w:fldCharType="begin"/>
        </w:r>
        <w:r>
          <w:instrText xml:space="preserve"> PAGEREF _Toc3598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9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_Toc10339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2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_Toc29372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1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_Toc8151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6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_Toc11136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50" w:history="1">
        <w:r>
          <w:rPr>
            <w:rFonts w:ascii="仿宋" w:eastAsia="仿宋" w:hAnsi="仿宋" w:cs="仿宋" w:hint="eastAsia"/>
            <w:lang w:val="en-GB"/>
          </w:rPr>
          <w:t>十一、磁带车国际化战略</w:t>
        </w:r>
        <w:r>
          <w:tab/>
        </w:r>
        <w:r>
          <w:fldChar w:fldCharType="begin"/>
        </w:r>
        <w:r>
          <w:instrText xml:space="preserve"> PAGEREF _Toc26950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_Toc165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8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_Toc12198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2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_Toc19892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3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_Toc4873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22" w:history="1">
        <w:r>
          <w:rPr>
            <w:rFonts w:ascii="仿宋" w:eastAsia="仿宋" w:hAnsi="仿宋" w:cs="仿宋" w:hint="eastAsia"/>
            <w:lang w:val="en-GB"/>
          </w:rPr>
          <w:t>十二、磁带车行业发展方向</w:t>
        </w:r>
        <w:r>
          <w:tab/>
        </w:r>
        <w:r>
          <w:fldChar w:fldCharType="begin"/>
        </w:r>
        <w:r>
          <w:instrText xml:space="preserve"> PAGEREF _Toc17022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9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_Toc23539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91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_Toc25991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44" w:history="1">
        <w:r>
          <w:rPr>
            <w:rFonts w:ascii="仿宋" w:eastAsia="仿宋" w:hAnsi="仿宋" w:cs="仿宋" w:hint="eastAsia"/>
            <w:lang w:val="en-GB"/>
          </w:rPr>
          <w:t>(三)、磁带车行业生态系统构建</w:t>
        </w:r>
        <w:r>
          <w:tab/>
        </w:r>
        <w:r>
          <w:fldChar w:fldCharType="begin"/>
        </w:r>
        <w:r>
          <w:instrText xml:space="preserve"> PAGEREF _Toc7844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0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_Toc10930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93" w:history="1">
        <w:r>
          <w:rPr>
            <w:rFonts w:ascii="仿宋" w:eastAsia="仿宋" w:hAnsi="仿宋" w:cs="仿宋" w:hint="eastAsia"/>
            <w:lang w:val="en-GB"/>
          </w:rPr>
          <w:t>十三、磁带车行业高质量发展</w:t>
        </w:r>
        <w:r>
          <w:tab/>
        </w:r>
        <w:r>
          <w:fldChar w:fldCharType="begin"/>
        </w:r>
        <w:r>
          <w:instrText xml:space="preserve"> PAGEREF _Toc30093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2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_Toc18522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7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_Toc29827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_Toc1607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5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_Toc17005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30" w:history="1">
        <w:r>
          <w:rPr>
            <w:rFonts w:ascii="仿宋" w:eastAsia="仿宋" w:hAnsi="仿宋" w:cs="仿宋" w:hint="eastAsia"/>
            <w:lang w:val="en-GB"/>
          </w:rPr>
          <w:t>十四、磁带车风险管理与合规</w:t>
        </w:r>
        <w:r>
          <w:tab/>
        </w:r>
        <w:r>
          <w:fldChar w:fldCharType="begin"/>
        </w:r>
        <w:r>
          <w:instrText xml:space="preserve"> PAGEREF _Toc23830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9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_Toc30079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9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_Toc12809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1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_Toc28231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4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_Toc6764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10" w:history="1">
        <w:r>
          <w:rPr>
            <w:rFonts w:ascii="仿宋" w:eastAsia="仿宋" w:hAnsi="仿宋" w:cs="仿宋" w:hint="eastAsia"/>
            <w:lang w:val="en-GB"/>
          </w:rPr>
          <w:t>十五、磁带车人才战略与团队建设</w:t>
        </w:r>
        <w:r>
          <w:tab/>
        </w:r>
        <w:r>
          <w:fldChar w:fldCharType="begin"/>
        </w:r>
        <w:r>
          <w:instrText xml:space="preserve"> PAGEREF _Toc4110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1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_Toc10981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5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_Toc26975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6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_Toc14946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0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_Toc13750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26574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磁带车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26280"/>
      <w:r>
        <w:rPr>
          <w:rFonts w:ascii="仿宋" w:eastAsia="仿宋" w:hAnsi="仿宋" w:cs="仿宋" w:hint="eastAsia"/>
          <w:sz w:val="28"/>
          <w:lang w:val="en-GB"/>
        </w:rPr>
        <w:t>一、磁带车危机管理与应对策略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24636"/>
      <w:r>
        <w:rPr>
          <w:rFonts w:ascii="仿宋" w:eastAsia="仿宋" w:hAnsi="仿宋" w:cs="仿宋" w:hint="eastAsia"/>
          <w:lang w:val="en-GB"/>
        </w:rPr>
        <w:t>(一)、危机预警与应急计划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一、危机预警与监测体系的建立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应对复杂多变的商业环境，公司决定构建一套健全且高效的危机预警体系。此体系不仅将实时监测市场动态，还将深入分析经济环境和政策变化等多个层面，旨在及时发现并应对可能对公司经营产生负面影响的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测方面，公司将充分利用现代信息技术和数据分析工具，通过社交媒体分析、消费者调查以及竞争对手行为追踪等手段，全面把握市场脉搏。此外，公司还将密切关注国内外经济趋势、汇率波动等宏观经济因素，以及与公司业务相关的政策法规变化，确保公司经营策略与外部环境的动态变化保持同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实现这一目标，公司将建立一支专业的危机预警团队，负责数据的收集、整理和分析工作。该团队将与公司的其他部门紧密合作，确保信息的及时传递和有效应用。同时，公司将定期对预警系统进行评估和优化，以提高其准确性和有效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二、应急计划的制定与执行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在危机预警体系的基础上，公司决定制定一套详尽的应急计划。该计划将明确各部门的职责和应对步骤，确保在危机爆发时能够迅速做出反应，最大限度地减少损失。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应急计划将根据不同类型的危机制定相应的应对策略。例如，在面对市场竞争压力时，公司将调整营销策略，加大产品创新力度；在遭遇自然灾害等不可抗力因素时，公司将启动业务连续性计划，确保公司运营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应急计划的有效执行，公司将定期组织模拟演练和培训活动，提高员工的危机意识和应对能力。同时，公司将建立应急指挥中心，负责在危机发生时统一协调各部门的行动和资源，确保公司的快速响应和高效处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15814"/>
      <w:r>
        <w:rPr>
          <w:rFonts w:ascii="仿宋" w:eastAsia="仿宋" w:hAnsi="仿宋" w:cs="仿宋" w:hint="eastAsia"/>
          <w:sz w:val="28"/>
          <w:lang w:val="en-GB"/>
        </w:rPr>
        <w:t>(二)、公关与危机沟通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公关策略方面，公司将建立专业的公关团队，由资深公关专业人士组成。该团队将负责制定和执行全面的公关策略，包括品牌推广、形象建设、社会责任传播等方面。通过与媒体建立紧密的关系，公司将确保信息的及时传播和准确传递。在公关活动中，公司将强调透明度和真实性，确保公众对公司的认知是真实、全面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危机沟通团队的建立与培训是公司危机管理的重要组成部分。该团队将由危机管理专业人士、法务团队、高管层成员等组成。他们将负责在危机发生时的信息发布、危机应对策略的制定和执行。团队成员将接受定期的危机沟通培训，提高其在紧急情况下的应变能力和沟通技巧。培训内容将涵盖公关原则、媒体交往、社交媒体管理等多个方面，以确保团队在危机时能够迅速而有效地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社交媒体管理与舆情监测是公司危机沟通的重要环节。公司将加强对社交媒体的管理，建立完善的社交媒体监测系统。通过对各类社交媒体平台的实时监控，公司将及时了解公众对公司的关切点、舆论走向。在危机时，公司将积极参与社交媒体的互动，通过积极回应、解释公司立场等方式，引导舆论走向。同时，公司将保持高度警惕，及时发现和应对社交媒体上的谣言和负面信息，以避免信息传播的不当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关系维护与合作伙伴关系建设是公司危机管理的基石。公司将注重与各利益相关方的关系维护和合作伙伴关系建设。通过定期的交流活动、企业社会责任磁带车项目的推动等方式，公司将增进与员工、客户、供应商、投资者等各方的良好关系。在危机时，公司将充分发挥各方关系的积极作用，争取更多理解和支持。与关键合作伙伴之间，公司将建立长期稳定的合作机制，共同应对危机，形成危机共建共享的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形象修复与长期声誉管理是公司在危机后重要的工作。公司将根据危机的具体情况，制定相应的形象修复策略。通过开展品牌形象宣传、产品升级、社会公益活动等多种手段，公司将努力恢复公众对其的信任。长期声誉管理方面，公司将不仅仅在危机时关注形象维护，而是通过日常经营和企业社会责任的全面推动，树立积极向上的企业形象，增强公众对公司的好感度和认同感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71"/>
      <w:r>
        <w:rPr>
          <w:rFonts w:ascii="仿宋" w:eastAsia="仿宋" w:hAnsi="仿宋" w:cs="仿宋" w:hint="eastAsia"/>
          <w:sz w:val="28"/>
          <w:lang w:val="en-GB"/>
        </w:rPr>
        <w:t>(三)、媒体关系与舆情管理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媒体关系建设：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积极构建与各类媒体的良好关系。这包括与新闻机构、磁带车行业媒体、社交媒体等多个媒体渠道的沟通与合作。建立定期的媒体沟通渠道，向媒体提供及时准确的企业信息，展示公司的发展成就和社会责任履行，以确保对外信息传递的一致性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舆情监测与分析：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全面的舆情监测系统，跟踪主流媒体、社交媒体和专业论坛等多个平台的舆情信息。通过先进的舆情分析工具，实时监测与公司相关的正面和负面舆情，深度分析舆情数据，及时了解公众关注点，为公司决策提供科学依据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危机舆情处理：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健全的危机舆情处理机制，包括危机应对预案、危机沟通团队等。在危机事件发生时，公司将迅速做出反应，通过透明的信息发布、迅速的问题解决和积极的危机沟通，及时平息不良舆情，保护企业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定期发布信息：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https://d.book118.com/955001014132011043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磁带车产业分析报告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磁带车产业分析报告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磁带车产业分析报告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磁带车产业分析报告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磁带车产业分析报告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磁带车产业分析报告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磁带车产业分析报告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721FF2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3F721FF2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55001014132011043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2024-01-09T02:02:00Z</dcterms:created>
  <dcterms:modified xsi:type="dcterms:W3CDTF">2024-01-09T02:02:35Z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37F26A9084E34D699B8D9355E28E5AFD_11</vt:lpwstr>
  </property>
  <property fmtid="{D5CDD505-2E9C-101B-9397-08002B2CF9AE}" pid="3" name="KSOProductBuildVer">
    <vt:lpwstr>2052-12.1.0.16120</vt:lpwstr>
  </property>
</Properties>
</file>