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不饱和聚酯树脂项目投资建议书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166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_Toc11166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59" w:history="1">
        <w:r>
          <w:rPr>
            <w:rFonts w:ascii="仿宋" w:eastAsia="仿宋" w:hAnsi="仿宋" w:cs="仿宋" w:hint="eastAsia"/>
            <w:lang w:val="en-US"/>
          </w:rPr>
          <w:t>一、组织架构与人力资源配置</w:t>
        </w:r>
        <w:r>
          <w:tab/>
        </w:r>
        <w:r>
          <w:fldChar w:fldCharType="begin"/>
        </w:r>
        <w:r>
          <w:instrText xml:space="preserve"> PAGEREF _Toc26659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5" w:history="1">
        <w:r>
          <w:rPr>
            <w:rFonts w:ascii="仿宋" w:eastAsia="仿宋" w:hAnsi="仿宋" w:cs="仿宋" w:hint="eastAsia"/>
            <w:lang w:val="en-US"/>
          </w:rPr>
          <w:t>(一)、人员资源需求</w:t>
        </w:r>
        <w:r>
          <w:tab/>
        </w:r>
        <w:r>
          <w:fldChar w:fldCharType="begin"/>
        </w:r>
        <w:r>
          <w:instrText xml:space="preserve"> PAGEREF _Toc11495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74" w:history="1">
        <w:r>
          <w:rPr>
            <w:rFonts w:ascii="仿宋" w:eastAsia="仿宋" w:hAnsi="仿宋" w:cs="仿宋" w:hint="eastAsia"/>
            <w:lang w:val="en-US"/>
          </w:rPr>
          <w:t>(二)、员工培训与发展</w:t>
        </w:r>
        <w:r>
          <w:tab/>
        </w:r>
        <w:r>
          <w:fldChar w:fldCharType="begin"/>
        </w:r>
        <w:r>
          <w:instrText xml:space="preserve"> PAGEREF _Toc15574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4" w:history="1">
        <w:r>
          <w:rPr>
            <w:rFonts w:ascii="仿宋" w:eastAsia="仿宋" w:hAnsi="仿宋" w:cs="仿宋" w:hint="eastAsia"/>
            <w:lang w:val="en-US"/>
          </w:rPr>
          <w:t>二、不饱和聚酯树脂项目投资主体概况</w:t>
        </w:r>
        <w:r>
          <w:tab/>
        </w:r>
        <w:r>
          <w:fldChar w:fldCharType="begin"/>
        </w:r>
        <w:r>
          <w:instrText xml:space="preserve"> PAGEREF _Toc19144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84" w:history="1">
        <w:r>
          <w:rPr>
            <w:rFonts w:ascii="仿宋" w:eastAsia="仿宋" w:hAnsi="仿宋" w:cs="仿宋" w:hint="eastAsia"/>
            <w:lang w:val="en-US"/>
          </w:rPr>
          <w:t>(一)、公司概要</w:t>
        </w:r>
        <w:r>
          <w:tab/>
        </w:r>
        <w:r>
          <w:fldChar w:fldCharType="begin"/>
        </w:r>
        <w:r>
          <w:instrText xml:space="preserve"> PAGEREF _Toc7784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97" w:history="1">
        <w:r>
          <w:rPr>
            <w:rFonts w:ascii="仿宋" w:eastAsia="仿宋" w:hAnsi="仿宋" w:cs="仿宋" w:hint="eastAsia"/>
            <w:lang w:val="en-US"/>
          </w:rPr>
          <w:t>(二)、公司简介</w:t>
        </w:r>
        <w:r>
          <w:tab/>
        </w:r>
        <w:r>
          <w:fldChar w:fldCharType="begin"/>
        </w:r>
        <w:r>
          <w:instrText xml:space="preserve"> PAGEREF _Toc18197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17" w:history="1">
        <w:r>
          <w:rPr>
            <w:rFonts w:ascii="仿宋" w:eastAsia="仿宋" w:hAnsi="仿宋" w:cs="仿宋" w:hint="eastAsia"/>
            <w:lang w:val="en-US"/>
          </w:rPr>
          <w:t>(三)、财务概况</w:t>
        </w:r>
        <w:r>
          <w:tab/>
        </w:r>
        <w:r>
          <w:fldChar w:fldCharType="begin"/>
        </w:r>
        <w:r>
          <w:instrText xml:space="preserve"> PAGEREF _Toc20117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1" w:history="1">
        <w:r>
          <w:rPr>
            <w:rFonts w:ascii="仿宋" w:eastAsia="仿宋" w:hAnsi="仿宋" w:cs="仿宋" w:hint="eastAsia"/>
            <w:lang w:val="en-US"/>
          </w:rPr>
          <w:t>(四)、核心管理层介绍</w:t>
        </w:r>
        <w:r>
          <w:tab/>
        </w:r>
        <w:r>
          <w:fldChar w:fldCharType="begin"/>
        </w:r>
        <w:r>
          <w:instrText xml:space="preserve"> PAGEREF _Toc12011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83" w:history="1">
        <w:r>
          <w:rPr>
            <w:rFonts w:ascii="仿宋" w:eastAsia="仿宋" w:hAnsi="仿宋" w:cs="仿宋" w:hint="eastAsia"/>
            <w:lang w:val="en-US"/>
          </w:rPr>
          <w:t>三、建设规划分析</w:t>
        </w:r>
        <w:r>
          <w:tab/>
        </w:r>
        <w:r>
          <w:fldChar w:fldCharType="begin"/>
        </w:r>
        <w:r>
          <w:instrText xml:space="preserve"> PAGEREF _Toc30483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6" w:history="1">
        <w:r>
          <w:rPr>
            <w:rFonts w:ascii="仿宋" w:eastAsia="仿宋" w:hAnsi="仿宋" w:cs="仿宋" w:hint="eastAsia"/>
            <w:lang w:val="en-US"/>
          </w:rPr>
          <w:t>(一)、产品规划</w:t>
        </w:r>
        <w:r>
          <w:tab/>
        </w:r>
        <w:r>
          <w:fldChar w:fldCharType="begin"/>
        </w:r>
        <w:r>
          <w:instrText xml:space="preserve"> PAGEREF _Toc14866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14" w:history="1">
        <w:r>
          <w:rPr>
            <w:rFonts w:ascii="仿宋" w:eastAsia="仿宋" w:hAnsi="仿宋" w:cs="仿宋" w:hint="eastAsia"/>
            <w:lang w:val="en-US"/>
          </w:rPr>
          <w:t>(二)、建设规模</w:t>
        </w:r>
        <w:r>
          <w:tab/>
        </w:r>
        <w:r>
          <w:fldChar w:fldCharType="begin"/>
        </w:r>
        <w:r>
          <w:instrText xml:space="preserve"> PAGEREF _Toc23014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71" w:history="1">
        <w:r>
          <w:rPr>
            <w:rFonts w:ascii="仿宋" w:eastAsia="仿宋" w:hAnsi="仿宋" w:cs="仿宋" w:hint="eastAsia"/>
            <w:lang w:val="en-US"/>
          </w:rPr>
          <w:t>四、风险应对说明</w:t>
        </w:r>
        <w:r>
          <w:tab/>
        </w:r>
        <w:r>
          <w:fldChar w:fldCharType="begin"/>
        </w:r>
        <w:r>
          <w:instrText xml:space="preserve"> PAGEREF _Toc20071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_Toc2460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38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_Toc4038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25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_Toc4125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0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_Toc26630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76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_Toc24876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9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_Toc4099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38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_Toc7638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8" w:history="1">
        <w:r>
          <w:rPr>
            <w:rFonts w:ascii="仿宋" w:eastAsia="仿宋" w:hAnsi="仿宋" w:cs="仿宋" w:hint="eastAsia"/>
            <w:lang w:val="en-US"/>
          </w:rPr>
          <w:t>(八)、其他风险分析</w:t>
        </w:r>
        <w:r>
          <w:tab/>
        </w:r>
        <w:r>
          <w:fldChar w:fldCharType="begin"/>
        </w:r>
        <w:r>
          <w:instrText xml:space="preserve"> PAGEREF _Toc10698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0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_Toc6230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20" w:history="1">
        <w:r>
          <w:rPr>
            <w:rFonts w:ascii="仿宋" w:eastAsia="仿宋" w:hAnsi="仿宋" w:cs="仿宋" w:hint="eastAsia"/>
            <w:lang w:val="en-US"/>
          </w:rPr>
          <w:t>五、社会影响分析</w:t>
        </w:r>
        <w:r>
          <w:tab/>
        </w:r>
        <w:r>
          <w:fldChar w:fldCharType="begin"/>
        </w:r>
        <w:r>
          <w:instrText xml:space="preserve"> PAGEREF _Toc15720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5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_Toc17475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6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_Toc13546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810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_Toc23810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4" w:history="1">
        <w:r>
          <w:rPr>
            <w:rFonts w:ascii="仿宋" w:eastAsia="仿宋" w:hAnsi="仿宋" w:cs="仿宋" w:hint="eastAsia"/>
            <w:lang w:val="en-US"/>
          </w:rPr>
          <w:t>六、风险因素分析及规避措施</w:t>
        </w:r>
        <w:r>
          <w:tab/>
        </w:r>
        <w:r>
          <w:fldChar w:fldCharType="begin"/>
        </w:r>
        <w:r>
          <w:instrText xml:space="preserve"> PAGEREF _Toc6534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64" w:history="1">
        <w:r>
          <w:rPr>
            <w:rFonts w:ascii="仿宋" w:eastAsia="仿宋" w:hAnsi="仿宋" w:cs="仿宋" w:hint="eastAsia"/>
            <w:lang w:val="en-US"/>
          </w:rPr>
          <w:t>(一)、社会影响评价范围及内容的界定</w:t>
        </w:r>
        <w:r>
          <w:tab/>
        </w:r>
        <w:r>
          <w:fldChar w:fldCharType="begin"/>
        </w:r>
        <w:r>
          <w:instrText xml:space="preserve"> PAGEREF _Toc7364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3" w:history="1">
        <w:r>
          <w:rPr>
            <w:rFonts w:ascii="仿宋" w:eastAsia="仿宋" w:hAnsi="仿宋" w:cs="仿宋" w:hint="eastAsia"/>
            <w:lang w:val="en-US"/>
          </w:rPr>
          <w:t>(二)、社会影响因素分析</w:t>
        </w:r>
        <w:r>
          <w:tab/>
        </w:r>
        <w:r>
          <w:fldChar w:fldCharType="begin"/>
        </w:r>
        <w:r>
          <w:instrText xml:space="preserve"> PAGEREF _Toc8983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1" w:history="1">
        <w:r>
          <w:rPr>
            <w:rFonts w:ascii="仿宋" w:eastAsia="仿宋" w:hAnsi="仿宋" w:cs="仿宋" w:hint="eastAsia"/>
            <w:lang w:val="en-US"/>
          </w:rPr>
          <w:t>(三)、社会影响效果分析</w:t>
        </w:r>
        <w:r>
          <w:tab/>
        </w:r>
        <w:r>
          <w:fldChar w:fldCharType="begin"/>
        </w:r>
        <w:r>
          <w:instrText xml:space="preserve"> PAGEREF _Toc28841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62" w:history="1">
        <w:r>
          <w:rPr>
            <w:rFonts w:ascii="仿宋" w:eastAsia="仿宋" w:hAnsi="仿宋" w:cs="仿宋" w:hint="eastAsia"/>
            <w:lang w:val="en-US"/>
          </w:rPr>
          <w:t>七、经济影响分析</w:t>
        </w:r>
        <w:r>
          <w:tab/>
        </w:r>
        <w:r>
          <w:fldChar w:fldCharType="begin"/>
        </w:r>
        <w:r>
          <w:instrText xml:space="preserve"> PAGEREF _Toc29762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2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_Toc15032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31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_Toc28931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20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_Toc30920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6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_Toc19066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084" w:history="1">
        <w:r>
          <w:rPr>
            <w:rFonts w:ascii="仿宋" w:eastAsia="仿宋" w:hAnsi="仿宋" w:cs="仿宋" w:hint="eastAsia"/>
            <w:lang w:val="en-US"/>
          </w:rPr>
          <w:t>八、创新与研发策略</w:t>
        </w:r>
        <w:r>
          <w:tab/>
        </w:r>
        <w:r>
          <w:fldChar w:fldCharType="begin"/>
        </w:r>
        <w:r>
          <w:instrText xml:space="preserve"> PAGEREF _Toc8084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0" w:history="1">
        <w:r>
          <w:rPr>
            <w:rFonts w:ascii="仿宋" w:eastAsia="仿宋" w:hAnsi="仿宋" w:cs="仿宋" w:hint="eastAsia"/>
            <w:lang w:val="en-US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_Toc29220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98" w:history="1">
        <w:r>
          <w:rPr>
            <w:rFonts w:ascii="仿宋" w:eastAsia="仿宋" w:hAnsi="仿宋" w:cs="仿宋" w:hint="eastAsia"/>
            <w:lang w:val="en-US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_Toc13198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0" w:history="1">
        <w:r>
          <w:rPr>
            <w:rFonts w:ascii="仿宋" w:eastAsia="仿宋" w:hAnsi="仿宋" w:cs="仿宋" w:hint="eastAsia"/>
            <w:lang w:val="en-US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_Toc30700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18" w:history="1">
        <w:r>
          <w:rPr>
            <w:rFonts w:ascii="仿宋" w:eastAsia="仿宋" w:hAnsi="仿宋" w:cs="仿宋" w:hint="eastAsia"/>
            <w:lang w:val="en-US"/>
          </w:rPr>
          <w:t>九、风险评估与应对策略</w:t>
        </w:r>
        <w:r>
          <w:tab/>
        </w:r>
        <w:r>
          <w:fldChar w:fldCharType="begin"/>
        </w:r>
        <w:r>
          <w:instrText xml:space="preserve"> PAGEREF _Toc13618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26" w:history="1">
        <w:r>
          <w:rPr>
            <w:rFonts w:ascii="仿宋" w:eastAsia="仿宋" w:hAnsi="仿宋" w:cs="仿宋" w:hint="eastAsia"/>
            <w:lang w:val="en-US"/>
          </w:rPr>
          <w:t>(一)、不饱和聚酯树脂项目风险分析</w:t>
        </w:r>
        <w:r>
          <w:tab/>
        </w:r>
        <w:r>
          <w:fldChar w:fldCharType="begin"/>
        </w:r>
        <w:r>
          <w:instrText xml:space="preserve"> PAGEREF _Toc12726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16" w:history="1">
        <w:r>
          <w:rPr>
            <w:rFonts w:ascii="仿宋" w:eastAsia="仿宋" w:hAnsi="仿宋" w:cs="仿宋" w:hint="eastAsia"/>
            <w:lang w:val="en-US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_Toc25816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67" w:history="1">
        <w:r>
          <w:rPr>
            <w:rFonts w:ascii="仿宋" w:eastAsia="仿宋" w:hAnsi="仿宋" w:cs="仿宋" w:hint="eastAsia"/>
            <w:lang w:val="en-US"/>
          </w:rPr>
          <w:t>十、招标方案</w:t>
        </w:r>
        <w:r>
          <w:tab/>
        </w:r>
        <w:r>
          <w:fldChar w:fldCharType="begin"/>
        </w:r>
        <w:r>
          <w:instrText xml:space="preserve"> PAGEREF _Toc16467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03" w:history="1">
        <w:r>
          <w:rPr>
            <w:rFonts w:ascii="仿宋" w:eastAsia="仿宋" w:hAnsi="仿宋" w:cs="仿宋" w:hint="eastAsia"/>
            <w:lang w:val="en-US"/>
          </w:rPr>
          <w:t>(一)、不饱和聚酯树脂项目招标依据</w:t>
        </w:r>
        <w:r>
          <w:tab/>
        </w:r>
        <w:r>
          <w:fldChar w:fldCharType="begin"/>
        </w:r>
        <w:r>
          <w:instrText xml:space="preserve"> PAGEREF _Toc17003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5" w:history="1">
        <w:r>
          <w:rPr>
            <w:rFonts w:ascii="仿宋" w:eastAsia="仿宋" w:hAnsi="仿宋" w:cs="仿宋" w:hint="eastAsia"/>
            <w:lang w:val="en-US"/>
          </w:rPr>
          <w:t>(二)、不饱和聚酯树脂项目招标范围</w:t>
        </w:r>
        <w:r>
          <w:tab/>
        </w:r>
        <w:r>
          <w:fldChar w:fldCharType="begin"/>
        </w:r>
        <w:r>
          <w:instrText xml:space="preserve"> PAGEREF _Toc25855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6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_Toc3936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50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_Toc29650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9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_Toc3559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06" w:history="1">
        <w:r>
          <w:rPr>
            <w:rFonts w:ascii="仿宋" w:eastAsia="仿宋" w:hAnsi="仿宋" w:cs="仿宋" w:hint="eastAsia"/>
            <w:lang w:val="en-US"/>
          </w:rPr>
          <w:t>十一、生产控制的基本程序</w:t>
        </w:r>
        <w:r>
          <w:tab/>
        </w:r>
        <w:r>
          <w:fldChar w:fldCharType="begin"/>
        </w:r>
        <w:r>
          <w:instrText xml:space="preserve"> PAGEREF _Toc21206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17" w:history="1">
        <w:r>
          <w:rPr>
            <w:rFonts w:ascii="仿宋" w:eastAsia="仿宋" w:hAnsi="仿宋" w:cs="仿宋" w:hint="eastAsia"/>
            <w:lang w:val="en-US"/>
          </w:rPr>
          <w:t>(一)、制定控制标准</w:t>
        </w:r>
        <w:r>
          <w:tab/>
        </w:r>
        <w:r>
          <w:fldChar w:fldCharType="begin"/>
        </w:r>
        <w:r>
          <w:instrText xml:space="preserve"> PAGEREF _Toc20017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0" w:history="1">
        <w:r>
          <w:rPr>
            <w:rFonts w:ascii="仿宋" w:eastAsia="仿宋" w:hAnsi="仿宋" w:cs="仿宋" w:hint="eastAsia"/>
            <w:lang w:val="en-US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_Toc12950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2" w:history="1">
        <w:r>
          <w:rPr>
            <w:rFonts w:ascii="仿宋" w:eastAsia="仿宋" w:hAnsi="仿宋" w:cs="仿宋" w:hint="eastAsia"/>
            <w:lang w:val="en-US"/>
          </w:rPr>
          <w:t>(三)、控制决策</w:t>
        </w:r>
        <w:r>
          <w:tab/>
        </w:r>
        <w:r>
          <w:fldChar w:fldCharType="begin"/>
        </w:r>
        <w:r>
          <w:instrText xml:space="preserve"> PAGEREF _Toc9012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06" w:history="1">
        <w:r>
          <w:rPr>
            <w:rFonts w:ascii="仿宋" w:eastAsia="仿宋" w:hAnsi="仿宋" w:cs="仿宋" w:hint="eastAsia"/>
            <w:lang w:val="en-US"/>
          </w:rPr>
          <w:t>(四)、实施执行</w:t>
        </w:r>
        <w:r>
          <w:tab/>
        </w:r>
        <w:r>
          <w:fldChar w:fldCharType="begin"/>
        </w:r>
        <w:r>
          <w:instrText xml:space="preserve"> PAGEREF _Toc21606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5183" w:history="1">
        <w:r>
          <w:rPr>
            <w:rFonts w:ascii="仿宋" w:eastAsia="仿宋" w:hAnsi="仿宋" w:cs="仿宋" w:hint="eastAsia"/>
            <w:lang w:val="en-US"/>
          </w:rPr>
          <w:t>十二、安全评价结论</w:t>
        </w:r>
        <w:r>
          <w:tab/>
        </w:r>
        <w:r>
          <w:fldChar w:fldCharType="begin"/>
        </w:r>
        <w:r>
          <w:instrText xml:space="preserve"> PAGEREF _Toc25183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48" w:history="1">
        <w:r>
          <w:rPr>
            <w:rFonts w:ascii="仿宋" w:eastAsia="仿宋" w:hAnsi="仿宋" w:cs="仿宋" w:hint="eastAsia"/>
            <w:lang w:val="en-US"/>
          </w:rPr>
          <w:t>(一)、危险、有害因素辨识与分析结论</w:t>
        </w:r>
        <w:r>
          <w:tab/>
        </w:r>
        <w:r>
          <w:fldChar w:fldCharType="begin"/>
        </w:r>
        <w:r>
          <w:instrText xml:space="preserve"> PAGEREF _Toc5048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82" w:history="1">
        <w:r>
          <w:rPr>
            <w:rFonts w:ascii="仿宋" w:eastAsia="仿宋" w:hAnsi="仿宋" w:cs="仿宋" w:hint="eastAsia"/>
            <w:lang w:val="en-US"/>
          </w:rPr>
          <w:t>(二)、分析评价综述</w:t>
        </w:r>
        <w:r>
          <w:tab/>
        </w:r>
        <w:r>
          <w:fldChar w:fldCharType="begin"/>
        </w:r>
        <w:r>
          <w:instrText xml:space="preserve"> PAGEREF _Toc28182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96" w:history="1">
        <w:r>
          <w:rPr>
            <w:rFonts w:ascii="仿宋" w:eastAsia="仿宋" w:hAnsi="仿宋" w:cs="仿宋" w:hint="eastAsia"/>
            <w:lang w:val="en-US"/>
          </w:rPr>
          <w:t>(三)、应重视的安全对策措施建议</w:t>
        </w:r>
        <w:r>
          <w:tab/>
        </w:r>
        <w:r>
          <w:fldChar w:fldCharType="begin"/>
        </w:r>
        <w:r>
          <w:instrText xml:space="preserve"> PAGEREF _Toc21296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76" w:history="1">
        <w:r>
          <w:rPr>
            <w:rFonts w:ascii="仿宋" w:eastAsia="仿宋" w:hAnsi="仿宋" w:cs="仿宋" w:hint="eastAsia"/>
            <w:lang w:val="en-US"/>
          </w:rPr>
          <w:t>(四)、总体评价结论</w:t>
        </w:r>
        <w:r>
          <w:tab/>
        </w:r>
        <w:r>
          <w:fldChar w:fldCharType="begin"/>
        </w:r>
        <w:r>
          <w:instrText xml:space="preserve"> PAGEREF _Toc18676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152" w:history="1">
        <w:r>
          <w:rPr>
            <w:rFonts w:ascii="仿宋" w:eastAsia="仿宋" w:hAnsi="仿宋" w:cs="仿宋" w:hint="eastAsia"/>
            <w:lang w:val="en-US"/>
          </w:rPr>
          <w:t>十三、项目运营与管理</w:t>
        </w:r>
        <w:r>
          <w:tab/>
        </w:r>
        <w:r>
          <w:fldChar w:fldCharType="begin"/>
        </w:r>
        <w:r>
          <w:instrText xml:space="preserve"> PAGEREF _Toc13152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2" w:history="1">
        <w:r>
          <w:rPr>
            <w:rFonts w:ascii="仿宋" w:eastAsia="仿宋" w:hAnsi="仿宋" w:cs="仿宋" w:hint="eastAsia"/>
            <w:lang w:val="en-US"/>
          </w:rPr>
          <w:t>(一)、运营模式选择</w:t>
        </w:r>
        <w:r>
          <w:tab/>
        </w:r>
        <w:r>
          <w:fldChar w:fldCharType="begin"/>
        </w:r>
        <w:r>
          <w:instrText xml:space="preserve"> PAGEREF _Toc8222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03" w:history="1">
        <w:r>
          <w:rPr>
            <w:rFonts w:ascii="仿宋" w:eastAsia="仿宋" w:hAnsi="仿宋" w:cs="仿宋" w:hint="eastAsia"/>
            <w:lang w:val="en-US"/>
          </w:rPr>
          <w:t>(二)、人力资源规划</w:t>
        </w:r>
        <w:r>
          <w:tab/>
        </w:r>
        <w:r>
          <w:fldChar w:fldCharType="begin"/>
        </w:r>
        <w:r>
          <w:instrText xml:space="preserve"> PAGEREF _Toc26703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49" w:history="1">
        <w:r>
          <w:rPr>
            <w:rFonts w:ascii="仿宋" w:eastAsia="仿宋" w:hAnsi="仿宋" w:cs="仿宋" w:hint="eastAsia"/>
            <w:lang w:val="en-US"/>
          </w:rPr>
          <w:t>(三)、财务管理计划</w:t>
        </w:r>
        <w:r>
          <w:tab/>
        </w:r>
        <w:r>
          <w:fldChar w:fldCharType="begin"/>
        </w:r>
        <w:r>
          <w:instrText xml:space="preserve"> PAGEREF _Toc27949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96" w:history="1">
        <w:r>
          <w:rPr>
            <w:rFonts w:ascii="仿宋" w:eastAsia="仿宋" w:hAnsi="仿宋" w:cs="仿宋" w:hint="eastAsia"/>
            <w:lang w:val="en-US"/>
          </w:rPr>
          <w:t>(四)、供应链管理</w:t>
        </w:r>
        <w:r>
          <w:tab/>
        </w:r>
        <w:r>
          <w:fldChar w:fldCharType="begin"/>
        </w:r>
        <w:r>
          <w:instrText xml:space="preserve"> PAGEREF _Toc27696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46" w:history="1">
        <w:r>
          <w:rPr>
            <w:rFonts w:ascii="仿宋" w:eastAsia="仿宋" w:hAnsi="仿宋" w:cs="仿宋" w:hint="eastAsia"/>
            <w:lang w:val="en-US"/>
          </w:rPr>
          <w:t>十四、员工家庭与工作平衡支持计划</w:t>
        </w:r>
        <w:r>
          <w:tab/>
        </w:r>
        <w:r>
          <w:fldChar w:fldCharType="begin"/>
        </w:r>
        <w:r>
          <w:instrText xml:space="preserve"> PAGEREF _Toc5246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" w:history="1">
        <w:r>
          <w:rPr>
            <w:rFonts w:ascii="仿宋" w:eastAsia="仿宋" w:hAnsi="仿宋" w:cs="仿宋" w:hint="eastAsia"/>
            <w:lang w:val="en-US"/>
          </w:rPr>
          <w:t>(一)、家庭与工作平衡的重要性分析</w:t>
        </w:r>
        <w:r>
          <w:tab/>
        </w:r>
        <w:r>
          <w:fldChar w:fldCharType="begin"/>
        </w:r>
        <w:r>
          <w:instrText xml:space="preserve"> PAGEREF _Toc256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75" w:history="1">
        <w:r>
          <w:rPr>
            <w:rFonts w:ascii="仿宋" w:eastAsia="仿宋" w:hAnsi="仿宋" w:cs="仿宋" w:hint="eastAsia"/>
            <w:lang w:val="en-US"/>
          </w:rPr>
          <w:t>(二)、支持计划的制定与实施步骤</w:t>
        </w:r>
        <w:r>
          <w:tab/>
        </w:r>
        <w:r>
          <w:fldChar w:fldCharType="begin"/>
        </w:r>
        <w:r>
          <w:instrText xml:space="preserve"> PAGEREF _Toc19175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52" w:history="1">
        <w:r>
          <w:rPr>
            <w:rFonts w:ascii="仿宋" w:eastAsia="仿宋" w:hAnsi="仿宋" w:cs="仿宋" w:hint="eastAsia"/>
            <w:lang w:val="en-US"/>
          </w:rPr>
          <w:t>(三)、平衡效果的评估及调整优化</w:t>
        </w:r>
        <w:r>
          <w:tab/>
        </w:r>
        <w:r>
          <w:fldChar w:fldCharType="begin"/>
        </w:r>
        <w:r>
          <w:instrText xml:space="preserve"> PAGEREF _Toc16352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756" w:history="1">
        <w:r>
          <w:rPr>
            <w:rFonts w:ascii="仿宋" w:eastAsia="仿宋" w:hAnsi="仿宋" w:cs="仿宋" w:hint="eastAsia"/>
            <w:lang w:val="en-US"/>
          </w:rPr>
          <w:t>十五、不饱和聚酯树脂项目进度计划</w:t>
        </w:r>
        <w:r>
          <w:tab/>
        </w:r>
        <w:r>
          <w:fldChar w:fldCharType="begin"/>
        </w:r>
        <w:r>
          <w:instrText xml:space="preserve"> PAGEREF _Toc9756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61" w:history="1">
        <w:r>
          <w:rPr>
            <w:rFonts w:ascii="仿宋" w:eastAsia="仿宋" w:hAnsi="仿宋" w:cs="仿宋" w:hint="eastAsia"/>
            <w:lang w:val="en-US"/>
          </w:rPr>
          <w:t>(一)、不饱和聚酯树脂项目进度安排</w:t>
        </w:r>
        <w:r>
          <w:tab/>
        </w:r>
        <w:r>
          <w:fldChar w:fldCharType="begin"/>
        </w:r>
        <w:r>
          <w:instrText xml:space="preserve"> PAGEREF _Toc11361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60" w:history="1">
        <w:r>
          <w:rPr>
            <w:rFonts w:ascii="仿宋" w:eastAsia="仿宋" w:hAnsi="仿宋" w:cs="仿宋" w:hint="eastAsia"/>
            <w:lang w:val="en-US"/>
          </w:rPr>
          <w:t>(二)、不饱和聚酯树脂项目实施保障措施</w:t>
        </w:r>
        <w:r>
          <w:tab/>
        </w:r>
        <w:r>
          <w:fldChar w:fldCharType="begin"/>
        </w:r>
        <w:r>
          <w:instrText xml:space="preserve"> PAGEREF _Toc5460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93" w:history="1">
        <w:r>
          <w:rPr>
            <w:rFonts w:ascii="仿宋" w:eastAsia="仿宋" w:hAnsi="仿宋" w:cs="仿宋" w:hint="eastAsia"/>
            <w:lang w:val="en-US"/>
          </w:rPr>
          <w:t>十六、资源有效利用与节能减排</w:t>
        </w:r>
        <w:r>
          <w:tab/>
        </w:r>
        <w:r>
          <w:fldChar w:fldCharType="begin"/>
        </w:r>
        <w:r>
          <w:instrText xml:space="preserve"> PAGEREF _Toc13093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37" w:history="1">
        <w:r>
          <w:rPr>
            <w:rFonts w:ascii="仿宋" w:eastAsia="仿宋" w:hAnsi="仿宋" w:cs="仿宋" w:hint="eastAsia"/>
            <w:lang w:val="en-US"/>
          </w:rPr>
          <w:t>(一)、资源有效利用策略</w:t>
        </w:r>
        <w:r>
          <w:tab/>
        </w:r>
        <w:r>
          <w:fldChar w:fldCharType="begin"/>
        </w:r>
        <w:r>
          <w:instrText xml:space="preserve"> PAGEREF _Toc11237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29" w:history="1">
        <w:r>
          <w:rPr>
            <w:rFonts w:ascii="仿宋" w:eastAsia="仿宋" w:hAnsi="仿宋" w:cs="仿宋" w:hint="eastAsia"/>
            <w:lang w:val="en-US"/>
          </w:rPr>
          <w:t>(二)、节能措施与技术应用</w:t>
        </w:r>
        <w:r>
          <w:tab/>
        </w:r>
        <w:r>
          <w:fldChar w:fldCharType="begin"/>
        </w:r>
        <w:r>
          <w:instrText xml:space="preserve"> PAGEREF _Toc30329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10" w:history="1">
        <w:r>
          <w:rPr>
            <w:rFonts w:ascii="仿宋" w:eastAsia="仿宋" w:hAnsi="仿宋" w:cs="仿宋" w:hint="eastAsia"/>
            <w:lang w:val="en-US"/>
          </w:rPr>
          <w:t>(三)、减少排放与废弃物管理</w:t>
        </w:r>
        <w:r>
          <w:tab/>
        </w:r>
        <w:r>
          <w:fldChar w:fldCharType="begin"/>
        </w:r>
        <w:r>
          <w:instrText xml:space="preserve"> PAGEREF _Toc13810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08" w:history="1">
        <w:r>
          <w:rPr>
            <w:rFonts w:ascii="仿宋" w:eastAsia="仿宋" w:hAnsi="仿宋" w:cs="仿宋" w:hint="eastAsia"/>
            <w:lang w:val="en-US"/>
          </w:rPr>
          <w:t>十七、资金筹措与投资分析</w:t>
        </w:r>
        <w:r>
          <w:tab/>
        </w:r>
        <w:r>
          <w:fldChar w:fldCharType="begin"/>
        </w:r>
        <w:r>
          <w:instrText xml:space="preserve"> PAGEREF _Toc8408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40" w:history="1">
        <w:r>
          <w:rPr>
            <w:rFonts w:ascii="仿宋" w:eastAsia="仿宋" w:hAnsi="仿宋" w:cs="仿宋" w:hint="eastAsia"/>
            <w:lang w:val="en-US"/>
          </w:rPr>
          <w:t>(一)、资金需求与筹措计划</w:t>
        </w:r>
        <w:r>
          <w:tab/>
        </w:r>
        <w:r>
          <w:fldChar w:fldCharType="begin"/>
        </w:r>
        <w:r>
          <w:instrText xml:space="preserve"> PAGEREF _Toc3940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17" w:history="1">
        <w:r>
          <w:rPr>
            <w:rFonts w:ascii="仿宋" w:eastAsia="仿宋" w:hAnsi="仿宋" w:cs="仿宋" w:hint="eastAsia"/>
            <w:lang w:val="en-US"/>
          </w:rPr>
          <w:t>(二)、投资分析与回报预期</w:t>
        </w:r>
        <w:r>
          <w:tab/>
        </w:r>
        <w:r>
          <w:fldChar w:fldCharType="begin"/>
        </w:r>
        <w:r>
          <w:instrText xml:space="preserve"> PAGEREF _Toc29817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70" w:history="1">
        <w:r>
          <w:rPr>
            <w:rFonts w:ascii="仿宋" w:eastAsia="仿宋" w:hAnsi="仿宋" w:cs="仿宋" w:hint="eastAsia"/>
            <w:lang w:val="en-US"/>
          </w:rPr>
          <w:t>十八、不饱和聚酯树脂项目总结分析</w:t>
        </w:r>
        <w:r>
          <w:tab/>
        </w:r>
        <w:r>
          <w:fldChar w:fldCharType="begin"/>
        </w:r>
        <w:r>
          <w:instrText xml:space="preserve"> PAGEREF _Toc14270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16" w:history="1">
        <w:r>
          <w:rPr>
            <w:rFonts w:ascii="仿宋" w:eastAsia="仿宋" w:hAnsi="仿宋" w:cs="仿宋" w:hint="eastAsia"/>
            <w:lang w:val="en-US"/>
          </w:rPr>
          <w:t>十九、招标方案</w:t>
        </w:r>
        <w:r>
          <w:tab/>
        </w:r>
        <w:r>
          <w:fldChar w:fldCharType="begin"/>
        </w:r>
        <w:r>
          <w:instrText xml:space="preserve"> PAGEREF _Toc18516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91" w:history="1">
        <w:r>
          <w:rPr>
            <w:rFonts w:ascii="仿宋" w:eastAsia="仿宋" w:hAnsi="仿宋" w:cs="仿宋" w:hint="eastAsia"/>
            <w:lang w:val="en-US"/>
          </w:rPr>
          <w:t>(一)、不饱和聚酯树脂项目招标依据</w:t>
        </w:r>
        <w:r>
          <w:tab/>
        </w:r>
        <w:r>
          <w:fldChar w:fldCharType="begin"/>
        </w:r>
        <w:r>
          <w:instrText xml:space="preserve"> PAGEREF _Toc12691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77" w:history="1">
        <w:r>
          <w:rPr>
            <w:rFonts w:ascii="仿宋" w:eastAsia="仿宋" w:hAnsi="仿宋" w:cs="仿宋" w:hint="eastAsia"/>
            <w:lang w:val="en-US"/>
          </w:rPr>
          <w:t>(二)、不饱和聚酯树脂项目招标范围</w:t>
        </w:r>
        <w:r>
          <w:tab/>
        </w:r>
        <w:r>
          <w:fldChar w:fldCharType="begin"/>
        </w:r>
        <w:r>
          <w:instrText xml:space="preserve"> PAGEREF _Toc26177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29349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_Toc29349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44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_Toc6944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3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_Toc4593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390" w:history="1">
        <w:r>
          <w:rPr>
            <w:rFonts w:ascii="仿宋" w:eastAsia="仿宋" w:hAnsi="仿宋" w:cs="仿宋" w:hint="eastAsia"/>
            <w:lang w:val="en-US"/>
          </w:rPr>
          <w:t>二十、市场趋势与竞争分析</w:t>
        </w:r>
        <w:r>
          <w:tab/>
        </w:r>
        <w:r>
          <w:fldChar w:fldCharType="begin"/>
        </w:r>
        <w:r>
          <w:instrText xml:space="preserve"> PAGEREF _Toc4390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5" w:history="1">
        <w:r>
          <w:rPr>
            <w:rFonts w:ascii="仿宋" w:eastAsia="仿宋" w:hAnsi="仿宋" w:cs="仿宋" w:hint="eastAsia"/>
            <w:lang w:val="en-US"/>
          </w:rPr>
          <w:t>(一)、行业市场趋势分析</w:t>
        </w:r>
        <w:r>
          <w:tab/>
        </w:r>
        <w:r>
          <w:fldChar w:fldCharType="begin"/>
        </w:r>
        <w:r>
          <w:instrText xml:space="preserve"> PAGEREF _Toc2875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34" w:history="1">
        <w:r>
          <w:rPr>
            <w:rFonts w:ascii="仿宋" w:eastAsia="仿宋" w:hAnsi="仿宋" w:cs="仿宋" w:hint="eastAsia"/>
            <w:lang w:val="en-US"/>
          </w:rPr>
          <w:t>(二)、竞争对手动态监测</w:t>
        </w:r>
        <w:r>
          <w:tab/>
        </w:r>
        <w:r>
          <w:fldChar w:fldCharType="begin"/>
        </w:r>
        <w:r>
          <w:instrText xml:space="preserve"> PAGEREF _Toc3534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4" w:history="1">
        <w:r>
          <w:rPr>
            <w:rFonts w:ascii="仿宋" w:eastAsia="仿宋" w:hAnsi="仿宋" w:cs="仿宋" w:hint="eastAsia"/>
            <w:lang w:val="en-US"/>
          </w:rPr>
          <w:t>(三)、新兴技术与创新趋势</w:t>
        </w:r>
        <w:r>
          <w:tab/>
        </w:r>
        <w:r>
          <w:fldChar w:fldCharType="begin"/>
        </w:r>
        <w:r>
          <w:instrText xml:space="preserve"> PAGEREF _Toc27604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3" w:history="1">
        <w:r>
          <w:rPr>
            <w:rFonts w:ascii="仿宋" w:eastAsia="仿宋" w:hAnsi="仿宋" w:cs="仿宋" w:hint="eastAsia"/>
            <w:lang w:val="en-US"/>
          </w:rPr>
          <w:t>(四)、市场机会与威胁评估</w:t>
        </w:r>
        <w:r>
          <w:tab/>
        </w:r>
        <w:r>
          <w:fldChar w:fldCharType="begin"/>
        </w:r>
        <w:r>
          <w:instrText xml:space="preserve"> PAGEREF _Toc14323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31" w:history="1">
        <w:r>
          <w:rPr>
            <w:rFonts w:ascii="仿宋" w:eastAsia="仿宋" w:hAnsi="仿宋" w:cs="仿宋" w:hint="eastAsia"/>
            <w:lang w:val="en-US"/>
          </w:rPr>
          <w:t>二十一、人力资源管理与开发</w:t>
        </w:r>
        <w:r>
          <w:tab/>
        </w:r>
        <w:r>
          <w:fldChar w:fldCharType="begin"/>
        </w:r>
        <w:r>
          <w:instrText xml:space="preserve"> PAGEREF _Toc6831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6" w:history="1">
        <w:r>
          <w:rPr>
            <w:rFonts w:ascii="仿宋" w:eastAsia="仿宋" w:hAnsi="仿宋" w:cs="仿宋" w:hint="eastAsia"/>
            <w:lang w:val="en-US"/>
          </w:rPr>
          <w:t>(一)、人力资源规划</w:t>
        </w:r>
        <w:r>
          <w:tab/>
        </w:r>
        <w:r>
          <w:fldChar w:fldCharType="begin"/>
        </w:r>
        <w:r>
          <w:instrText xml:space="preserve"> PAGEREF _Toc28706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73" w:history="1">
        <w:r>
          <w:rPr>
            <w:rFonts w:ascii="仿宋" w:eastAsia="仿宋" w:hAnsi="仿宋" w:cs="仿宋" w:hint="eastAsia"/>
            <w:lang w:val="en-US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_Toc15873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https://d.book118.com/955013324043011121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不饱和聚酯树脂项目投资建议书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不饱和聚酯树脂项目投资建议书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不饱和聚酯树脂项目投资建议书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不饱和聚酯树脂项目投资建议书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不饱和聚酯树脂项目投资建议书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68767B"/>
    <w:rsid w:val="5168767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55013324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2024-03-04T01:13:00Z</dcterms:created>
  <dcterms:modified xsi:type="dcterms:W3CDTF">2024-03-04T01:13:23Z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