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高性能计算项目经营分析报告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81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_Toc26811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34" w:history="1">
        <w:r>
          <w:rPr>
            <w:rFonts w:ascii="仿宋" w:eastAsia="仿宋" w:hAnsi="仿宋" w:cs="仿宋" w:hint="eastAsia"/>
            <w:lang w:eastAsia="zh-CN"/>
          </w:rPr>
          <w:t>一、后期运营与管理</w:t>
        </w:r>
        <w:r>
          <w:tab/>
        </w:r>
        <w:r>
          <w:fldChar w:fldCharType="begin"/>
        </w:r>
        <w:r>
          <w:instrText xml:space="preserve"> PAGEREF _Toc14234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27" w:history="1">
        <w:r>
          <w:rPr>
            <w:rFonts w:ascii="仿宋" w:eastAsia="仿宋" w:hAnsi="仿宋" w:cs="仿宋" w:hint="eastAsia"/>
            <w:lang w:eastAsia="zh-CN"/>
          </w:rPr>
          <w:t>(一)、高性能计算项目运营管理机制</w:t>
        </w:r>
        <w:r>
          <w:tab/>
        </w:r>
        <w:r>
          <w:fldChar w:fldCharType="begin"/>
        </w:r>
        <w:r>
          <w:instrText xml:space="preserve"> PAGEREF _Toc26427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0" w:history="1">
        <w:r>
          <w:rPr>
            <w:rFonts w:ascii="仿宋" w:eastAsia="仿宋" w:hAnsi="仿宋" w:cs="仿宋" w:hint="eastAsia"/>
            <w:lang w:eastAsia="zh-CN"/>
          </w:rPr>
          <w:t>(二)、人员培训与知识转移</w:t>
        </w:r>
        <w:r>
          <w:tab/>
        </w:r>
        <w:r>
          <w:fldChar w:fldCharType="begin"/>
        </w:r>
        <w:r>
          <w:instrText xml:space="preserve"> PAGEREF _Toc23630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3" w:history="1">
        <w:r>
          <w:rPr>
            <w:rFonts w:ascii="仿宋" w:eastAsia="仿宋" w:hAnsi="仿宋" w:cs="仿宋" w:hint="eastAsia"/>
            <w:lang w:eastAsia="zh-CN"/>
          </w:rPr>
          <w:t>(三)、设备维护与保养</w:t>
        </w:r>
        <w:r>
          <w:tab/>
        </w:r>
        <w:r>
          <w:fldChar w:fldCharType="begin"/>
        </w:r>
        <w:r>
          <w:instrText xml:space="preserve"> PAGEREF _Toc10023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2" w:history="1">
        <w:r>
          <w:rPr>
            <w:rFonts w:ascii="仿宋" w:eastAsia="仿宋" w:hAnsi="仿宋" w:cs="仿宋" w:hint="eastAsia"/>
            <w:lang w:eastAsia="zh-CN"/>
          </w:rPr>
          <w:t>(四)、定期检查与评估</w:t>
        </w:r>
        <w:r>
          <w:tab/>
        </w:r>
        <w:r>
          <w:fldChar w:fldCharType="begin"/>
        </w:r>
        <w:r>
          <w:instrText xml:space="preserve"> PAGEREF _Toc26262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20" w:history="1">
        <w:r>
          <w:rPr>
            <w:rFonts w:ascii="仿宋" w:eastAsia="仿宋" w:hAnsi="仿宋" w:cs="仿宋" w:hint="eastAsia"/>
            <w:lang w:eastAsia="zh-CN"/>
          </w:rPr>
          <w:t>二、建设背景及必要性分析</w:t>
        </w:r>
        <w:r>
          <w:tab/>
        </w:r>
        <w:r>
          <w:fldChar w:fldCharType="begin"/>
        </w:r>
        <w:r>
          <w:instrText xml:space="preserve"> PAGEREF _Toc11720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8" w:history="1">
        <w:r>
          <w:rPr>
            <w:rFonts w:ascii="仿宋" w:eastAsia="仿宋" w:hAnsi="仿宋" w:cs="仿宋" w:hint="eastAsia"/>
            <w:lang w:eastAsia="zh-CN"/>
          </w:rPr>
          <w:t>(一)、高性能计算项目承办单位背景分析</w:t>
        </w:r>
        <w:r>
          <w:tab/>
        </w:r>
        <w:r>
          <w:fldChar w:fldCharType="begin"/>
        </w:r>
        <w:r>
          <w:instrText xml:space="preserve"> PAGEREF _Toc22368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5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_Toc28155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_Toc32053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4" w:history="1">
        <w:r>
          <w:rPr>
            <w:rFonts w:ascii="仿宋" w:eastAsia="仿宋" w:hAnsi="仿宋" w:cs="仿宋" w:hint="eastAsia"/>
            <w:lang w:eastAsia="zh-CN"/>
          </w:rPr>
          <w:t>(四)、区域经济发展概况</w:t>
        </w:r>
        <w:r>
          <w:tab/>
        </w:r>
        <w:r>
          <w:fldChar w:fldCharType="begin"/>
        </w:r>
        <w:r>
          <w:instrText xml:space="preserve"> PAGEREF _Toc28374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6" w:history="1">
        <w:r>
          <w:rPr>
            <w:rFonts w:ascii="仿宋" w:eastAsia="仿宋" w:hAnsi="仿宋" w:cs="仿宋" w:hint="eastAsia"/>
            <w:lang w:eastAsia="zh-CN"/>
          </w:rPr>
          <w:t>(五)、高性能计算项目必要性分析</w:t>
        </w:r>
        <w:r>
          <w:tab/>
        </w:r>
        <w:r>
          <w:fldChar w:fldCharType="begin"/>
        </w:r>
        <w:r>
          <w:instrText xml:space="preserve"> PAGEREF _Toc12986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90" w:history="1">
        <w:r>
          <w:rPr>
            <w:rFonts w:ascii="仿宋" w:eastAsia="仿宋" w:hAnsi="仿宋" w:cs="仿宋" w:hint="eastAsia"/>
            <w:lang w:eastAsia="zh-CN"/>
          </w:rPr>
          <w:t>三、高性能计算项目建设背景及必要性分析</w:t>
        </w:r>
        <w:r>
          <w:tab/>
        </w:r>
        <w:r>
          <w:fldChar w:fldCharType="begin"/>
        </w:r>
        <w:r>
          <w:instrText xml:space="preserve"> PAGEREF _Toc30890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9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_Toc7729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_Toc772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93" w:history="1">
        <w:r>
          <w:rPr>
            <w:rFonts w:ascii="仿宋" w:eastAsia="仿宋" w:hAnsi="仿宋" w:cs="仿宋" w:hint="eastAsia"/>
            <w:lang w:eastAsia="zh-CN"/>
          </w:rPr>
          <w:t>四、劳动安全</w:t>
        </w:r>
        <w:r>
          <w:tab/>
        </w:r>
        <w:r>
          <w:fldChar w:fldCharType="begin"/>
        </w:r>
        <w:r>
          <w:instrText xml:space="preserve"> PAGEREF _Toc25093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_Toc13191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1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_Toc28321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9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_Toc31969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65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_Toc26665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0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_Toc9770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_Toc26315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_Toc1641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59" w:history="1">
        <w:r>
          <w:rPr>
            <w:rFonts w:ascii="仿宋" w:eastAsia="仿宋" w:hAnsi="仿宋" w:cs="仿宋" w:hint="eastAsia"/>
            <w:lang w:eastAsia="zh-CN"/>
          </w:rPr>
          <w:t>六、高性能计算项目工程设计研究</w:t>
        </w:r>
        <w:r>
          <w:tab/>
        </w:r>
        <w:r>
          <w:fldChar w:fldCharType="begin"/>
        </w:r>
        <w:r>
          <w:instrText xml:space="preserve"> PAGEREF _Toc20159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_Toc23830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29" w:history="1">
        <w:r>
          <w:rPr>
            <w:rFonts w:ascii="仿宋" w:eastAsia="仿宋" w:hAnsi="仿宋" w:cs="仿宋" w:hint="eastAsia"/>
            <w:lang w:eastAsia="zh-CN"/>
          </w:rPr>
          <w:t>(二)、高性能计算项目工程建设标准规范</w:t>
        </w:r>
        <w:r>
          <w:tab/>
        </w:r>
        <w:r>
          <w:fldChar w:fldCharType="begin"/>
        </w:r>
        <w:r>
          <w:instrText xml:space="preserve"> PAGEREF _Toc9529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5" w:history="1">
        <w:r>
          <w:rPr>
            <w:rFonts w:ascii="仿宋" w:eastAsia="仿宋" w:hAnsi="仿宋" w:cs="仿宋" w:hint="eastAsia"/>
            <w:lang w:eastAsia="zh-CN"/>
          </w:rPr>
          <w:t>(三)、高性能计算项目总平面设计要求</w:t>
        </w:r>
        <w:r>
          <w:tab/>
        </w:r>
        <w:r>
          <w:fldChar w:fldCharType="begin"/>
        </w:r>
        <w:r>
          <w:instrText xml:space="preserve"> PAGEREF _Toc14285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6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_Toc12746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5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_Toc5785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5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_Toc30735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5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_Toc19315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17" w:history="1">
        <w:r>
          <w:rPr>
            <w:rFonts w:ascii="仿宋" w:eastAsia="仿宋" w:hAnsi="仿宋" w:cs="仿宋" w:hint="eastAsia"/>
            <w:lang w:eastAsia="zh-CN"/>
          </w:rPr>
          <w:t>七、运营管理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_Toc14067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_Toc4251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0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_Toc21310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2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_Toc27952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62" w:history="1">
        <w:r>
          <w:rPr>
            <w:rFonts w:ascii="仿宋" w:eastAsia="仿宋" w:hAnsi="仿宋" w:cs="仿宋" w:hint="eastAsia"/>
            <w:lang w:eastAsia="zh-CN"/>
          </w:rPr>
          <w:t>八、质量与技术管理</w:t>
        </w:r>
        <w:r>
          <w:tab/>
        </w:r>
        <w:r>
          <w:fldChar w:fldCharType="begin"/>
        </w:r>
        <w:r>
          <w:instrText xml:space="preserve"> PAGEREF _Toc18362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2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_Toc5422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3" w:history="1">
        <w:r>
          <w:rPr>
            <w:rFonts w:ascii="仿宋" w:eastAsia="仿宋" w:hAnsi="仿宋" w:cs="仿宋" w:hint="eastAsia"/>
            <w:lang w:eastAsia="zh-CN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_Toc21263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2" w:history="1">
        <w:r>
          <w:rPr>
            <w:rFonts w:ascii="仿宋" w:eastAsia="仿宋" w:hAnsi="仿宋" w:cs="仿宋" w:hint="eastAsia"/>
            <w:lang w:eastAsia="zh-CN"/>
          </w:rPr>
          <w:t>九、高性能计算项目社会影响</w:t>
        </w:r>
        <w:r>
          <w:tab/>
        </w:r>
        <w:r>
          <w:fldChar w:fldCharType="begin"/>
        </w:r>
        <w:r>
          <w:instrText xml:space="preserve"> PAGEREF _Toc11872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_Toc1660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22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_Toc1322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40" w:history="1">
        <w:r>
          <w:rPr>
            <w:rFonts w:ascii="仿宋" w:eastAsia="仿宋" w:hAnsi="仿宋" w:cs="仿宋" w:hint="eastAsia"/>
            <w:lang w:eastAsia="zh-CN"/>
          </w:rPr>
          <w:t>十、项目投资情况</w:t>
        </w:r>
        <w:r>
          <w:tab/>
        </w:r>
        <w:r>
          <w:fldChar w:fldCharType="begin"/>
        </w:r>
        <w:r>
          <w:instrText xml:space="preserve"> PAGEREF _Toc25740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6" w:history="1">
        <w:r>
          <w:rPr>
            <w:rFonts w:ascii="仿宋" w:eastAsia="仿宋" w:hAnsi="仿宋" w:cs="仿宋" w:hint="eastAsia"/>
            <w:lang w:eastAsia="zh-CN"/>
          </w:rPr>
          <w:t>(一)、项目总投资估算</w:t>
        </w:r>
        <w:r>
          <w:tab/>
        </w:r>
        <w:r>
          <w:fldChar w:fldCharType="begin"/>
        </w:r>
        <w:r>
          <w:instrText xml:space="preserve"> PAGEREF _Toc8916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7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_Toc18087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53" w:history="1">
        <w:r>
          <w:rPr>
            <w:rFonts w:ascii="仿宋" w:eastAsia="仿宋" w:hAnsi="仿宋" w:cs="仿宋" w:hint="eastAsia"/>
            <w:lang w:eastAsia="zh-CN"/>
          </w:rPr>
          <w:t>十一、安全文化建设</w:t>
        </w:r>
        <w:r>
          <w:tab/>
        </w:r>
        <w:r>
          <w:fldChar w:fldCharType="begin"/>
        </w:r>
        <w:r>
          <w:instrText xml:space="preserve"> PAGEREF _Toc9053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4" w:history="1">
        <w:r>
          <w:rPr>
            <w:rFonts w:ascii="仿宋" w:eastAsia="仿宋" w:hAnsi="仿宋" w:cs="仿宋" w:hint="eastAsia"/>
            <w:lang w:eastAsia="zh-CN"/>
          </w:rPr>
          <w:t>(一)、安全文化建设的背景和意义</w:t>
        </w:r>
        <w:r>
          <w:tab/>
        </w:r>
        <w:r>
          <w:fldChar w:fldCharType="begin"/>
        </w:r>
        <w:r>
          <w:instrText xml:space="preserve"> PAGEREF _Toc18464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0" w:history="1">
        <w:r>
          <w:rPr>
            <w:rFonts w:ascii="仿宋" w:eastAsia="仿宋" w:hAnsi="仿宋" w:cs="仿宋" w:hint="eastAsia"/>
            <w:lang w:eastAsia="zh-CN"/>
          </w:rPr>
          <w:t>(二)、安全文化建设的基本原则</w:t>
        </w:r>
        <w:r>
          <w:tab/>
        </w:r>
        <w:r>
          <w:fldChar w:fldCharType="begin"/>
        </w:r>
        <w:r>
          <w:instrText xml:space="preserve"> PAGEREF _Toc11990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8" w:history="1">
        <w:r>
          <w:rPr>
            <w:rFonts w:ascii="仿宋" w:eastAsia="仿宋" w:hAnsi="仿宋" w:cs="仿宋" w:hint="eastAsia"/>
            <w:lang w:eastAsia="zh-CN"/>
          </w:rPr>
          <w:t>(三)、安全文化建设的方法和手段</w:t>
        </w:r>
        <w:r>
          <w:tab/>
        </w:r>
        <w:r>
          <w:fldChar w:fldCharType="begin"/>
        </w:r>
        <w:r>
          <w:instrText xml:space="preserve"> PAGEREF _Toc10918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1" w:history="1">
        <w:r>
          <w:rPr>
            <w:rFonts w:ascii="仿宋" w:eastAsia="仿宋" w:hAnsi="仿宋" w:cs="仿宋" w:hint="eastAsia"/>
            <w:lang w:eastAsia="zh-CN"/>
          </w:rPr>
          <w:t>(四)、安全文化建设的效果评估</w:t>
        </w:r>
        <w:r>
          <w:tab/>
        </w:r>
        <w:r>
          <w:fldChar w:fldCharType="begin"/>
        </w:r>
        <w:r>
          <w:instrText xml:space="preserve"> PAGEREF _Toc23181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8" w:history="1">
        <w:r>
          <w:rPr>
            <w:rFonts w:ascii="仿宋" w:eastAsia="仿宋" w:hAnsi="仿宋" w:cs="仿宋" w:hint="eastAsia"/>
            <w:lang w:eastAsia="zh-CN"/>
          </w:rPr>
          <w:t>十二、投资方案计划</w:t>
        </w:r>
        <w:r>
          <w:tab/>
        </w:r>
        <w:r>
          <w:fldChar w:fldCharType="begin"/>
        </w:r>
        <w:r>
          <w:instrText xml:space="preserve"> PAGEREF _Toc1858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9" w:history="1">
        <w:r>
          <w:rPr>
            <w:rFonts w:ascii="仿宋" w:eastAsia="仿宋" w:hAnsi="仿宋" w:cs="仿宋" w:hint="eastAsia"/>
            <w:lang w:eastAsia="zh-CN"/>
          </w:rPr>
          <w:t>(一)、高性能计算项目估算说明</w:t>
        </w:r>
        <w:r>
          <w:tab/>
        </w:r>
        <w:r>
          <w:fldChar w:fldCharType="begin"/>
        </w:r>
        <w:r>
          <w:instrText xml:space="preserve"> PAGEREF _Toc6289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7" w:history="1">
        <w:r>
          <w:rPr>
            <w:rFonts w:ascii="仿宋" w:eastAsia="仿宋" w:hAnsi="仿宋" w:cs="仿宋" w:hint="eastAsia"/>
            <w:lang w:eastAsia="zh-CN"/>
          </w:rPr>
          <w:t>(二)、高性能计算项目总投资估算</w:t>
        </w:r>
        <w:r>
          <w:tab/>
        </w:r>
        <w:r>
          <w:fldChar w:fldCharType="begin"/>
        </w:r>
        <w:r>
          <w:instrText xml:space="preserve"> PAGEREF _Toc30797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_Toc20564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7" w:history="1">
        <w:r>
          <w:rPr>
            <w:rFonts w:ascii="仿宋" w:eastAsia="仿宋" w:hAnsi="仿宋" w:cs="仿宋" w:hint="eastAsia"/>
            <w:lang w:eastAsia="zh-CN"/>
          </w:rPr>
          <w:t>十三、招标方案</w:t>
        </w:r>
        <w:r>
          <w:tab/>
        </w:r>
        <w:r>
          <w:fldChar w:fldCharType="begin"/>
        </w:r>
        <w:r>
          <w:instrText xml:space="preserve"> PAGEREF _Toc3067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4" w:history="1">
        <w:r>
          <w:rPr>
            <w:rFonts w:ascii="仿宋" w:eastAsia="仿宋" w:hAnsi="仿宋" w:cs="仿宋" w:hint="eastAsia"/>
            <w:lang w:eastAsia="zh-CN"/>
          </w:rPr>
          <w:t>(一)、高性能计算项目招标依据</w:t>
        </w:r>
        <w:r>
          <w:tab/>
        </w:r>
        <w:r>
          <w:fldChar w:fldCharType="begin"/>
        </w:r>
        <w:r>
          <w:instrText xml:space="preserve"> PAGEREF _Toc20864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" w:history="1">
        <w:r>
          <w:rPr>
            <w:rFonts w:ascii="仿宋" w:eastAsia="仿宋" w:hAnsi="仿宋" w:cs="仿宋" w:hint="eastAsia"/>
            <w:lang w:eastAsia="zh-CN"/>
          </w:rPr>
          <w:t>(二)、高性能计算项目招标范围</w:t>
        </w:r>
        <w:r>
          <w:tab/>
        </w:r>
        <w:r>
          <w:fldChar w:fldCharType="begin"/>
        </w:r>
        <w:r>
          <w:instrText xml:space="preserve"> PAGEREF _Toc3191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3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_Toc6703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8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_Toc20898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34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_Toc29734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81" w:history="1">
        <w:r>
          <w:rPr>
            <w:rFonts w:ascii="仿宋" w:eastAsia="仿宋" w:hAnsi="仿宋" w:cs="仿宋" w:hint="eastAsia"/>
            <w:lang w:eastAsia="zh-CN"/>
          </w:rPr>
          <w:t>十四、高性能计算项目环境影响分析</w:t>
        </w:r>
        <w:r>
          <w:tab/>
        </w:r>
        <w:r>
          <w:fldChar w:fldCharType="begin"/>
        </w:r>
        <w:r>
          <w:instrText xml:space="preserve"> PAGEREF _Toc12781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_Toc18641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3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_Toc4843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_Toc18944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8" w:history="1">
        <w:r>
          <w:rPr>
            <w:rFonts w:ascii="仿宋" w:eastAsia="仿宋" w:hAnsi="仿宋" w:cs="仿宋" w:hint="eastAsia"/>
            <w:lang w:eastAsia="zh-CN"/>
          </w:rPr>
          <w:t>(四)、高性能计算项目建设对区域经济的影响</w:t>
        </w:r>
        <w:r>
          <w:tab/>
        </w:r>
        <w:r>
          <w:fldChar w:fldCharType="begin"/>
        </w:r>
        <w:r>
          <w:instrText xml:space="preserve"> PAGEREF _Toc24458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5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_Toc15805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32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_Toc6432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8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_Toc28088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5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_Toc8605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31" w:history="1">
        <w:r>
          <w:rPr>
            <w:rFonts w:ascii="仿宋" w:eastAsia="仿宋" w:hAnsi="仿宋" w:cs="仿宋" w:hint="eastAsia"/>
            <w:lang w:eastAsia="zh-CN"/>
          </w:rPr>
          <w:t>十五、战略的定量评价决策方法</w:t>
        </w:r>
        <w:r>
          <w:tab/>
        </w:r>
        <w:r>
          <w:fldChar w:fldCharType="begin"/>
        </w:r>
        <w:r>
          <w:instrText xml:space="preserve"> PAGEREF _Toc32531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9" w:history="1">
        <w:r>
          <w:rPr>
            <w:rFonts w:ascii="仿宋" w:eastAsia="仿宋" w:hAnsi="仿宋" w:cs="仿宋" w:hint="eastAsia"/>
            <w:lang w:eastAsia="zh-CN"/>
          </w:rPr>
          <w:t>(一)、战略的定量评价决策方法</w:t>
        </w:r>
        <w:r>
          <w:tab/>
        </w:r>
        <w:r>
          <w:fldChar w:fldCharType="begin"/>
        </w:r>
        <w:r>
          <w:instrText xml:space="preserve"> PAGEREF _Toc4269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63" w:history="1">
        <w:r>
          <w:rPr>
            <w:rFonts w:ascii="仿宋" w:eastAsia="仿宋" w:hAnsi="仿宋" w:cs="仿宋" w:hint="eastAsia"/>
            <w:lang w:eastAsia="zh-CN"/>
          </w:rPr>
          <w:t>十六、战略风险的识别</w:t>
        </w:r>
        <w:r>
          <w:tab/>
        </w:r>
        <w:r>
          <w:fldChar w:fldCharType="begin"/>
        </w:r>
        <w:r>
          <w:instrText xml:space="preserve"> PAGEREF _Toc23963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3" w:history="1">
        <w:r>
          <w:rPr>
            <w:rFonts w:ascii="仿宋" w:eastAsia="仿宋" w:hAnsi="仿宋" w:cs="仿宋" w:hint="eastAsia"/>
            <w:lang w:eastAsia="zh-CN"/>
          </w:rPr>
          <w:t>(一)、高性能计算行业企业在确定愿景及使命时的风险识别</w:t>
        </w:r>
        <w:r>
          <w:tab/>
        </w:r>
        <w:r>
          <w:fldChar w:fldCharType="begin"/>
        </w:r>
        <w:r>
          <w:instrText xml:space="preserve"> PAGEREF _Toc12943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0" w:history="1">
        <w:r>
          <w:rPr>
            <w:rFonts w:ascii="仿宋" w:eastAsia="仿宋" w:hAnsi="仿宋" w:cs="仿宋" w:hint="eastAsia"/>
            <w:lang w:eastAsia="zh-CN"/>
          </w:rPr>
          <w:t>(二)、制定高性能计算行业企业战略目标的风险识别</w:t>
        </w:r>
        <w:r>
          <w:tab/>
        </w:r>
        <w:r>
          <w:fldChar w:fldCharType="begin"/>
        </w:r>
        <w:r>
          <w:instrText xml:space="preserve"> PAGEREF _Toc32170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" w:history="1">
        <w:r>
          <w:rPr>
            <w:rFonts w:ascii="仿宋" w:eastAsia="仿宋" w:hAnsi="仿宋" w:cs="仿宋" w:hint="eastAsia"/>
            <w:lang w:eastAsia="zh-CN"/>
          </w:rPr>
          <w:t>(三)、高性能计算行业企业战略分析的风险识别</w:t>
        </w:r>
        <w:r>
          <w:tab/>
        </w:r>
        <w:r>
          <w:fldChar w:fldCharType="begin"/>
        </w:r>
        <w:r>
          <w:instrText xml:space="preserve"> PAGEREF _Toc1762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5" w:history="1">
        <w:r>
          <w:rPr>
            <w:rFonts w:ascii="仿宋" w:eastAsia="仿宋" w:hAnsi="仿宋" w:cs="仿宋" w:hint="eastAsia"/>
            <w:lang w:eastAsia="zh-CN"/>
          </w:rPr>
          <w:t>(四)、高性能计算行业企业战略选择的风险识别</w:t>
        </w:r>
        <w:r>
          <w:tab/>
        </w:r>
        <w:r>
          <w:fldChar w:fldCharType="begin"/>
        </w:r>
        <w:r>
          <w:instrText xml:space="preserve"> PAGEREF _Toc4685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" w:history="1">
        <w:r>
          <w:rPr>
            <w:rFonts w:ascii="仿宋" w:eastAsia="仿宋" w:hAnsi="仿宋" w:cs="仿宋" w:hint="eastAsia"/>
            <w:lang w:eastAsia="zh-CN"/>
          </w:rPr>
          <w:t>(五)、高性能计算行业企业战略实施的风险识别</w:t>
        </w:r>
        <w:r>
          <w:tab/>
        </w:r>
        <w:r>
          <w:fldChar w:fldCharType="begin"/>
        </w:r>
        <w:r>
          <w:instrText xml:space="preserve"> PAGEREF _Toc1734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2" w:history="1">
        <w:r>
          <w:rPr>
            <w:rFonts w:ascii="仿宋" w:eastAsia="仿宋" w:hAnsi="仿宋" w:cs="仿宋" w:hint="eastAsia"/>
            <w:lang w:eastAsia="zh-CN"/>
          </w:rPr>
          <w:t>十七、未来发展战略</w:t>
        </w:r>
        <w:r>
          <w:tab/>
        </w:r>
        <w:r>
          <w:fldChar w:fldCharType="begin"/>
        </w:r>
        <w:r>
          <w:instrText xml:space="preserve"> PAGEREF _Toc352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1" w:history="1">
        <w:r>
          <w:rPr>
            <w:rFonts w:ascii="仿宋" w:eastAsia="仿宋" w:hAnsi="仿宋" w:cs="仿宋" w:hint="eastAsia"/>
            <w:lang w:eastAsia="zh-CN"/>
          </w:rPr>
          <w:t>(一)、未来市场定位与业务拓展</w:t>
        </w:r>
        <w:r>
          <w:tab/>
        </w:r>
        <w:r>
          <w:fldChar w:fldCharType="begin"/>
        </w:r>
        <w:r>
          <w:instrText xml:space="preserve"> PAGEREF _Toc29941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1" w:history="1">
        <w:r>
          <w:rPr>
            <w:rFonts w:ascii="仿宋" w:eastAsia="仿宋" w:hAnsi="仿宋" w:cs="仿宋" w:hint="eastAsia"/>
            <w:lang w:eastAsia="zh-CN"/>
          </w:rPr>
          <w:t>(二)、技术创新与研发方向</w:t>
        </w:r>
        <w:r>
          <w:tab/>
        </w:r>
        <w:r>
          <w:fldChar w:fldCharType="begin"/>
        </w:r>
        <w:r>
          <w:instrText xml:space="preserve"> PAGEREF _Toc28091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4" w:history="1">
        <w:r>
          <w:rPr>
            <w:rFonts w:ascii="仿宋" w:eastAsia="仿宋" w:hAnsi="仿宋" w:cs="仿宋" w:hint="eastAsia"/>
            <w:lang w:eastAsia="zh-CN"/>
          </w:rPr>
          <w:t>(三)、国际化战略与全球市场</w:t>
        </w:r>
        <w:r>
          <w:tab/>
        </w:r>
        <w:r>
          <w:fldChar w:fldCharType="begin"/>
        </w:r>
        <w:r>
          <w:instrText xml:space="preserve"> PAGEREF _Toc20424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6" w:history="1">
        <w:r>
          <w:rPr>
            <w:rFonts w:ascii="仿宋" w:eastAsia="仿宋" w:hAnsi="仿宋" w:cs="仿宋" w:hint="eastAsia"/>
            <w:lang w:eastAsia="zh-CN"/>
          </w:rPr>
          <w:t>(四)、可持续发展战略</w:t>
        </w:r>
        <w:r>
          <w:tab/>
        </w:r>
        <w:r>
          <w:fldChar w:fldCharType="begin"/>
        </w:r>
        <w:r>
          <w:instrText xml:space="preserve"> PAGEREF _Toc12206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14" w:history="1">
        <w:r>
          <w:rPr>
            <w:rFonts w:ascii="仿宋" w:eastAsia="仿宋" w:hAnsi="仿宋" w:cs="仿宋" w:hint="eastAsia"/>
            <w:lang w:eastAsia="zh-CN"/>
          </w:rPr>
          <w:t>十八、经营计划</w:t>
        </w:r>
        <w:r>
          <w:tab/>
        </w:r>
        <w:r>
          <w:fldChar w:fldCharType="begin"/>
        </w:r>
        <w:r>
          <w:instrText xml:space="preserve"> PAGEREF _Toc31814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4" w:history="1">
        <w:r>
          <w:rPr>
            <w:rFonts w:ascii="仿宋" w:eastAsia="仿宋" w:hAnsi="仿宋" w:cs="仿宋" w:hint="eastAsia"/>
            <w:lang w:eastAsia="zh-CN"/>
          </w:rPr>
          <w:t>(一)、生产与运营</w:t>
        </w:r>
        <w:r>
          <w:tab/>
        </w:r>
        <w:r>
          <w:fldChar w:fldCharType="begin"/>
        </w:r>
        <w:r>
          <w:instrText xml:space="preserve"> PAGEREF _Toc5714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2" w:history="1">
        <w:r>
          <w:rPr>
            <w:rFonts w:ascii="仿宋" w:eastAsia="仿宋" w:hAnsi="仿宋" w:cs="仿宋" w:hint="eastAsia"/>
            <w:lang w:eastAsia="zh-CN"/>
          </w:rPr>
          <w:t>(二)、供应链管理</w:t>
        </w:r>
        <w:r>
          <w:tab/>
        </w:r>
        <w:r>
          <w:fldChar w:fldCharType="begin"/>
        </w:r>
        <w:r>
          <w:instrText xml:space="preserve"> PAGEREF _Toc15012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704" w:history="1">
        <w:r>
          <w:rPr>
            <w:rFonts w:ascii="仿宋" w:eastAsia="仿宋" w:hAnsi="仿宋" w:cs="仿宋" w:hint="eastAsia"/>
            <w:lang w:eastAsia="zh-CN"/>
          </w:rPr>
          <w:t>(三)、人力资源</w:t>
        </w:r>
        <w:r>
          <w:tab/>
        </w:r>
        <w:r>
          <w:fldChar w:fldCharType="begin"/>
        </w:r>
        <w:r>
          <w:instrText xml:space="preserve"> PAGEREF _Toc24704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1" w:history="1">
        <w:r>
          <w:rPr>
            <w:rFonts w:ascii="仿宋" w:eastAsia="仿宋" w:hAnsi="仿宋" w:cs="仿宋" w:hint="eastAsia"/>
            <w:lang w:eastAsia="zh-CN"/>
          </w:rPr>
          <w:t>(四)、法律与合规事项</w:t>
        </w:r>
        <w:r>
          <w:tab/>
        </w:r>
        <w:r>
          <w:fldChar w:fldCharType="begin"/>
        </w:r>
        <w:r>
          <w:instrText xml:space="preserve"> PAGEREF _Toc14311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19" w:history="1">
        <w:r>
          <w:rPr>
            <w:rFonts w:ascii="仿宋" w:eastAsia="仿宋" w:hAnsi="仿宋" w:cs="仿宋" w:hint="eastAsia"/>
            <w:lang w:eastAsia="zh-CN"/>
          </w:rPr>
          <w:t>十九、高性能计算项目安全培训与教育的必要性</w:t>
        </w:r>
        <w:r>
          <w:tab/>
        </w:r>
        <w:r>
          <w:fldChar w:fldCharType="begin"/>
        </w:r>
        <w:r>
          <w:instrText xml:space="preserve"> PAGEREF _Toc4719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6" w:history="1">
        <w:r>
          <w:rPr>
            <w:rFonts w:ascii="仿宋" w:eastAsia="仿宋" w:hAnsi="仿宋" w:cs="仿宋" w:hint="eastAsia"/>
            <w:lang w:eastAsia="zh-CN"/>
          </w:rPr>
          <w:t>(一)、高性能计算项目安全培训与教育的基本原则</w:t>
        </w:r>
        <w:r>
          <w:tab/>
        </w:r>
        <w:r>
          <w:fldChar w:fldCharType="begin"/>
        </w:r>
        <w:r>
          <w:instrText xml:space="preserve"> PAGEREF _Toc28046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5" w:history="1">
        <w:r>
          <w:rPr>
            <w:rFonts w:ascii="仿宋" w:eastAsia="仿宋" w:hAnsi="仿宋" w:cs="仿宋" w:hint="eastAsia"/>
            <w:lang w:eastAsia="zh-CN"/>
          </w:rPr>
          <w:t>(二)、培训需求分析与计划制定</w:t>
        </w:r>
        <w:r>
          <w:tab/>
        </w:r>
        <w:r>
          <w:fldChar w:fldCharType="begin"/>
        </w:r>
        <w:r>
          <w:instrText xml:space="preserve"> PAGEREF _Toc13635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8" w:history="1">
        <w:r>
          <w:rPr>
            <w:rFonts w:ascii="仿宋" w:eastAsia="仿宋" w:hAnsi="仿宋" w:cs="仿宋" w:hint="eastAsia"/>
            <w:lang w:eastAsia="zh-CN"/>
          </w:rPr>
          <w:t>(三)、培训内容与形式</w:t>
        </w:r>
        <w:r>
          <w:tab/>
        </w:r>
        <w:r>
          <w:fldChar w:fldCharType="begin"/>
        </w:r>
        <w:r>
          <w:instrText xml:space="preserve"> PAGEREF _Toc18268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8" w:history="1">
        <w:r>
          <w:rPr>
            <w:rFonts w:ascii="仿宋" w:eastAsia="仿宋" w:hAnsi="仿宋" w:cs="仿宋" w:hint="eastAsia"/>
            <w:lang w:eastAsia="zh-CN"/>
          </w:rPr>
          <w:t>(四)、培训师资与资源</w:t>
        </w:r>
        <w:r>
          <w:tab/>
        </w:r>
        <w:r>
          <w:fldChar w:fldCharType="begin"/>
        </w:r>
        <w:r>
          <w:instrText xml:space="preserve"> PAGEREF _Toc14358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" w:history="1">
        <w:r>
          <w:rPr>
            <w:rFonts w:ascii="仿宋" w:eastAsia="仿宋" w:hAnsi="仿宋" w:cs="仿宋" w:hint="eastAsia"/>
            <w:lang w:eastAsia="zh-CN"/>
          </w:rPr>
          <w:t>(五)、培训效果评估与改进机制</w:t>
        </w:r>
        <w:r>
          <w:tab/>
        </w:r>
        <w:r>
          <w:fldChar w:fldCharType="begin"/>
        </w:r>
        <w:r>
          <w:instrText xml:space="preserve"> PAGEREF _Toc2249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91" w:history="1">
        <w:r>
          <w:rPr>
            <w:rFonts w:ascii="仿宋" w:eastAsia="仿宋" w:hAnsi="仿宋" w:cs="仿宋" w:hint="eastAsia"/>
            <w:lang w:eastAsia="zh-CN"/>
          </w:rPr>
          <w:t>二十、可持续发展战略</w:t>
        </w:r>
        <w:r>
          <w:tab/>
        </w:r>
        <w:r>
          <w:fldChar w:fldCharType="begin"/>
        </w:r>
        <w:r>
          <w:instrText xml:space="preserve"> PAGEREF _Toc9791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7" w:history="1">
        <w:r>
          <w:rPr>
            <w:rFonts w:ascii="仿宋" w:eastAsia="仿宋" w:hAnsi="仿宋" w:cs="仿宋" w:hint="eastAsia"/>
            <w:lang w:eastAsia="zh-CN"/>
          </w:rPr>
          <w:t>(一)、可持续发展目标</w:t>
        </w:r>
        <w:r>
          <w:tab/>
        </w:r>
        <w:r>
          <w:fldChar w:fldCharType="begin"/>
        </w:r>
        <w:r>
          <w:instrText xml:space="preserve"> PAGEREF _Toc30367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8" w:history="1">
        <w:r>
          <w:rPr>
            <w:rFonts w:ascii="仿宋" w:eastAsia="仿宋" w:hAnsi="仿宋" w:cs="仿宋" w:hint="eastAsia"/>
            <w:lang w:eastAsia="zh-CN"/>
          </w:rPr>
          <w:t>(二)、环境友好措施</w:t>
        </w:r>
        <w:r>
          <w:tab/>
        </w:r>
        <w:r>
          <w:fldChar w:fldCharType="begin"/>
        </w:r>
        <w:r>
          <w:instrText xml:space="preserve"> PAGEREF _Toc17638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8" w:history="1">
        <w:r>
          <w:rPr>
            <w:rFonts w:ascii="仿宋" w:eastAsia="仿宋" w:hAnsi="仿宋" w:cs="仿宋" w:hint="eastAsia"/>
            <w:lang w:eastAsia="zh-CN"/>
          </w:rPr>
          <w:t>(三)、社会影响与贡献</w:t>
        </w:r>
        <w:r>
          <w:tab/>
        </w:r>
        <w:r>
          <w:fldChar w:fldCharType="begin"/>
        </w:r>
        <w:r>
          <w:instrText xml:space="preserve"> PAGEREF _Toc11978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1" w:history="1">
        <w:r>
          <w:rPr>
            <w:rFonts w:ascii="仿宋" w:eastAsia="仿宋" w:hAnsi="仿宋" w:cs="仿宋" w:hint="eastAsia"/>
            <w:lang w:eastAsia="zh-CN"/>
          </w:rPr>
          <w:t>(四)、环境保护和社会责任</w:t>
        </w:r>
        <w:r>
          <w:tab/>
        </w:r>
        <w:r>
          <w:fldChar w:fldCharType="begin"/>
        </w:r>
        <w:r>
          <w:instrText xml:space="preserve"> PAGEREF _Toc31271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88" w:history="1">
        <w:r>
          <w:rPr>
            <w:rFonts w:ascii="仿宋" w:eastAsia="仿宋" w:hAnsi="仿宋" w:cs="仿宋" w:hint="eastAsia"/>
            <w:lang w:eastAsia="zh-CN"/>
          </w:rPr>
          <w:t>二十一、知识管理与信息共享</w:t>
        </w:r>
        <w:r>
          <w:tab/>
        </w:r>
        <w:r>
          <w:fldChar w:fldCharType="begin"/>
        </w:r>
        <w:r>
          <w:instrText xml:space="preserve"> PAGEREF _Toc10088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6" w:history="1">
        <w:r>
          <w:rPr>
            <w:rFonts w:ascii="仿宋" w:eastAsia="仿宋" w:hAnsi="仿宋" w:cs="仿宋" w:hint="eastAsia"/>
            <w:lang w:eastAsia="zh-CN"/>
          </w:rPr>
          <w:t>(一)、知识管理体系构建</w:t>
        </w:r>
        <w:r>
          <w:tab/>
        </w:r>
        <w:r>
          <w:fldChar w:fldCharType="begin"/>
        </w:r>
        <w:r>
          <w:instrText xml:space="preserve"> PAGEREF _Toc12876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6" w:history="1">
        <w:r>
          <w:rPr>
            <w:rFonts w:ascii="仿宋" w:eastAsia="仿宋" w:hAnsi="仿宋" w:cs="仿宋" w:hint="eastAsia"/>
            <w:lang w:eastAsia="zh-CN"/>
          </w:rPr>
          <w:t>(二)、信息共享平台建设</w:t>
        </w:r>
        <w:r>
          <w:tab/>
        </w:r>
        <w:r>
          <w:fldChar w:fldCharType="begin"/>
        </w:r>
        <w:r>
          <w:instrText xml:space="preserve"> PAGEREF _Toc22426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4" w:history="1">
        <w:r>
          <w:rPr>
            <w:rFonts w:ascii="仿宋" w:eastAsia="仿宋" w:hAnsi="仿宋" w:cs="仿宋" w:hint="eastAsia"/>
            <w:lang w:eastAsia="zh-CN"/>
          </w:rPr>
          <w:t>(三)、团队协作与沟通机制</w:t>
        </w:r>
        <w:r>
          <w:tab/>
        </w:r>
        <w:r>
          <w:fldChar w:fldCharType="begin"/>
        </w:r>
        <w:r>
          <w:instrText xml:space="preserve"> PAGEREF _Toc23534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90" w:history="1">
        <w:r>
          <w:rPr>
            <w:rFonts w:ascii="仿宋" w:eastAsia="仿宋" w:hAnsi="仿宋" w:cs="仿宋" w:hint="eastAsia"/>
            <w:lang w:eastAsia="zh-CN"/>
          </w:rPr>
          <w:t>二十二经济影响分析</w:t>
        </w:r>
        <w:r>
          <w:tab/>
        </w:r>
        <w:r>
          <w:fldChar w:fldCharType="begin"/>
        </w:r>
        <w:r>
          <w:instrText xml:space="preserve"> PAGEREF _Toc24490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_Toc6648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4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_Toc29564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_Toc733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_Toc8545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81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234"/>
      <w:r>
        <w:rPr>
          <w:rFonts w:ascii="仿宋" w:eastAsia="仿宋" w:hAnsi="仿宋" w:cs="仿宋" w:hint="eastAsia"/>
          <w:sz w:val="28"/>
          <w:lang w:eastAsia="zh-CN"/>
        </w:rPr>
        <w:t>一、后期运营与管理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427"/>
      <w:r>
        <w:rPr>
          <w:rFonts w:ascii="仿宋" w:eastAsia="仿宋" w:hAnsi="仿宋" w:cs="仿宋" w:hint="eastAsia"/>
          <w:lang w:eastAsia="zh-CN"/>
        </w:rPr>
        <w:t>(一)、高性能计算项目运营管理机制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在高性能计算项目运营阶段，我们将建立完善的运营管理机制，以确保高性能计算项目稳健运行和高效管理。关键要点包括：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运营团队组建：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成立专业化的运营团队，囊括各领域专业人才，确保对高性能计算项目各方面进行全面管理。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设立明确的职责和权限，建立协同工作的团队氛围。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运营计划与执行：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制定详细的运营计划，包括生产计划、人力资源计划、设备维护计划等，确保运营活动有序展开。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实施有效的执行机制，监督运营计划的执行，并根据实际情况及时调整。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https://d.book118.com/955024232213011120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2726D"/>
    <w:rsid w:val="3A12726D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5024232213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2024-03-02T23:22:00Z</dcterms:created>
  <dcterms:modified xsi:type="dcterms:W3CDTF">2024-03-02T23:23:04Z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37A61F13B3014F78AE51FB1DC3385D62_11</vt:lpwstr>
  </property>
  <property fmtid="{D5CDD505-2E9C-101B-9397-08002B2CF9AE}" pid="3" name="KSOProductBuildVer">
    <vt:lpwstr>2052-12.1.0.16399</vt:lpwstr>
  </property>
</Properties>
</file>