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Υ射线立体定向放射项目营销方案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557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_Toc25557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8" w:history="1">
        <w:r>
          <w:rPr>
            <w:rFonts w:ascii="仿宋" w:eastAsia="仿宋" w:hAnsi="仿宋" w:cs="仿宋" w:hint="eastAsia"/>
            <w:lang w:eastAsia="zh-CN"/>
          </w:rPr>
          <w:t>一、Υ射线立体定向放射项目投资主体概况</w:t>
        </w:r>
        <w:r>
          <w:tab/>
        </w:r>
        <w:r>
          <w:fldChar w:fldCharType="begin"/>
        </w:r>
        <w:r>
          <w:instrText xml:space="preserve"> PAGEREF _Toc7568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91" w:history="1">
        <w:r>
          <w:rPr>
            <w:rFonts w:ascii="仿宋" w:eastAsia="仿宋" w:hAnsi="仿宋" w:cs="仿宋" w:hint="eastAsia"/>
            <w:lang w:eastAsia="zh-CN"/>
          </w:rPr>
          <w:t>(一)、公司概要</w:t>
        </w:r>
        <w:r>
          <w:tab/>
        </w:r>
        <w:r>
          <w:fldChar w:fldCharType="begin"/>
        </w:r>
        <w:r>
          <w:instrText xml:space="preserve"> PAGEREF _Toc5591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68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_Toc15368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88" w:history="1">
        <w:r>
          <w:rPr>
            <w:rFonts w:ascii="仿宋" w:eastAsia="仿宋" w:hAnsi="仿宋" w:cs="仿宋" w:hint="eastAsia"/>
            <w:lang w:eastAsia="zh-CN"/>
          </w:rPr>
          <w:t>(三)、财务概况</w:t>
        </w:r>
        <w:r>
          <w:tab/>
        </w:r>
        <w:r>
          <w:fldChar w:fldCharType="begin"/>
        </w:r>
        <w:r>
          <w:instrText xml:space="preserve"> PAGEREF _Toc24088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2" w:history="1">
        <w:r>
          <w:rPr>
            <w:rFonts w:ascii="仿宋" w:eastAsia="仿宋" w:hAnsi="仿宋" w:cs="仿宋" w:hint="eastAsia"/>
            <w:lang w:eastAsia="zh-CN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_Toc13552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55" w:history="1">
        <w:r>
          <w:rPr>
            <w:rFonts w:ascii="仿宋" w:eastAsia="仿宋" w:hAnsi="仿宋" w:cs="仿宋" w:hint="eastAsia"/>
            <w:lang w:eastAsia="zh-CN"/>
          </w:rPr>
          <w:t>二、职业安全与劳动卫生</w:t>
        </w:r>
        <w:r>
          <w:tab/>
        </w:r>
        <w:r>
          <w:fldChar w:fldCharType="begin"/>
        </w:r>
        <w:r>
          <w:instrText xml:space="preserve"> PAGEREF _Toc18555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5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_Toc6165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18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_Toc21318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6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_Toc2466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5" w:history="1">
        <w:r>
          <w:rPr>
            <w:rFonts w:ascii="仿宋" w:eastAsia="仿宋" w:hAnsi="仿宋" w:cs="仿宋" w:hint="eastAsia"/>
            <w:lang w:eastAsia="zh-CN"/>
          </w:rPr>
          <w:t>(四)、安全标志使用要求</w:t>
        </w:r>
        <w:r>
          <w:tab/>
        </w:r>
        <w:r>
          <w:fldChar w:fldCharType="begin"/>
        </w:r>
        <w:r>
          <w:instrText xml:space="preserve"> PAGEREF _Toc15605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4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_Toc13624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3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_Toc5483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6" w:history="1">
        <w:r>
          <w:rPr>
            <w:rFonts w:ascii="仿宋" w:eastAsia="仿宋" w:hAnsi="仿宋" w:cs="仿宋" w:hint="eastAsia"/>
            <w:lang w:eastAsia="zh-CN"/>
          </w:rPr>
          <w:t>(七)、防静电、触电、防护及防雷措施</w:t>
        </w:r>
        <w:r>
          <w:tab/>
        </w:r>
        <w:r>
          <w:fldChar w:fldCharType="begin"/>
        </w:r>
        <w:r>
          <w:instrText xml:space="preserve"> PAGEREF _Toc23246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0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_Toc21980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26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_Toc19326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03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_Toc7403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80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_Toc7580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33" w:history="1">
        <w:r>
          <w:rPr>
            <w:rFonts w:ascii="仿宋" w:eastAsia="仿宋" w:hAnsi="仿宋" w:cs="仿宋" w:hint="eastAsia"/>
            <w:lang w:eastAsia="zh-CN"/>
          </w:rPr>
          <w:t>三、投资方案</w:t>
        </w:r>
        <w:r>
          <w:tab/>
        </w:r>
        <w:r>
          <w:fldChar w:fldCharType="begin"/>
        </w:r>
        <w:r>
          <w:instrText xml:space="preserve"> PAGEREF _Toc22733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1" w:history="1">
        <w:r>
          <w:rPr>
            <w:rFonts w:ascii="仿宋" w:eastAsia="仿宋" w:hAnsi="仿宋" w:cs="仿宋" w:hint="eastAsia"/>
            <w:lang w:eastAsia="zh-CN"/>
          </w:rPr>
          <w:t>(一)、产品愿景</w:t>
        </w:r>
        <w:r>
          <w:tab/>
        </w:r>
        <w:r>
          <w:fldChar w:fldCharType="begin"/>
        </w:r>
        <w:r>
          <w:instrText xml:space="preserve"> PAGEREF _Toc23261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95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_Toc14195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65" w:history="1">
        <w:r>
          <w:rPr>
            <w:rFonts w:ascii="仿宋" w:eastAsia="仿宋" w:hAnsi="仿宋" w:cs="仿宋" w:hint="eastAsia"/>
            <w:lang w:eastAsia="zh-CN"/>
          </w:rPr>
          <w:t>四、宏观环境分析</w:t>
        </w:r>
        <w:r>
          <w:tab/>
        </w:r>
        <w:r>
          <w:fldChar w:fldCharType="begin"/>
        </w:r>
        <w:r>
          <w:instrText xml:space="preserve"> PAGEREF _Toc16465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71" w:history="1">
        <w:r>
          <w:rPr>
            <w:rFonts w:ascii="仿宋" w:eastAsia="仿宋" w:hAnsi="仿宋" w:cs="仿宋" w:hint="eastAsia"/>
            <w:lang w:eastAsia="zh-CN"/>
          </w:rPr>
          <w:t>(一)、产业背景分析</w:t>
        </w:r>
        <w:r>
          <w:tab/>
        </w:r>
        <w:r>
          <w:fldChar w:fldCharType="begin"/>
        </w:r>
        <w:r>
          <w:instrText xml:space="preserve"> PAGEREF _Toc13571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3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_Toc10103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0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_Toc9007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8" w:history="1">
        <w:r>
          <w:rPr>
            <w:rFonts w:ascii="仿宋" w:eastAsia="仿宋" w:hAnsi="仿宋" w:cs="仿宋" w:hint="eastAsia"/>
            <w:lang w:eastAsia="zh-CN"/>
          </w:rPr>
          <w:t>(四)、Υ射线立体定向放射项目必要性分析</w:t>
        </w:r>
        <w:r>
          <w:tab/>
        </w:r>
        <w:r>
          <w:fldChar w:fldCharType="begin"/>
        </w:r>
        <w:r>
          <w:instrText xml:space="preserve"> PAGEREF _Toc10428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84" w:history="1">
        <w:r>
          <w:rPr>
            <w:rFonts w:ascii="仿宋" w:eastAsia="仿宋" w:hAnsi="仿宋" w:cs="仿宋" w:hint="eastAsia"/>
            <w:lang w:eastAsia="zh-CN"/>
          </w:rPr>
          <w:t>五、Υ射线立体定向放射项目工程方案分析</w:t>
        </w:r>
        <w:r>
          <w:tab/>
        </w:r>
        <w:r>
          <w:fldChar w:fldCharType="begin"/>
        </w:r>
        <w:r>
          <w:instrText xml:space="preserve"> PAGEREF _Toc6184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9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_Toc19229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8" w:history="1">
        <w:r>
          <w:rPr>
            <w:rFonts w:ascii="仿宋" w:eastAsia="仿宋" w:hAnsi="仿宋" w:cs="仿宋" w:hint="eastAsia"/>
            <w:lang w:eastAsia="zh-CN"/>
          </w:rPr>
          <w:t>(二)、土建工程建设指标</w:t>
        </w:r>
        <w:r>
          <w:tab/>
        </w:r>
        <w:r>
          <w:fldChar w:fldCharType="begin"/>
        </w:r>
        <w:r>
          <w:instrText xml:space="preserve"> PAGEREF _Toc27198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136" w:history="1">
        <w:r>
          <w:rPr>
            <w:rFonts w:ascii="仿宋" w:eastAsia="仿宋" w:hAnsi="仿宋" w:cs="仿宋" w:hint="eastAsia"/>
            <w:lang w:eastAsia="zh-CN"/>
          </w:rPr>
          <w:t>六、背景及必要性</w:t>
        </w:r>
        <w:r>
          <w:tab/>
        </w:r>
        <w:r>
          <w:fldChar w:fldCharType="begin"/>
        </w:r>
        <w:r>
          <w:instrText xml:space="preserve"> PAGEREF _Toc29136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1" w:history="1">
        <w:r>
          <w:rPr>
            <w:rFonts w:ascii="仿宋" w:eastAsia="仿宋" w:hAnsi="仿宋" w:cs="仿宋" w:hint="eastAsia"/>
            <w:lang w:eastAsia="zh-CN"/>
          </w:rPr>
          <w:t>(一)、Υ射线立体定向放射项目背景分析</w:t>
        </w:r>
        <w:r>
          <w:tab/>
        </w:r>
        <w:r>
          <w:fldChar w:fldCharType="begin"/>
        </w:r>
        <w:r>
          <w:instrText xml:space="preserve"> PAGEREF _Toc17771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" w:history="1">
        <w:r>
          <w:rPr>
            <w:rFonts w:ascii="仿宋" w:eastAsia="仿宋" w:hAnsi="仿宋" w:cs="仿宋" w:hint="eastAsia"/>
            <w:lang w:eastAsia="zh-CN"/>
          </w:rPr>
          <w:t>(二)、实施Υ射线立体定向放射项目的必要性</w:t>
        </w:r>
        <w:r>
          <w:tab/>
        </w:r>
        <w:r>
          <w:fldChar w:fldCharType="begin"/>
        </w:r>
        <w:r>
          <w:instrText xml:space="preserve"> PAGEREF _Toc18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07" w:history="1">
        <w:r>
          <w:rPr>
            <w:rFonts w:ascii="仿宋" w:eastAsia="仿宋" w:hAnsi="仿宋" w:cs="仿宋" w:hint="eastAsia"/>
            <w:lang w:eastAsia="zh-CN"/>
          </w:rPr>
          <w:t>七、技术方案</w:t>
        </w:r>
        <w:r>
          <w:tab/>
        </w:r>
        <w:r>
          <w:fldChar w:fldCharType="begin"/>
        </w:r>
        <w:r>
          <w:instrText xml:space="preserve"> PAGEREF _Toc4707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0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_Toc11410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99" w:history="1">
        <w:r>
          <w:rPr>
            <w:rFonts w:ascii="仿宋" w:eastAsia="仿宋" w:hAnsi="仿宋" w:cs="仿宋" w:hint="eastAsia"/>
            <w:lang w:eastAsia="zh-CN"/>
          </w:rPr>
          <w:t>(二)、Υ射线立体定向放射项目技术工艺分析</w:t>
        </w:r>
        <w:r>
          <w:tab/>
        </w:r>
        <w:r>
          <w:fldChar w:fldCharType="begin"/>
        </w:r>
        <w:r>
          <w:instrText xml:space="preserve"> PAGEREF _Toc25299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" w:history="1">
        <w:r>
          <w:rPr>
            <w:rFonts w:ascii="仿宋" w:eastAsia="仿宋" w:hAnsi="仿宋" w:cs="仿宋" w:hint="eastAsia"/>
            <w:lang w:eastAsia="zh-CN"/>
          </w:rPr>
          <w:t>(三)、Υ射线立体定向放射项目技术流程</w:t>
        </w:r>
        <w:r>
          <w:tab/>
        </w:r>
        <w:r>
          <w:fldChar w:fldCharType="begin"/>
        </w:r>
        <w:r>
          <w:instrText xml:space="preserve"> PAGEREF _Toc2322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9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_Toc29949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294" w:history="1">
        <w:r>
          <w:rPr>
            <w:rFonts w:ascii="仿宋" w:eastAsia="仿宋" w:hAnsi="仿宋" w:cs="仿宋" w:hint="eastAsia"/>
            <w:lang w:eastAsia="zh-CN"/>
          </w:rPr>
          <w:t>八、风险风险及应对措施</w:t>
        </w:r>
        <w:r>
          <w:tab/>
        </w:r>
        <w:r>
          <w:fldChar w:fldCharType="begin"/>
        </w:r>
        <w:r>
          <w:instrText xml:space="preserve"> PAGEREF _Toc10294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9" w:history="1">
        <w:r>
          <w:rPr>
            <w:rFonts w:ascii="仿宋" w:eastAsia="仿宋" w:hAnsi="仿宋" w:cs="仿宋" w:hint="eastAsia"/>
            <w:lang w:eastAsia="zh-CN"/>
          </w:rPr>
          <w:t>(一)、Υ射线立体定向放射项目风险分析</w:t>
        </w:r>
        <w:r>
          <w:tab/>
        </w:r>
        <w:r>
          <w:fldChar w:fldCharType="begin"/>
        </w:r>
        <w:r>
          <w:instrText xml:space="preserve"> PAGEREF _Toc12499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7" w:history="1">
        <w:r>
          <w:rPr>
            <w:rFonts w:ascii="仿宋" w:eastAsia="仿宋" w:hAnsi="仿宋" w:cs="仿宋" w:hint="eastAsia"/>
            <w:lang w:eastAsia="zh-CN"/>
          </w:rPr>
          <w:t>(二)、Υ射线立体定向放射项目风险对策</w:t>
        </w:r>
        <w:r>
          <w:tab/>
        </w:r>
        <w:r>
          <w:fldChar w:fldCharType="begin"/>
        </w:r>
        <w:r>
          <w:instrText xml:space="preserve"> PAGEREF _Toc23187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05" w:history="1">
        <w:r>
          <w:rPr>
            <w:rFonts w:ascii="仿宋" w:eastAsia="仿宋" w:hAnsi="仿宋" w:cs="仿宋" w:hint="eastAsia"/>
            <w:lang w:eastAsia="zh-CN"/>
          </w:rPr>
          <w:t>九、Υ射线立体定向放射整合营销</w:t>
        </w:r>
        <w:r>
          <w:tab/>
        </w:r>
        <w:r>
          <w:fldChar w:fldCharType="begin"/>
        </w:r>
        <w:r>
          <w:instrText xml:space="preserve"> PAGEREF _Toc21305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412" w:history="1">
        <w:r>
          <w:rPr>
            <w:rFonts w:ascii="仿宋" w:eastAsia="仿宋" w:hAnsi="仿宋" w:cs="仿宋" w:hint="eastAsia"/>
            <w:lang w:eastAsia="zh-CN"/>
          </w:rPr>
          <w:t>(一)、跨渠道整合</w:t>
        </w:r>
        <w:r>
          <w:tab/>
        </w:r>
        <w:r>
          <w:fldChar w:fldCharType="begin"/>
        </w:r>
        <w:r>
          <w:instrText xml:space="preserve"> PAGEREF _Toc1412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6" w:history="1">
        <w:r>
          <w:rPr>
            <w:rFonts w:ascii="仿宋" w:eastAsia="仿宋" w:hAnsi="仿宋" w:cs="仿宋" w:hint="eastAsia"/>
            <w:lang w:eastAsia="zh-CN"/>
          </w:rPr>
          <w:t>(二)、品牌一体化</w:t>
        </w:r>
        <w:r>
          <w:tab/>
        </w:r>
        <w:r>
          <w:fldChar w:fldCharType="begin"/>
        </w:r>
        <w:r>
          <w:instrText xml:space="preserve"> PAGEREF _Toc24606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55" w:history="1">
        <w:r>
          <w:rPr>
            <w:rFonts w:ascii="仿宋" w:eastAsia="仿宋" w:hAnsi="仿宋" w:cs="仿宋" w:hint="eastAsia"/>
            <w:lang w:eastAsia="zh-CN"/>
          </w:rPr>
          <w:t>(三)、数据整合</w:t>
        </w:r>
        <w:r>
          <w:tab/>
        </w:r>
        <w:r>
          <w:fldChar w:fldCharType="begin"/>
        </w:r>
        <w:r>
          <w:instrText xml:space="preserve"> PAGEREF _Toc26955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6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_Toc31366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29" w:history="1">
        <w:r>
          <w:rPr>
            <w:rFonts w:ascii="仿宋" w:eastAsia="仿宋" w:hAnsi="仿宋" w:cs="仿宋" w:hint="eastAsia"/>
            <w:lang w:eastAsia="zh-CN"/>
          </w:rPr>
          <w:t>十、Υ射线立体定向放射促销策略</w:t>
        </w:r>
        <w:r>
          <w:tab/>
        </w:r>
        <w:r>
          <w:fldChar w:fldCharType="begin"/>
        </w:r>
        <w:r>
          <w:instrText xml:space="preserve"> PAGEREF _Toc6529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64" w:history="1">
        <w:r>
          <w:rPr>
            <w:rFonts w:ascii="仿宋" w:eastAsia="仿宋" w:hAnsi="仿宋" w:cs="仿宋" w:hint="eastAsia"/>
            <w:lang w:eastAsia="zh-CN"/>
          </w:rPr>
          <w:t>(一)、广告与宣传</w:t>
        </w:r>
        <w:r>
          <w:tab/>
        </w:r>
        <w:r>
          <w:fldChar w:fldCharType="begin"/>
        </w:r>
        <w:r>
          <w:instrText xml:space="preserve"> PAGEREF _Toc31164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82" w:history="1">
        <w:r>
          <w:rPr>
            <w:rFonts w:ascii="仿宋" w:eastAsia="仿宋" w:hAnsi="仿宋" w:cs="仿宋" w:hint="eastAsia"/>
            <w:lang w:eastAsia="zh-CN"/>
          </w:rPr>
          <w:t>(二)、促销活动</w:t>
        </w:r>
        <w:r>
          <w:tab/>
        </w:r>
        <w:r>
          <w:fldChar w:fldCharType="begin"/>
        </w:r>
        <w:r>
          <w:instrText xml:space="preserve"> PAGEREF _Toc16882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1" w:history="1">
        <w:r>
          <w:rPr>
            <w:rFonts w:ascii="仿宋" w:eastAsia="仿宋" w:hAnsi="仿宋" w:cs="仿宋" w:hint="eastAsia"/>
            <w:lang w:eastAsia="zh-CN"/>
          </w:rPr>
          <w:t>(三)、品牌推广</w:t>
        </w:r>
        <w:r>
          <w:tab/>
        </w:r>
        <w:r>
          <w:fldChar w:fldCharType="begin"/>
        </w:r>
        <w:r>
          <w:instrText xml:space="preserve"> PAGEREF _Toc3401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20" w:history="1">
        <w:r>
          <w:rPr>
            <w:rFonts w:ascii="仿宋" w:eastAsia="仿宋" w:hAnsi="仿宋" w:cs="仿宋" w:hint="eastAsia"/>
            <w:lang w:eastAsia="zh-CN"/>
          </w:rPr>
          <w:t>(四)、数字营销</w:t>
        </w:r>
        <w:r>
          <w:tab/>
        </w:r>
        <w:r>
          <w:fldChar w:fldCharType="begin"/>
        </w:r>
        <w:r>
          <w:instrText xml:space="preserve"> PAGEREF _Toc25420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22" w:history="1">
        <w:r>
          <w:rPr>
            <w:rFonts w:ascii="仿宋" w:eastAsia="仿宋" w:hAnsi="仿宋" w:cs="仿宋" w:hint="eastAsia"/>
            <w:lang w:eastAsia="zh-CN"/>
          </w:rPr>
          <w:t>十一、产品规划</w:t>
        </w:r>
        <w:r>
          <w:tab/>
        </w:r>
        <w:r>
          <w:fldChar w:fldCharType="begin"/>
        </w:r>
        <w:r>
          <w:instrText xml:space="preserve"> PAGEREF _Toc3422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4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_Toc20041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2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_Toc17362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0" w:history="1">
        <w:r>
          <w:rPr>
            <w:rFonts w:ascii="仿宋" w:eastAsia="仿宋" w:hAnsi="仿宋" w:cs="仿宋" w:hint="eastAsia"/>
            <w:lang w:eastAsia="zh-CN"/>
          </w:rPr>
          <w:t>十二、建设进度分析</w:t>
        </w:r>
        <w:r>
          <w:tab/>
        </w:r>
        <w:r>
          <w:fldChar w:fldCharType="begin"/>
        </w:r>
        <w:r>
          <w:instrText xml:space="preserve"> PAGEREF _Toc6470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39" w:history="1">
        <w:r>
          <w:rPr>
            <w:rFonts w:ascii="仿宋" w:eastAsia="仿宋" w:hAnsi="仿宋" w:cs="仿宋" w:hint="eastAsia"/>
            <w:lang w:eastAsia="zh-CN"/>
          </w:rPr>
          <w:t>(一)、Υ射线立体定向放射项目进度安排</w:t>
        </w:r>
        <w:r>
          <w:tab/>
        </w:r>
        <w:r>
          <w:fldChar w:fldCharType="begin"/>
        </w:r>
        <w:r>
          <w:instrText xml:space="preserve"> PAGEREF _Toc6639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83" w:history="1">
        <w:r>
          <w:rPr>
            <w:rFonts w:ascii="仿宋" w:eastAsia="仿宋" w:hAnsi="仿宋" w:cs="仿宋" w:hint="eastAsia"/>
            <w:lang w:eastAsia="zh-CN"/>
          </w:rPr>
          <w:t>(二)、Υ射线立体定向放射项目实施保障措施</w:t>
        </w:r>
        <w:r>
          <w:tab/>
        </w:r>
        <w:r>
          <w:fldChar w:fldCharType="begin"/>
        </w:r>
        <w:r>
          <w:instrText xml:space="preserve"> PAGEREF _Toc27483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5" w:history="1">
        <w:r>
          <w:rPr>
            <w:rFonts w:ascii="仿宋" w:eastAsia="仿宋" w:hAnsi="仿宋" w:cs="仿宋" w:hint="eastAsia"/>
            <w:lang w:eastAsia="zh-CN"/>
          </w:rPr>
          <w:t>十三、工艺技术分析</w:t>
        </w:r>
        <w:r>
          <w:tab/>
        </w:r>
        <w:r>
          <w:fldChar w:fldCharType="begin"/>
        </w:r>
        <w:r>
          <w:instrText xml:space="preserve"> PAGEREF _Toc14735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9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_Toc4469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7" w:history="1">
        <w:r>
          <w:rPr>
            <w:rFonts w:ascii="仿宋" w:eastAsia="仿宋" w:hAnsi="仿宋" w:cs="仿宋" w:hint="eastAsia"/>
            <w:lang w:eastAsia="zh-CN"/>
          </w:rPr>
          <w:t>(二)、Υ射线立体定向放射项目技术工艺分析</w:t>
        </w:r>
        <w:r>
          <w:tab/>
        </w:r>
        <w:r>
          <w:fldChar w:fldCharType="begin"/>
        </w:r>
        <w:r>
          <w:instrText xml:space="preserve"> PAGEREF _Toc25707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4" w:history="1">
        <w:r>
          <w:rPr>
            <w:rFonts w:ascii="仿宋" w:eastAsia="仿宋" w:hAnsi="仿宋" w:cs="仿宋" w:hint="eastAsia"/>
            <w:lang w:eastAsia="zh-CN"/>
          </w:rPr>
          <w:t>(三)、Υ射线立体定向放射项目技术流程</w:t>
        </w:r>
        <w:r>
          <w:tab/>
        </w:r>
        <w:r>
          <w:fldChar w:fldCharType="begin"/>
        </w:r>
        <w:r>
          <w:instrText xml:space="preserve"> PAGEREF _Toc6784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7" w:history="1">
        <w:r>
          <w:rPr>
            <w:rFonts w:ascii="仿宋" w:eastAsia="仿宋" w:hAnsi="仿宋" w:cs="仿宋" w:hint="eastAsia"/>
            <w:lang w:eastAsia="zh-CN"/>
          </w:rPr>
          <w:t>十四、监测和评估</w:t>
        </w:r>
        <w:r>
          <w:tab/>
        </w:r>
        <w:r>
          <w:fldChar w:fldCharType="begin"/>
        </w:r>
        <w:r>
          <w:instrText xml:space="preserve"> PAGEREF _Toc2347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2" w:history="1">
        <w:r>
          <w:rPr>
            <w:rFonts w:ascii="仿宋" w:eastAsia="仿宋" w:hAnsi="仿宋" w:cs="仿宋" w:hint="eastAsia"/>
            <w:lang w:eastAsia="zh-CN"/>
          </w:rPr>
          <w:t>(一)、Υ射线立体定向放射项目监测</w:t>
        </w:r>
        <w:r>
          <w:tab/>
        </w:r>
        <w:r>
          <w:fldChar w:fldCharType="begin"/>
        </w:r>
        <w:r>
          <w:instrText xml:space="preserve"> PAGEREF _Toc12532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26" w:history="1">
        <w:r>
          <w:rPr>
            <w:rFonts w:ascii="仿宋" w:eastAsia="仿宋" w:hAnsi="仿宋" w:cs="仿宋" w:hint="eastAsia"/>
            <w:lang w:eastAsia="zh-CN"/>
          </w:rPr>
          <w:t>(二)、Υ射线立体定向放射项目评估</w:t>
        </w:r>
        <w:r>
          <w:tab/>
        </w:r>
        <w:r>
          <w:fldChar w:fldCharType="begin"/>
        </w:r>
        <w:r>
          <w:instrText xml:space="preserve"> PAGEREF _Toc10926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43" w:history="1">
        <w:r>
          <w:rPr>
            <w:rFonts w:ascii="仿宋" w:eastAsia="仿宋" w:hAnsi="仿宋" w:cs="仿宋" w:hint="eastAsia"/>
            <w:lang w:eastAsia="zh-CN"/>
          </w:rPr>
          <w:t>(三)、成果评估</w:t>
        </w:r>
        <w:r>
          <w:tab/>
        </w:r>
        <w:r>
          <w:fldChar w:fldCharType="begin"/>
        </w:r>
        <w:r>
          <w:instrText xml:space="preserve"> PAGEREF _Toc17643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66" w:history="1">
        <w:r>
          <w:rPr>
            <w:rFonts w:ascii="仿宋" w:eastAsia="仿宋" w:hAnsi="仿宋" w:cs="仿宋" w:hint="eastAsia"/>
            <w:lang w:eastAsia="zh-CN"/>
          </w:rPr>
          <w:t>十五、Υ射线立体定向放射行业供应链管理</w:t>
        </w:r>
        <w:r>
          <w:tab/>
        </w:r>
        <w:r>
          <w:fldChar w:fldCharType="begin"/>
        </w:r>
        <w:r>
          <w:instrText xml:space="preserve"> PAGEREF _Toc4066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3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_Toc4643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50" w:history="1">
        <w:r>
          <w:rPr>
            <w:rFonts w:ascii="仿宋" w:eastAsia="仿宋" w:hAnsi="仿宋" w:cs="仿宋" w:hint="eastAsia"/>
            <w:lang w:eastAsia="zh-CN"/>
          </w:rPr>
          <w:t>(二)、供应商选择和评估</w:t>
        </w:r>
        <w:r>
          <w:tab/>
        </w:r>
        <w:r>
          <w:fldChar w:fldCharType="begin"/>
        </w:r>
        <w:r>
          <w:instrText xml:space="preserve"> PAGEREF _Toc4450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7" w:history="1">
        <w:r>
          <w:rPr>
            <w:rFonts w:ascii="仿宋" w:eastAsia="仿宋" w:hAnsi="仿宋" w:cs="仿宋" w:hint="eastAsia"/>
            <w:lang w:eastAsia="zh-CN"/>
          </w:rPr>
          <w:t>(三)、库存管理</w:t>
        </w:r>
        <w:r>
          <w:tab/>
        </w:r>
        <w:r>
          <w:fldChar w:fldCharType="begin"/>
        </w:r>
        <w:r>
          <w:instrText xml:space="preserve"> PAGEREF _Toc13137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07" w:history="1">
        <w:r>
          <w:rPr>
            <w:rFonts w:ascii="仿宋" w:eastAsia="仿宋" w:hAnsi="仿宋" w:cs="仿宋" w:hint="eastAsia"/>
            <w:lang w:eastAsia="zh-CN"/>
          </w:rPr>
          <w:t>(四)、物流和配送</w:t>
        </w:r>
        <w:r>
          <w:tab/>
        </w:r>
        <w:r>
          <w:fldChar w:fldCharType="begin"/>
        </w:r>
        <w:r>
          <w:instrText xml:space="preserve"> PAGEREF _Toc6507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52" w:history="1">
        <w:r>
          <w:rPr>
            <w:rFonts w:ascii="仿宋" w:eastAsia="仿宋" w:hAnsi="仿宋" w:cs="仿宋" w:hint="eastAsia"/>
            <w:lang w:eastAsia="zh-CN"/>
          </w:rPr>
          <w:t>(五)、信息技术支持</w:t>
        </w:r>
        <w:r>
          <w:tab/>
        </w:r>
        <w:r>
          <w:fldChar w:fldCharType="begin"/>
        </w:r>
        <w:r>
          <w:instrText xml:space="preserve"> PAGEREF _Toc17052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0" w:history="1">
        <w:r>
          <w:rPr>
            <w:rFonts w:ascii="仿宋" w:eastAsia="仿宋" w:hAnsi="仿宋" w:cs="仿宋" w:hint="eastAsia"/>
            <w:lang w:eastAsia="zh-CN"/>
          </w:rPr>
          <w:t>(六)、供应链绩效评估</w:t>
        </w:r>
        <w:r>
          <w:tab/>
        </w:r>
        <w:r>
          <w:fldChar w:fldCharType="begin"/>
        </w:r>
        <w:r>
          <w:instrText xml:space="preserve"> PAGEREF _Toc14080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56" w:history="1">
        <w:r>
          <w:rPr>
            <w:rFonts w:ascii="仿宋" w:eastAsia="仿宋" w:hAnsi="仿宋" w:cs="仿宋" w:hint="eastAsia"/>
            <w:lang w:eastAsia="zh-CN"/>
          </w:rPr>
          <w:t>十六、制度建设与员工手册</w:t>
        </w:r>
        <w:r>
          <w:tab/>
        </w:r>
        <w:r>
          <w:fldChar w:fldCharType="begin"/>
        </w:r>
        <w:r>
          <w:instrText xml:space="preserve"> PAGEREF _Toc17056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0" w:history="1">
        <w:r>
          <w:rPr>
            <w:rFonts w:ascii="仿宋" w:eastAsia="仿宋" w:hAnsi="仿宋" w:cs="仿宋" w:hint="eastAsia"/>
            <w:lang w:eastAsia="zh-CN"/>
          </w:rPr>
          <w:t>(一)、公司制度建设</w:t>
        </w:r>
        <w:r>
          <w:tab/>
        </w:r>
        <w:r>
          <w:fldChar w:fldCharType="begin"/>
        </w:r>
        <w:r>
          <w:instrText xml:space="preserve"> PAGEREF _Toc31560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9" w:history="1">
        <w:r>
          <w:rPr>
            <w:rFonts w:ascii="仿宋" w:eastAsia="仿宋" w:hAnsi="仿宋" w:cs="仿宋" w:hint="eastAsia"/>
            <w:lang w:eastAsia="zh-CN"/>
          </w:rPr>
          <w:t>(二)、员工手册编制</w:t>
        </w:r>
        <w:r>
          <w:tab/>
        </w:r>
        <w:r>
          <w:fldChar w:fldCharType="begin"/>
        </w:r>
        <w:r>
          <w:instrText xml:space="preserve"> PAGEREF _Toc15589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0" w:history="1">
        <w:r>
          <w:rPr>
            <w:rFonts w:ascii="仿宋" w:eastAsia="仿宋" w:hAnsi="仿宋" w:cs="仿宋" w:hint="eastAsia"/>
            <w:lang w:eastAsia="zh-CN"/>
          </w:rPr>
          <w:t>(三)、制度宣导与培训</w:t>
        </w:r>
        <w:r>
          <w:tab/>
        </w:r>
        <w:r>
          <w:fldChar w:fldCharType="begin"/>
        </w:r>
        <w:r>
          <w:instrText xml:space="preserve"> PAGEREF _Toc31430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0" w:history="1">
        <w:r>
          <w:rPr>
            <w:rFonts w:ascii="仿宋" w:eastAsia="仿宋" w:hAnsi="仿宋" w:cs="仿宋" w:hint="eastAsia"/>
            <w:lang w:eastAsia="zh-CN"/>
          </w:rPr>
          <w:t>(四)、制度执行与监督</w:t>
        </w:r>
        <w:r>
          <w:tab/>
        </w:r>
        <w:r>
          <w:fldChar w:fldCharType="begin"/>
        </w:r>
        <w:r>
          <w:instrText xml:space="preserve"> PAGEREF _Toc10410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70" w:history="1">
        <w:r>
          <w:rPr>
            <w:rFonts w:ascii="仿宋" w:eastAsia="仿宋" w:hAnsi="仿宋" w:cs="仿宋" w:hint="eastAsia"/>
            <w:lang w:eastAsia="zh-CN"/>
          </w:rPr>
          <w:t>(五)、制度优化与更新</w:t>
        </w:r>
        <w:r>
          <w:tab/>
        </w:r>
        <w:r>
          <w:fldChar w:fldCharType="begin"/>
        </w:r>
        <w:r>
          <w:instrText xml:space="preserve"> PAGEREF _Toc22870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0" w:history="1">
        <w:r>
          <w:rPr>
            <w:rFonts w:ascii="仿宋" w:eastAsia="仿宋" w:hAnsi="仿宋" w:cs="仿宋" w:hint="eastAsia"/>
            <w:lang w:eastAsia="zh-CN"/>
          </w:rPr>
          <w:t>十七、社会影响分析</w:t>
        </w:r>
        <w:r>
          <w:tab/>
        </w:r>
        <w:r>
          <w:fldChar w:fldCharType="begin"/>
        </w:r>
        <w:r>
          <w:instrText xml:space="preserve"> PAGEREF _Toc1400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90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_Toc11990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39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_Toc17839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18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_Toc23318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7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_Toc10367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_Toc1302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4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_Toc6094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6735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_Toc16735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54" w:history="1">
        <w:r>
          <w:rPr>
            <w:rFonts w:ascii="仿宋" w:eastAsia="仿宋" w:hAnsi="仿宋" w:cs="仿宋" w:hint="eastAsia"/>
            <w:lang w:eastAsia="zh-CN"/>
          </w:rPr>
          <w:t>十九、市场营销策略与推广计划</w:t>
        </w:r>
        <w:r>
          <w:tab/>
        </w:r>
        <w:r>
          <w:fldChar w:fldCharType="begin"/>
        </w:r>
        <w:r>
          <w:instrText xml:space="preserve"> PAGEREF _Toc19954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65" w:history="1">
        <w:r>
          <w:rPr>
            <w:rFonts w:ascii="仿宋" w:eastAsia="仿宋" w:hAnsi="仿宋" w:cs="仿宋" w:hint="eastAsia"/>
            <w:lang w:eastAsia="zh-CN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_Toc16665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6" w:history="1">
        <w:r>
          <w:rPr>
            <w:rFonts w:ascii="仿宋" w:eastAsia="仿宋" w:hAnsi="仿宋" w:cs="仿宋" w:hint="eastAsia"/>
            <w:lang w:eastAsia="zh-CN"/>
          </w:rPr>
          <w:t>(二)、市场营销策略</w:t>
        </w:r>
        <w:r>
          <w:tab/>
        </w:r>
        <w:r>
          <w:fldChar w:fldCharType="begin"/>
        </w:r>
        <w:r>
          <w:instrText xml:space="preserve"> PAGEREF _Toc16116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0" w:history="1">
        <w:r>
          <w:rPr>
            <w:rFonts w:ascii="仿宋" w:eastAsia="仿宋" w:hAnsi="仿宋" w:cs="仿宋" w:hint="eastAsia"/>
            <w:lang w:eastAsia="zh-CN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_Toc6560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56" w:history="1">
        <w:r>
          <w:rPr>
            <w:rFonts w:ascii="仿宋" w:eastAsia="仿宋" w:hAnsi="仿宋" w:cs="仿宋" w:hint="eastAsia"/>
            <w:lang w:eastAsia="zh-CN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_Toc15956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1" w:history="1">
        <w:r>
          <w:rPr>
            <w:rFonts w:ascii="仿宋" w:eastAsia="仿宋" w:hAnsi="仿宋" w:cs="仿宋" w:hint="eastAsia"/>
            <w:lang w:eastAsia="zh-CN"/>
          </w:rPr>
          <w:t>二十、Υ射线立体定向放射项目工艺及设备分析</w:t>
        </w:r>
        <w:r>
          <w:tab/>
        </w:r>
        <w:r>
          <w:fldChar w:fldCharType="begin"/>
        </w:r>
        <w:r>
          <w:instrText xml:space="preserve"> PAGEREF _Toc24001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7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_Toc5067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52" w:history="1">
        <w:r>
          <w:rPr>
            <w:rFonts w:ascii="仿宋" w:eastAsia="仿宋" w:hAnsi="仿宋" w:cs="仿宋" w:hint="eastAsia"/>
            <w:lang w:eastAsia="zh-CN"/>
          </w:rPr>
          <w:t>(二)、Υ射线立体定向放射项目工艺技术设计方案</w:t>
        </w:r>
        <w:r>
          <w:tab/>
        </w:r>
        <w:r>
          <w:fldChar w:fldCharType="begin"/>
        </w:r>
        <w:r>
          <w:instrText xml:space="preserve"> PAGEREF _Toc15852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5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_Toc32575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83" w:history="1">
        <w:r>
          <w:rPr>
            <w:rFonts w:ascii="仿宋" w:eastAsia="仿宋" w:hAnsi="仿宋" w:cs="仿宋" w:hint="eastAsia"/>
            <w:lang w:eastAsia="zh-CN"/>
          </w:rPr>
          <w:t>二十一、安全与劳动保护</w:t>
        </w:r>
        <w:r>
          <w:tab/>
        </w:r>
        <w:r>
          <w:fldChar w:fldCharType="begin"/>
        </w:r>
        <w:r>
          <w:instrText xml:space="preserve"> PAGEREF _Toc20183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77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_Toc27977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2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_Toc21102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80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_Toc26880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557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568"/>
      <w:r>
        <w:rPr>
          <w:rFonts w:ascii="仿宋" w:eastAsia="仿宋" w:hAnsi="仿宋" w:cs="仿宋" w:hint="eastAsia"/>
          <w:sz w:val="28"/>
          <w:lang w:eastAsia="zh-CN"/>
        </w:rPr>
        <w:t>一、Υ射线立体定向放射项目投资主体概况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591"/>
      <w:r>
        <w:rPr>
          <w:rFonts w:ascii="仿宋" w:eastAsia="仿宋" w:hAnsi="仿宋" w:cs="仿宋" w:hint="eastAsia"/>
          <w:lang w:eastAsia="zh-CN"/>
        </w:rPr>
        <w:t>(一)、公司概要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公司名为Υ射线立体定向放射有限公司。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雇佣法官Υ射线立体定向放射负责代表公司。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公司损失了8XXX亿人民币。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统一社会信用代码为Υ射线立体定向放射。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公司注册在Υ射线立体定向放射的市场监督管理机构。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公司的成立日期是在20XXX年Υ射线立体定向放射月Υ射线立体定向放射日。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公司的经营期限是没有特定的期限。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公司的注册位置是位于Υ射线立体定向放射市，中心区，Υ射线立体定向放射街道Υ射线立体定向放射号。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9.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https://d.book118.com/955130004040011114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Υ射线立体定向放射项目营销方案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Υ射线立体定向放射项目营销方案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Υ射线立体定向放射项目营销方案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Υ射线立体定向放射项目营销方案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Υ射线立体定向放射项目营销方案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F76516D"/>
    <w:rsid w:val="4593521B"/>
    <w:rsid w:val="7AE7341D"/>
    <w:rsid w:val="7F76516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5513000404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2024-03-02T14:54:00Z</dcterms:created>
  <dcterms:modified xsi:type="dcterms:W3CDTF">2024-03-02T14:54:44Z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38504AABBAEC46D886F50926734AA500_11</vt:lpwstr>
  </property>
  <property fmtid="{D5CDD505-2E9C-101B-9397-08002B2CF9AE}" pid="3" name="KSOProductBuildVer">
    <vt:lpwstr>2052-12.1.0.16399</vt:lpwstr>
  </property>
</Properties>
</file>