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核实施退役和核三废处理、处置技术设备行业相关公司筹备报告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_Toc21019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_Toc29722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_Toc25428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(七)、核实施退役和核三废处理、处置技术设备项目建设必要性分析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_Toc21036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_Toc28987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四、核实施退役和核三废处理、处置技术设备筹建公司基本信息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_Toc16749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_Toc20863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_Toc15191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五、核实施退役和核三废处理、处置技术设备项目概况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(二)、核实施退役和核三废处理、处置技术设备项目提出的理由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" w:history="1">
        <w:r>
          <w:rPr>
            <w:rFonts w:ascii="仿宋" w:eastAsia="仿宋" w:hAnsi="仿宋" w:cs="仿宋" w:hint="eastAsia"/>
            <w:lang w:eastAsia="zh-CN"/>
          </w:rPr>
          <w:t>(三)、核实施退役和核三废处理、处置技术设备项目选址</w:t>
        </w:r>
        <w:r>
          <w:tab/>
        </w:r>
        <w:r>
          <w:fldChar w:fldCharType="begin"/>
        </w:r>
        <w:r>
          <w:instrText xml:space="preserve"> PAGEREF _Toc2671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(六)、核实施退役和核三废处理、处置技术设备项目投资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3" w:history="1">
        <w:r>
          <w:rPr>
            <w:rFonts w:ascii="仿宋" w:eastAsia="仿宋" w:hAnsi="仿宋" w:cs="仿宋" w:hint="eastAsia"/>
            <w:lang w:eastAsia="zh-CN"/>
          </w:rPr>
          <w:t>(七)、核实施退役和核三废处理、处置技术设备项目进度规划</w:t>
        </w:r>
        <w:r>
          <w:tab/>
        </w:r>
        <w:r>
          <w:fldChar w:fldCharType="begin"/>
        </w:r>
        <w:r>
          <w:instrText xml:space="preserve"> PAGEREF _Toc4473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_Toc29547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(九)、核实施退役和核三废处理、处置技术设备项目综合评价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_Toc13134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1" w:history="1">
        <w:r>
          <w:rPr>
            <w:rFonts w:ascii="仿宋" w:eastAsia="仿宋" w:hAnsi="仿宋" w:cs="仿宋" w:hint="eastAsia"/>
            <w:lang w:eastAsia="zh-CN"/>
          </w:rPr>
          <w:t>(一)、核实施退役和核三废处理、处置技术设备项目背景分析</w:t>
        </w:r>
        <w:r>
          <w:tab/>
        </w:r>
        <w:r>
          <w:fldChar w:fldCharType="begin"/>
        </w:r>
        <w:r>
          <w:instrText xml:space="preserve"> PAGEREF _Toc8021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(二)、核实施退役和核三废处理、处置技术设备项目建设必要性分析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_Toc23109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八、核实施退役和核三废处理、处置技术设备项目经济效益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(三)、核实施退役和核三废处理、处置技术设备项目盈利能力分析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_Toc25937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_Toc17973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" w:history="1">
        <w:r>
          <w:rPr>
            <w:rFonts w:ascii="仿宋" w:eastAsia="仿宋" w:hAnsi="仿宋" w:cs="仿宋" w:hint="eastAsia"/>
            <w:lang w:eastAsia="zh-CN"/>
          </w:rPr>
          <w:t>十、核实施退役和核三废处理、处置技术设备项目风险分析</w:t>
        </w:r>
        <w:r>
          <w:tab/>
        </w:r>
        <w:r>
          <w:fldChar w:fldCharType="begin"/>
        </w:r>
        <w:r>
          <w:instrText xml:space="preserve"> PAGEREF _Toc2098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(一)、核实施退役和核三废处理、处置技术设备项目风险分析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eastAsia="zh-CN"/>
          </w:rPr>
          <w:t>(二)、核实施退役和核三废处理、处置技术设备项目风险对策</w:t>
        </w:r>
        <w:r>
          <w:tab/>
        </w:r>
        <w:r>
          <w:fldChar w:fldCharType="begin"/>
        </w:r>
        <w:r>
          <w:instrText xml:space="preserve"> PAGEREF _Toc19542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_Toc6845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_Toc31962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_Toc16716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529" w:history="1">
        <w:r>
          <w:rPr>
            <w:rFonts w:ascii="仿宋" w:eastAsia="仿宋" w:hAnsi="仿宋" w:cs="仿宋" w:hint="eastAsia"/>
            <w:lang w:eastAsia="zh-CN"/>
          </w:rPr>
          <w:t>十四、核实施退役和核三废处理、处置技术设备项目总结分析</w:t>
        </w:r>
        <w:r>
          <w:tab/>
        </w:r>
        <w:r>
          <w:fldChar w:fldCharType="begin"/>
        </w:r>
        <w:r>
          <w:instrText xml:space="preserve"> PAGEREF _Toc31529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(一)、社会责任核实施退役和核三废处理、处置技术设备项目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3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7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https://d.book118.com/955133104024011100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513310402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2023-12-31T23:12:00Z</dcterms:created>
  <dcterms:modified xsi:type="dcterms:W3CDTF">2023-12-31T23:12:47Z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FDF06D34EE3B448DB6E623EA612338ED_11</vt:lpwstr>
  </property>
  <property fmtid="{D5CDD505-2E9C-101B-9397-08002B2CF9AE}" pid="3" name="KSOProductBuildVer">
    <vt:lpwstr>2052-12.1.0.16120</vt:lpwstr>
  </property>
</Properties>
</file>