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2015-2023年内蒙古美术职业学院高职单招（数学／语文／英语）历年参考题库带答案解析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陶渊明诗作中，成就最高的是（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B.咏怀诗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C.咏史诗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D.咏怀和咏史诗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柳永《八声甘州（对潇潇暮雨洒江天）》中贯穿全词的句子是（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A.是处红衰翠减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D.叹年来踪迹，何事苦淹留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下列人物属于战国四君子的是（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D.想佳人妆楼颙望，误几回，天际识归舟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下列成语出自《氓》的一组是（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A.夙兴夜寐、夜以继日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B.夙兴夜寐、翻云覆雨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C.夙兴夜寐、信誓旦旦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D.夜以继日、信誓旦旦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《张中丞传后叙》中所说的“守一城，捍天下”的“城”是指（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A.汴州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B.睢阳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C.洛阳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在《答司马谏议书》中，王安石驳斥司马光指责新法“征利”的观点时，所持的理论依据是（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A.“受命于人主”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B.“举先王之政”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C.“为天下理财”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D.“度义而后动”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下列作家属于明代“后七子”的是（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12.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下列句子中，使用了反诘修辞格的是（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A.叹年来踪迹，何事苦淹留?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B.不知天上宫阙，今夕是何年?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C.满地黄花堆积，憔悴损，如今有谁堪摘?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D.明明如月，何时可掇?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1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对“岂得之难而失之易欤 抑本其成败之迹，而皆自于人欤 ”一句理解准确的一项是（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A.强调得天下困难而失天下容易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B.强调“得”“失”都是人事决定的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C.否定“得”与“失”的难易都是由人事决定的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D.否定得天下困难，承认失天下容易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《断魂枪》中孙老者的基本性格定位是（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A.乐观爽朗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https://d.book118.com/955200121103011113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55200121103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