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line="734" w:lineRule="exact"/>
        <w:ind w:left="3075" w:right="0" w:firstLine="0"/>
        <w:jc w:val="left"/>
        <w:rPr>
          <w:rFonts w:ascii="Microsoft JhengHei" w:eastAsia="Microsoft JhengHei"/>
          <w:b/>
          <w:sz w:val="48"/>
        </w:rPr>
      </w:pPr>
      <w:r>
        <w:rPr>
          <w:rFonts w:ascii="Microsoft JhengHei" w:eastAsia="Microsoft JhengHei"/>
          <w:b/>
          <w:spacing w:val="-3"/>
          <w:sz w:val="48"/>
        </w:rPr>
        <w:t>建设项目</w:t>
      </w:r>
    </w:p>
    <w:p>
      <w:pPr>
        <w:pStyle w:val="Title"/>
        <w:spacing w:before="92" w:line="235" w:lineRule="auto"/>
        <w:ind w:right="4506"/>
      </w:pPr>
      <w:r>
        <w:drawing>
          <wp:anchor distT="0" distB="0" distL="0" distR="0" simplePos="0" relativeHeight="251658240" behindDoc="1" locked="0" layoutInCell="1" allowOverlap="1">
            <wp:simplePos x="0" y="0"/>
            <wp:positionH relativeFrom="page">
              <wp:posOffset>3462901</wp:posOffset>
            </wp:positionH>
            <wp:positionV relativeFrom="paragraph">
              <wp:posOffset>217956</wp:posOffset>
            </wp:positionV>
            <wp:extent cx="312832" cy="33005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12832" cy="33005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3500820</wp:posOffset>
            </wp:positionH>
            <wp:positionV relativeFrom="paragraph">
              <wp:posOffset>812316</wp:posOffset>
            </wp:positionV>
            <wp:extent cx="274913" cy="32062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74913" cy="320623"/>
                    </a:xfrm>
                    <a:prstGeom prst="rect">
                      <a:avLst/>
                    </a:prstGeom>
                  </pic:spPr>
                </pic:pic>
              </a:graphicData>
            </a:graphic>
          </wp:anchor>
        </w:drawing>
      </w:r>
      <w:r>
        <w:rPr>
          <w:spacing w:val="-10"/>
          <w:w w:val="200"/>
        </w:rPr>
        <w:t>水</w:t>
      </w:r>
      <w:r>
        <w:rPr>
          <w:spacing w:val="-10"/>
          <w:w w:val="200"/>
        </w:rPr>
        <w:t>电</w:t>
      </w:r>
    </w:p>
    <w:p>
      <w:pPr>
        <w:pStyle w:val="Title"/>
        <w:spacing w:line="235" w:lineRule="auto"/>
        <w:ind w:firstLine="260"/>
      </w:pPr>
      <w:r>
        <w:drawing>
          <wp:anchor distT="0" distB="0" distL="0" distR="0" simplePos="0" relativeHeight="251660288" behindDoc="1" locked="0" layoutInCell="1" allowOverlap="1">
            <wp:simplePos x="0" y="0"/>
            <wp:positionH relativeFrom="page">
              <wp:posOffset>3656440</wp:posOffset>
            </wp:positionH>
            <wp:positionV relativeFrom="paragraph">
              <wp:posOffset>385858</wp:posOffset>
            </wp:positionV>
            <wp:extent cx="85317" cy="8487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85317" cy="8487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3472381</wp:posOffset>
            </wp:positionH>
            <wp:positionV relativeFrom="paragraph">
              <wp:posOffset>753895</wp:posOffset>
            </wp:positionV>
            <wp:extent cx="284393" cy="33005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284393" cy="330053"/>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3481861</wp:posOffset>
            </wp:positionH>
            <wp:positionV relativeFrom="paragraph">
              <wp:posOffset>1348255</wp:posOffset>
            </wp:positionV>
            <wp:extent cx="293873" cy="320623"/>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293873" cy="320623"/>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3472381</wp:posOffset>
            </wp:positionH>
            <wp:positionV relativeFrom="paragraph">
              <wp:posOffset>1942615</wp:posOffset>
            </wp:positionV>
            <wp:extent cx="303352" cy="311193"/>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303352" cy="311193"/>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3462901</wp:posOffset>
            </wp:positionH>
            <wp:positionV relativeFrom="paragraph">
              <wp:posOffset>2536975</wp:posOffset>
            </wp:positionV>
            <wp:extent cx="312832" cy="311193"/>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312832" cy="311193"/>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3472381</wp:posOffset>
            </wp:positionH>
            <wp:positionV relativeFrom="paragraph">
              <wp:posOffset>3131335</wp:posOffset>
            </wp:positionV>
            <wp:extent cx="293873" cy="330053"/>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293873" cy="330053"/>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3462901</wp:posOffset>
            </wp:positionH>
            <wp:positionV relativeFrom="paragraph">
              <wp:posOffset>3725695</wp:posOffset>
            </wp:positionV>
            <wp:extent cx="312832" cy="330053"/>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312832" cy="330053"/>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3472381</wp:posOffset>
            </wp:positionH>
            <wp:positionV relativeFrom="paragraph">
              <wp:posOffset>4320055</wp:posOffset>
            </wp:positionV>
            <wp:extent cx="293873" cy="301763"/>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293873" cy="301763"/>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3462901</wp:posOffset>
            </wp:positionH>
            <wp:positionV relativeFrom="paragraph">
              <wp:posOffset>4914415</wp:posOffset>
            </wp:positionV>
            <wp:extent cx="293873" cy="330053"/>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293873" cy="330053"/>
                    </a:xfrm>
                    <a:prstGeom prst="rect">
                      <a:avLst/>
                    </a:prstGeom>
                  </pic:spPr>
                </pic:pic>
              </a:graphicData>
            </a:graphic>
          </wp:anchor>
        </w:drawing>
      </w:r>
      <w:r>
        <w:rPr>
          <w:spacing w:val="-10"/>
          <w:w w:val="200"/>
        </w:rPr>
        <w:t>、</w:t>
      </w:r>
      <w:r>
        <w:rPr>
          <w:spacing w:val="-10"/>
          <w:w w:val="200"/>
        </w:rPr>
        <w:t>消</w:t>
      </w:r>
      <w:r>
        <w:rPr>
          <w:spacing w:val="-10"/>
          <w:w w:val="200"/>
        </w:rPr>
        <w:t>防</w:t>
      </w:r>
      <w:r>
        <w:rPr>
          <w:spacing w:val="-10"/>
          <w:w w:val="200"/>
        </w:rPr>
        <w:t>监</w:t>
      </w:r>
      <w:r>
        <w:rPr>
          <w:spacing w:val="-10"/>
          <w:w w:val="200"/>
        </w:rPr>
        <w:t>理</w:t>
      </w:r>
      <w:r>
        <w:rPr>
          <w:spacing w:val="-10"/>
          <w:w w:val="200"/>
        </w:rPr>
        <w:t>实</w:t>
      </w:r>
      <w:r>
        <w:rPr>
          <w:spacing w:val="-10"/>
          <w:w w:val="200"/>
        </w:rPr>
        <w:t>施</w:t>
      </w:r>
      <w:r>
        <w:rPr>
          <w:spacing w:val="-10"/>
          <w:w w:val="200"/>
        </w:rPr>
        <w:t>细</w:t>
      </w:r>
      <w:r>
        <w:rPr>
          <w:spacing w:val="-10"/>
          <w:w w:val="200"/>
        </w:rPr>
        <w:t>则</w:t>
      </w:r>
    </w:p>
    <w:p>
      <w:pPr>
        <w:tabs>
          <w:tab w:val="left" w:pos="8637"/>
        </w:tabs>
        <w:spacing w:before="70"/>
        <w:ind w:left="2120" w:right="0" w:firstLine="0"/>
        <w:jc w:val="left"/>
        <w:rPr>
          <w:rFonts w:ascii="Times New Roman" w:eastAsia="Times New Roman"/>
          <w:b/>
          <w:sz w:val="28"/>
        </w:rPr>
      </w:pPr>
      <w:r>
        <w:rPr>
          <w:rFonts w:ascii="Microsoft JhengHei" w:eastAsia="Microsoft JhengHei"/>
          <w:b/>
          <w:sz w:val="28"/>
        </w:rPr>
        <w:t>项</w:t>
      </w:r>
      <w:r>
        <w:rPr>
          <w:rFonts w:ascii="Microsoft JhengHei" w:eastAsia="Microsoft JhengHei"/>
          <w:b/>
          <w:sz w:val="28"/>
        </w:rPr>
        <w:t>目</w:t>
      </w:r>
      <w:r>
        <w:rPr>
          <w:rFonts w:ascii="Microsoft JhengHei" w:eastAsia="Microsoft JhengHei"/>
          <w:b/>
          <w:sz w:val="28"/>
        </w:rPr>
        <w:t>监</w:t>
      </w:r>
      <w:r>
        <w:rPr>
          <w:rFonts w:ascii="Microsoft JhengHei" w:eastAsia="Microsoft JhengHei"/>
          <w:b/>
          <w:sz w:val="28"/>
        </w:rPr>
        <w:t>理</w:t>
      </w:r>
      <w:r>
        <w:rPr>
          <w:rFonts w:ascii="Microsoft JhengHei" w:eastAsia="Microsoft JhengHei"/>
          <w:b/>
          <w:sz w:val="28"/>
        </w:rPr>
        <w:t>机</w:t>
      </w:r>
      <w:r>
        <w:rPr>
          <w:rFonts w:ascii="Microsoft JhengHei" w:eastAsia="Microsoft JhengHei"/>
          <w:b/>
          <w:sz w:val="28"/>
        </w:rPr>
        <w:t>构</w:t>
      </w:r>
      <w:r>
        <w:rPr>
          <w:rFonts w:ascii="Microsoft JhengHei" w:eastAsia="Microsoft JhengHei"/>
          <w:b/>
          <w:sz w:val="28"/>
        </w:rPr>
        <w:t>（</w:t>
      </w:r>
      <w:r>
        <w:rPr>
          <w:rFonts w:ascii="Microsoft JhengHei" w:eastAsia="Microsoft JhengHei"/>
          <w:b/>
          <w:sz w:val="28"/>
        </w:rPr>
        <w:t>章</w:t>
      </w:r>
      <w:r>
        <w:rPr>
          <w:rFonts w:ascii="Microsoft JhengHei" w:eastAsia="Microsoft JhengHei"/>
          <w:b/>
          <w:spacing w:val="-5"/>
          <w:sz w:val="28"/>
        </w:rPr>
        <w:t>）：</w:t>
      </w:r>
      <w:r>
        <w:rPr>
          <w:rFonts w:ascii="Times New Roman" w:eastAsia="Times New Roman"/>
          <w:b/>
          <w:sz w:val="28"/>
          <w:u w:val="thick"/>
        </w:rPr>
        <w:tab/>
      </w:r>
    </w:p>
    <w:p>
      <w:pPr>
        <w:pStyle w:val="BodyText"/>
        <w:spacing w:before="5"/>
        <w:ind w:left="0"/>
        <w:rPr>
          <w:rFonts w:ascii="Times New Roman"/>
          <w:b/>
          <w:sz w:val="11"/>
        </w:rPr>
      </w:pPr>
    </w:p>
    <w:p>
      <w:pPr>
        <w:tabs>
          <w:tab w:val="left" w:pos="8533"/>
        </w:tabs>
        <w:spacing w:before="0" w:line="492" w:lineRule="exact"/>
        <w:ind w:left="2160" w:right="0" w:firstLine="0"/>
        <w:jc w:val="left"/>
        <w:rPr>
          <w:rFonts w:ascii="Times New Roman" w:eastAsia="Times New Roman"/>
          <w:b/>
          <w:sz w:val="28"/>
        </w:rPr>
      </w:pPr>
      <w:r>
        <w:rPr>
          <w:rFonts w:ascii="Microsoft JhengHei" w:eastAsia="Microsoft JhengHei"/>
          <w:b/>
          <w:sz w:val="28"/>
        </w:rPr>
        <w:t>专</w:t>
      </w:r>
      <w:r>
        <w:rPr>
          <w:rFonts w:ascii="Microsoft JhengHei" w:eastAsia="Microsoft JhengHei"/>
          <w:b/>
          <w:sz w:val="28"/>
        </w:rPr>
        <w:t>业</w:t>
      </w:r>
      <w:r>
        <w:rPr>
          <w:rFonts w:ascii="Microsoft JhengHei" w:eastAsia="Microsoft JhengHei"/>
          <w:b/>
          <w:sz w:val="28"/>
        </w:rPr>
        <w:t>监</w:t>
      </w:r>
      <w:r>
        <w:rPr>
          <w:rFonts w:ascii="Microsoft JhengHei" w:eastAsia="Microsoft JhengHei"/>
          <w:b/>
          <w:sz w:val="28"/>
        </w:rPr>
        <w:t>理</w:t>
      </w:r>
      <w:r>
        <w:rPr>
          <w:rFonts w:ascii="Microsoft JhengHei" w:eastAsia="Microsoft JhengHei"/>
          <w:b/>
          <w:sz w:val="28"/>
        </w:rPr>
        <w:t>工</w:t>
      </w:r>
      <w:r>
        <w:rPr>
          <w:rFonts w:ascii="Microsoft JhengHei" w:eastAsia="Microsoft JhengHei"/>
          <w:b/>
          <w:sz w:val="28"/>
        </w:rPr>
        <w:t>程</w:t>
      </w:r>
      <w:r>
        <w:rPr>
          <w:rFonts w:ascii="Microsoft JhengHei" w:eastAsia="Microsoft JhengHei"/>
          <w:b/>
          <w:sz w:val="28"/>
        </w:rPr>
        <w:t>师</w:t>
      </w:r>
      <w:r>
        <w:rPr>
          <w:rFonts w:ascii="Microsoft JhengHei" w:eastAsia="Microsoft JhengHei"/>
          <w:b/>
          <w:spacing w:val="-10"/>
          <w:sz w:val="28"/>
        </w:rPr>
        <w:t>：</w:t>
      </w:r>
      <w:r>
        <w:rPr>
          <w:rFonts w:ascii="Times New Roman" w:eastAsia="Times New Roman"/>
          <w:b/>
          <w:sz w:val="28"/>
          <w:u w:val="thick"/>
        </w:rPr>
        <w:tab/>
      </w:r>
    </w:p>
    <w:p>
      <w:pPr>
        <w:pStyle w:val="BodyText"/>
        <w:spacing w:before="5"/>
        <w:ind w:left="0"/>
        <w:rPr>
          <w:rFonts w:ascii="Times New Roman"/>
          <w:b/>
          <w:sz w:val="11"/>
        </w:rPr>
      </w:pPr>
    </w:p>
    <w:p>
      <w:pPr>
        <w:tabs>
          <w:tab w:val="left" w:pos="8540"/>
        </w:tabs>
        <w:spacing w:before="0" w:line="493" w:lineRule="exact"/>
        <w:ind w:left="2160" w:right="0" w:firstLine="0"/>
        <w:jc w:val="left"/>
        <w:rPr>
          <w:rFonts w:ascii="Times New Roman" w:eastAsia="Times New Roman"/>
          <w:b/>
          <w:sz w:val="28"/>
        </w:rPr>
      </w:pPr>
      <w:r>
        <w:rPr>
          <w:rFonts w:ascii="Microsoft JhengHei" w:eastAsia="Microsoft JhengHei"/>
          <w:b/>
          <w:sz w:val="28"/>
        </w:rPr>
        <w:t>总</w:t>
      </w:r>
      <w:r>
        <w:rPr>
          <w:rFonts w:ascii="Microsoft JhengHei" w:eastAsia="Microsoft JhengHei"/>
          <w:b/>
          <w:sz w:val="28"/>
        </w:rPr>
        <w:t>监</w:t>
      </w:r>
      <w:r>
        <w:rPr>
          <w:rFonts w:ascii="Microsoft JhengHei" w:eastAsia="Microsoft JhengHei"/>
          <w:b/>
          <w:sz w:val="28"/>
        </w:rPr>
        <w:t>理</w:t>
      </w:r>
      <w:r>
        <w:rPr>
          <w:rFonts w:ascii="Microsoft JhengHei" w:eastAsia="Microsoft JhengHei"/>
          <w:b/>
          <w:sz w:val="28"/>
        </w:rPr>
        <w:t>工</w:t>
      </w:r>
      <w:r>
        <w:rPr>
          <w:rFonts w:ascii="Microsoft JhengHei" w:eastAsia="Microsoft JhengHei"/>
          <w:b/>
          <w:sz w:val="28"/>
        </w:rPr>
        <w:t>程</w:t>
      </w:r>
      <w:r>
        <w:rPr>
          <w:rFonts w:ascii="Microsoft JhengHei" w:eastAsia="Microsoft JhengHei"/>
          <w:b/>
          <w:sz w:val="28"/>
        </w:rPr>
        <w:t>师</w:t>
      </w:r>
      <w:r>
        <w:rPr>
          <w:rFonts w:ascii="Microsoft JhengHei" w:eastAsia="Microsoft JhengHei"/>
          <w:b/>
          <w:spacing w:val="-10"/>
          <w:sz w:val="28"/>
        </w:rPr>
        <w:t>：</w:t>
      </w:r>
      <w:r>
        <w:rPr>
          <w:rFonts w:ascii="Times New Roman" w:eastAsia="Times New Roman"/>
          <w:b/>
          <w:sz w:val="28"/>
          <w:u w:val="thick"/>
        </w:rPr>
        <w:tab/>
      </w:r>
    </w:p>
    <w:p>
      <w:pPr>
        <w:pStyle w:val="BodyText"/>
        <w:spacing w:before="2"/>
        <w:ind w:left="0"/>
        <w:rPr>
          <w:rFonts w:ascii="Times New Roman"/>
          <w:b/>
          <w:sz w:val="12"/>
        </w:rPr>
      </w:pPr>
    </w:p>
    <w:p>
      <w:pPr>
        <w:tabs>
          <w:tab w:val="left" w:pos="4974"/>
        </w:tabs>
        <w:spacing w:before="0" w:line="484" w:lineRule="exact"/>
        <w:ind w:left="0" w:right="417" w:firstLine="0"/>
        <w:jc w:val="center"/>
        <w:rPr>
          <w:rFonts w:ascii="Times New Roman" w:eastAsia="Times New Roman"/>
          <w:b/>
          <w:sz w:val="28"/>
        </w:rPr>
      </w:pPr>
      <w:r>
        <w:rPr>
          <w:rFonts w:ascii="Microsoft JhengHei" w:eastAsia="Microsoft JhengHei"/>
          <w:b/>
          <w:sz w:val="28"/>
        </w:rPr>
        <w:t>日</w:t>
      </w:r>
      <w:r>
        <w:rPr>
          <w:rFonts w:ascii="Microsoft JhengHei" w:eastAsia="Microsoft JhengHei"/>
          <w:b/>
          <w:sz w:val="28"/>
        </w:rPr>
        <w:t>期</w:t>
      </w:r>
      <w:r>
        <w:rPr>
          <w:rFonts w:ascii="Microsoft JhengHei" w:eastAsia="Microsoft JhengHei"/>
          <w:b/>
          <w:spacing w:val="-10"/>
          <w:sz w:val="28"/>
        </w:rPr>
        <w:t>：</w:t>
      </w:r>
      <w:r>
        <w:rPr>
          <w:rFonts w:ascii="Times New Roman" w:eastAsia="Times New Roman"/>
          <w:b/>
          <w:sz w:val="28"/>
          <w:u w:val="thick"/>
        </w:rPr>
        <w:tab/>
      </w:r>
    </w:p>
    <w:p>
      <w:pPr>
        <w:spacing w:after="0" w:line="484" w:lineRule="exact"/>
        <w:jc w:val="center"/>
        <w:rPr>
          <w:rFonts w:ascii="Times New Roman" w:eastAsia="Times New Roman"/>
          <w:sz w:val="28"/>
        </w:rPr>
        <w:sectPr>
          <w:type w:val="continuous"/>
          <w:pgSz w:w="11910" w:h="16840"/>
          <w:pgMar w:top="1660" w:right="940" w:bottom="280" w:left="1240" w:header="708" w:footer="708"/>
          <w:cols w:space="708"/>
        </w:sectPr>
      </w:pPr>
    </w:p>
    <w:p>
      <w:pPr>
        <w:pStyle w:val="BodyText"/>
        <w:tabs>
          <w:tab w:val="left" w:pos="839"/>
        </w:tabs>
        <w:spacing w:before="37"/>
        <w:ind w:left="0" w:right="645"/>
        <w:jc w:val="center"/>
      </w:pPr>
      <w:r>
        <w:rPr>
          <w:spacing w:val="-10"/>
        </w:rPr>
        <w:t>目</w:t>
      </w:r>
      <w:r>
        <w:tab/>
      </w:r>
      <w:r>
        <w:rPr>
          <w:spacing w:val="-10"/>
        </w:rPr>
        <w:t>录</w:t>
      </w:r>
    </w:p>
    <w:p>
      <w:pPr>
        <w:pStyle w:val="BodyText"/>
        <w:ind w:left="0"/>
        <w:rPr>
          <w:sz w:val="20"/>
        </w:rPr>
      </w:pPr>
    </w:p>
    <w:p>
      <w:pPr>
        <w:pStyle w:val="BodyText"/>
        <w:ind w:left="0"/>
        <w:rPr>
          <w:sz w:val="20"/>
        </w:rPr>
      </w:pPr>
    </w:p>
    <w:p>
      <w:pPr>
        <w:pStyle w:val="BodyText"/>
        <w:spacing w:before="8"/>
        <w:ind w:left="0"/>
        <w:rPr>
          <w:sz w:val="24"/>
        </w:rPr>
      </w:pPr>
    </w:p>
    <w:p>
      <w:pPr>
        <w:pStyle w:val="BodyText"/>
        <w:spacing w:before="61"/>
      </w:pPr>
      <w:r>
        <w:rPr>
          <w:spacing w:val="-1"/>
        </w:rPr>
        <w:t>第一章 工程概况及编制依据</w:t>
      </w:r>
    </w:p>
    <w:p>
      <w:pPr>
        <w:pStyle w:val="BodyText"/>
        <w:spacing w:before="9"/>
        <w:ind w:left="0"/>
        <w:rPr>
          <w:sz w:val="20"/>
        </w:rPr>
      </w:pPr>
    </w:p>
    <w:p>
      <w:pPr>
        <w:pStyle w:val="BodyText"/>
        <w:spacing w:line="417" w:lineRule="auto"/>
        <w:ind w:left="900" w:right="4905" w:hanging="700"/>
      </w:pPr>
      <w:r>
        <w:rPr>
          <w:spacing w:val="-6"/>
        </w:rPr>
        <w:t>第二章 监理控制目标及监理控制措施</w:t>
      </w:r>
      <w:r>
        <w:rPr>
          <w:spacing w:val="-2"/>
        </w:rPr>
        <w:t>一、监理控制目标</w:t>
      </w:r>
    </w:p>
    <w:p>
      <w:pPr>
        <w:pStyle w:val="BodyText"/>
        <w:spacing w:line="417" w:lineRule="auto"/>
        <w:ind w:right="5045" w:firstLine="700"/>
      </w:pPr>
      <w:r>
        <w:rPr>
          <w:spacing w:val="-6"/>
        </w:rPr>
        <w:t>二、 监理工作方法及控制措施</w:t>
      </w:r>
      <w:r>
        <w:t>第三章 监理控制要点</w:t>
      </w:r>
    </w:p>
    <w:p>
      <w:pPr>
        <w:pStyle w:val="BodyText"/>
        <w:spacing w:line="417" w:lineRule="auto"/>
        <w:ind w:left="918" w:right="6987"/>
      </w:pPr>
      <w:r>
        <w:rPr>
          <w:spacing w:val="-6"/>
        </w:rPr>
        <w:t>一、 质量控制</w:t>
      </w:r>
      <w:r>
        <w:rPr>
          <w:spacing w:val="-2"/>
        </w:rPr>
        <w:t>二、 材料控制</w:t>
      </w:r>
    </w:p>
    <w:p>
      <w:pPr>
        <w:pStyle w:val="BodyText"/>
        <w:spacing w:line="358" w:lineRule="exact"/>
        <w:ind w:left="918"/>
      </w:pPr>
      <w:r>
        <w:rPr>
          <w:spacing w:val="-1"/>
        </w:rPr>
        <w:t>三、 施工过程质量控制</w:t>
      </w:r>
    </w:p>
    <w:p>
      <w:pPr>
        <w:pStyle w:val="BodyText"/>
        <w:spacing w:before="8"/>
        <w:ind w:left="0"/>
        <w:rPr>
          <w:sz w:val="20"/>
        </w:rPr>
      </w:pPr>
    </w:p>
    <w:p>
      <w:pPr>
        <w:pStyle w:val="BodyText"/>
        <w:spacing w:line="417" w:lineRule="auto"/>
        <w:ind w:left="918" w:right="5307"/>
        <w:jc w:val="both"/>
      </w:pPr>
      <w:r>
        <w:rPr>
          <w:spacing w:val="-2"/>
        </w:rPr>
        <w:t>四、给水系统安装监理要点</w:t>
      </w:r>
      <w:r>
        <w:rPr>
          <w:spacing w:val="-2"/>
        </w:rPr>
        <w:t>五、消防系统安装监理要点</w:t>
      </w:r>
      <w:r>
        <w:rPr>
          <w:spacing w:val="-2"/>
        </w:rPr>
        <w:t>六、排水系统安装监理要点</w:t>
      </w:r>
      <w:r>
        <w:rPr>
          <w:spacing w:val="-1"/>
        </w:rPr>
        <w:t>七、 卫生洁具安装监理要点</w:t>
      </w:r>
    </w:p>
    <w:p>
      <w:pPr>
        <w:pStyle w:val="BodyText"/>
        <w:spacing w:line="417" w:lineRule="auto"/>
        <w:ind w:left="918" w:right="3067"/>
        <w:jc w:val="both"/>
      </w:pPr>
      <w:r>
        <w:rPr>
          <w:spacing w:val="-6"/>
        </w:rPr>
        <w:t>八、 电线导管、电缆导管和线槽敷设监理要点</w:t>
      </w:r>
      <w:r>
        <w:rPr>
          <w:spacing w:val="-6"/>
        </w:rPr>
        <w:t>九、 电线、电缆穿管和线槽敷线监理控制要点</w:t>
      </w:r>
      <w:r>
        <w:t>十、 通灯具安装监理控制要点</w:t>
      </w:r>
    </w:p>
    <w:p>
      <w:pPr>
        <w:pStyle w:val="BodyText"/>
        <w:spacing w:line="417" w:lineRule="auto"/>
        <w:ind w:left="918" w:right="4467"/>
      </w:pPr>
      <w:r>
        <w:rPr>
          <w:spacing w:val="-6"/>
        </w:rPr>
        <w:t>十一、 关插座安装监理控制要点：</w:t>
      </w:r>
      <w:r>
        <w:rPr>
          <w:spacing w:val="-2"/>
        </w:rPr>
        <w:t>十二、配电箱安装监理要点</w:t>
      </w:r>
    </w:p>
    <w:p>
      <w:pPr>
        <w:pStyle w:val="BodyText"/>
        <w:spacing w:line="358" w:lineRule="exact"/>
        <w:ind w:left="918"/>
      </w:pPr>
      <w:r>
        <w:rPr>
          <w:spacing w:val="-1"/>
        </w:rPr>
        <w:t>十三、建筑物照明通电试运行</w:t>
      </w:r>
    </w:p>
    <w:p>
      <w:pPr>
        <w:pStyle w:val="BodyText"/>
        <w:spacing w:before="7"/>
        <w:ind w:left="0"/>
        <w:rPr>
          <w:sz w:val="20"/>
        </w:rPr>
      </w:pPr>
    </w:p>
    <w:p>
      <w:pPr>
        <w:pStyle w:val="BodyText"/>
        <w:spacing w:line="417" w:lineRule="auto"/>
        <w:ind w:left="918" w:right="3767"/>
      </w:pPr>
      <w:r>
        <w:rPr>
          <w:spacing w:val="-2"/>
        </w:rPr>
        <w:t>十四、防雷、接地、等电位安装监理要点</w:t>
      </w:r>
      <w:r>
        <w:rPr>
          <w:spacing w:val="-2"/>
        </w:rPr>
        <w:t>十五、工程监理资料要求</w:t>
      </w:r>
    </w:p>
    <w:p>
      <w:pPr>
        <w:spacing w:after="0" w:line="417" w:lineRule="auto"/>
        <w:sectPr>
          <w:pgSz w:w="11910" w:h="16840"/>
          <w:pgMar w:top="1520" w:right="940" w:bottom="280" w:left="1240" w:header="708" w:footer="708"/>
          <w:pgNumType w:start="2"/>
          <w:cols w:space="708"/>
        </w:sectPr>
      </w:pPr>
    </w:p>
    <w:p>
      <w:pPr>
        <w:pStyle w:val="BodyText"/>
        <w:spacing w:before="37"/>
      </w:pPr>
      <w:r>
        <w:rPr>
          <w:spacing w:val="-1"/>
        </w:rPr>
        <w:t>第四章、对本工程的安全文明施工监理要求</w:t>
      </w:r>
    </w:p>
    <w:p>
      <w:pPr>
        <w:spacing w:after="0"/>
        <w:sectPr>
          <w:pgSz w:w="11910" w:h="16840"/>
          <w:pgMar w:top="1520" w:right="940" w:bottom="280" w:left="1240" w:header="708" w:footer="708"/>
          <w:pgNumType w:start="3"/>
          <w:cols w:space="708"/>
        </w:sectPr>
      </w:pPr>
    </w:p>
    <w:p>
      <w:pPr>
        <w:pStyle w:val="Heading1"/>
      </w:pPr>
      <w:r>
        <w:t>第一章</w:t>
      </w:r>
      <w:r>
        <w:rPr>
          <w:spacing w:val="48"/>
          <w:w w:val="150"/>
        </w:rPr>
        <w:t xml:space="preserve"> </w:t>
      </w:r>
      <w:r>
        <w:rPr>
          <w:spacing w:val="-2"/>
        </w:rPr>
        <w:t>工程概况及编制依据</w:t>
      </w:r>
    </w:p>
    <w:p>
      <w:pPr>
        <w:spacing w:before="126"/>
        <w:ind w:left="114" w:right="0" w:firstLine="0"/>
        <w:jc w:val="left"/>
        <w:rPr>
          <w:i/>
          <w:sz w:val="28"/>
        </w:rPr>
      </w:pPr>
      <w:r>
        <w:rPr>
          <w:i/>
          <w:spacing w:val="-1"/>
          <w:sz w:val="28"/>
        </w:rPr>
        <w:t>一、工程概况及工作内容：</w:t>
      </w:r>
    </w:p>
    <w:p>
      <w:pPr>
        <w:pStyle w:val="BodyText"/>
        <w:spacing w:before="10"/>
        <w:ind w:left="0"/>
        <w:rPr>
          <w:i/>
          <w:sz w:val="25"/>
        </w:rPr>
      </w:pPr>
    </w:p>
    <w:p>
      <w:pPr>
        <w:pStyle w:val="ListParagraph"/>
        <w:numPr>
          <w:ilvl w:val="0"/>
          <w:numId w:val="21"/>
        </w:numPr>
        <w:tabs>
          <w:tab w:val="left" w:pos="635"/>
          <w:tab w:val="left" w:pos="636"/>
        </w:tabs>
        <w:spacing w:before="0" w:after="0" w:line="240" w:lineRule="auto"/>
        <w:ind w:left="635" w:right="0" w:hanging="436"/>
        <w:jc w:val="left"/>
        <w:rPr>
          <w:i/>
          <w:sz w:val="28"/>
        </w:rPr>
      </w:pPr>
      <w:r>
        <w:rPr>
          <w:i/>
          <w:spacing w:val="-2"/>
          <w:sz w:val="28"/>
        </w:rPr>
        <w:t>工程名称：</w:t>
      </w:r>
    </w:p>
    <w:p>
      <w:pPr>
        <w:pStyle w:val="ListParagraph"/>
        <w:numPr>
          <w:ilvl w:val="0"/>
          <w:numId w:val="21"/>
        </w:numPr>
        <w:tabs>
          <w:tab w:val="left" w:pos="635"/>
          <w:tab w:val="left" w:pos="636"/>
        </w:tabs>
        <w:spacing w:before="241" w:after="0" w:line="240" w:lineRule="auto"/>
        <w:ind w:left="635" w:right="0" w:hanging="436"/>
        <w:jc w:val="left"/>
        <w:rPr>
          <w:i/>
          <w:sz w:val="28"/>
        </w:rPr>
      </w:pPr>
      <w:r>
        <w:rPr>
          <w:i/>
          <w:spacing w:val="-2"/>
          <w:sz w:val="28"/>
        </w:rPr>
        <w:t>工程地点：</w:t>
      </w:r>
    </w:p>
    <w:p>
      <w:pPr>
        <w:pStyle w:val="ListParagraph"/>
        <w:numPr>
          <w:ilvl w:val="0"/>
          <w:numId w:val="21"/>
        </w:numPr>
        <w:tabs>
          <w:tab w:val="left" w:pos="635"/>
          <w:tab w:val="left" w:pos="636"/>
        </w:tabs>
        <w:spacing w:before="242" w:after="0" w:line="240" w:lineRule="auto"/>
        <w:ind w:left="635" w:right="0" w:hanging="436"/>
        <w:jc w:val="left"/>
        <w:rPr>
          <w:i/>
          <w:sz w:val="28"/>
        </w:rPr>
      </w:pPr>
      <w:r>
        <w:rPr>
          <w:i/>
          <w:spacing w:val="-7"/>
          <w:sz w:val="28"/>
        </w:rPr>
        <w:t xml:space="preserve">建设规模：总建筑面积 </w:t>
      </w:r>
      <w:r>
        <w:rPr>
          <w:rFonts w:ascii="Calibri" w:eastAsia="Calibri"/>
          <w:sz w:val="28"/>
        </w:rPr>
        <w:t>5400</w:t>
      </w:r>
      <w:r>
        <w:rPr>
          <w:rFonts w:ascii="Calibri" w:eastAsia="Calibri"/>
          <w:spacing w:val="5"/>
          <w:sz w:val="28"/>
        </w:rPr>
        <w:t xml:space="preserve"> </w:t>
      </w:r>
      <w:r>
        <w:rPr>
          <w:i/>
          <w:spacing w:val="-3"/>
          <w:sz w:val="28"/>
        </w:rPr>
        <w:t>平方米。</w:t>
      </w:r>
    </w:p>
    <w:p>
      <w:pPr>
        <w:pStyle w:val="ListParagraph"/>
        <w:numPr>
          <w:ilvl w:val="0"/>
          <w:numId w:val="21"/>
        </w:numPr>
        <w:tabs>
          <w:tab w:val="left" w:pos="636"/>
        </w:tabs>
        <w:spacing w:before="241" w:after="0" w:line="240" w:lineRule="auto"/>
        <w:ind w:left="635" w:right="0" w:hanging="436"/>
        <w:jc w:val="both"/>
        <w:rPr>
          <w:i/>
          <w:sz w:val="28"/>
        </w:rPr>
      </w:pPr>
      <w:r>
        <w:rPr>
          <w:i/>
          <w:spacing w:val="-7"/>
          <w:sz w:val="28"/>
        </w:rPr>
        <w:t xml:space="preserve">建筑高度：建筑高度 </w:t>
      </w:r>
      <w:r>
        <w:rPr>
          <w:rFonts w:ascii="Calibri" w:eastAsia="Calibri"/>
          <w:sz w:val="28"/>
        </w:rPr>
        <w:t>1#</w:t>
      </w:r>
      <w:r>
        <w:rPr>
          <w:i/>
          <w:spacing w:val="-35"/>
          <w:sz w:val="28"/>
        </w:rPr>
        <w:t xml:space="preserve">楼 </w:t>
      </w:r>
      <w:r>
        <w:rPr>
          <w:rFonts w:ascii="Calibri" w:eastAsia="Calibri"/>
          <w:sz w:val="28"/>
        </w:rPr>
        <w:t>10.6</w:t>
      </w:r>
      <w:r>
        <w:rPr>
          <w:rFonts w:ascii="Calibri" w:eastAsia="Calibri"/>
          <w:spacing w:val="4"/>
          <w:sz w:val="28"/>
        </w:rPr>
        <w:t xml:space="preserve"> </w:t>
      </w:r>
      <w:r>
        <w:rPr>
          <w:i/>
          <w:sz w:val="28"/>
        </w:rPr>
        <w:t>米，</w:t>
      </w:r>
      <w:r>
        <w:rPr>
          <w:rFonts w:ascii="Calibri" w:eastAsia="Calibri"/>
          <w:sz w:val="28"/>
        </w:rPr>
        <w:t>2</w:t>
      </w:r>
      <w:r>
        <w:rPr>
          <w:i/>
          <w:sz w:val="28"/>
        </w:rPr>
        <w:t>、</w:t>
      </w:r>
      <w:r>
        <w:rPr>
          <w:rFonts w:ascii="Calibri" w:eastAsia="Calibri"/>
          <w:sz w:val="28"/>
        </w:rPr>
        <w:t>3</w:t>
      </w:r>
      <w:r>
        <w:rPr>
          <w:i/>
          <w:sz w:val="28"/>
        </w:rPr>
        <w:t>、</w:t>
      </w:r>
      <w:r>
        <w:rPr>
          <w:rFonts w:ascii="Calibri" w:eastAsia="Calibri"/>
          <w:sz w:val="28"/>
        </w:rPr>
        <w:t>4</w:t>
      </w:r>
      <w:r>
        <w:rPr>
          <w:i/>
          <w:sz w:val="28"/>
        </w:rPr>
        <w:t>、</w:t>
      </w:r>
      <w:r>
        <w:rPr>
          <w:rFonts w:ascii="Calibri" w:eastAsia="Calibri"/>
          <w:sz w:val="28"/>
        </w:rPr>
        <w:t>5</w:t>
      </w:r>
      <w:r>
        <w:rPr>
          <w:rFonts w:ascii="Calibri" w:eastAsia="Calibri"/>
          <w:spacing w:val="6"/>
          <w:sz w:val="28"/>
        </w:rPr>
        <w:t xml:space="preserve"> </w:t>
      </w:r>
      <w:r>
        <w:rPr>
          <w:i/>
          <w:spacing w:val="-24"/>
          <w:sz w:val="28"/>
        </w:rPr>
        <w:t xml:space="preserve">号楼 </w:t>
      </w:r>
      <w:r>
        <w:rPr>
          <w:rFonts w:ascii="Calibri" w:eastAsia="Calibri"/>
          <w:sz w:val="28"/>
        </w:rPr>
        <w:t>9.9</w:t>
      </w:r>
      <w:r>
        <w:rPr>
          <w:rFonts w:ascii="Calibri" w:eastAsia="Calibri"/>
          <w:spacing w:val="6"/>
          <w:sz w:val="28"/>
        </w:rPr>
        <w:t xml:space="preserve"> </w:t>
      </w:r>
      <w:r>
        <w:rPr>
          <w:i/>
          <w:spacing w:val="-5"/>
          <w:sz w:val="28"/>
        </w:rPr>
        <w:t>米。</w:t>
      </w:r>
    </w:p>
    <w:p>
      <w:pPr>
        <w:pStyle w:val="ListParagraph"/>
        <w:numPr>
          <w:ilvl w:val="0"/>
          <w:numId w:val="21"/>
        </w:numPr>
        <w:tabs>
          <w:tab w:val="left" w:pos="636"/>
        </w:tabs>
        <w:spacing w:before="241" w:after="0" w:line="400" w:lineRule="auto"/>
        <w:ind w:left="635" w:right="523" w:hanging="435"/>
        <w:jc w:val="both"/>
        <w:rPr>
          <w:i/>
          <w:sz w:val="28"/>
        </w:rPr>
      </w:pPr>
      <w:r>
        <w:rPr>
          <w:i/>
          <w:spacing w:val="-7"/>
          <w:sz w:val="28"/>
        </w:rPr>
        <w:t xml:space="preserve">工程类型：结构类型：框架结构，抗震设防烈度为 </w:t>
      </w:r>
      <w:r>
        <w:rPr>
          <w:rFonts w:ascii="Calibri" w:eastAsia="Calibri"/>
          <w:spacing w:val="-6"/>
          <w:sz w:val="28"/>
        </w:rPr>
        <w:t>7</w:t>
      </w:r>
      <w:r>
        <w:rPr>
          <w:rFonts w:ascii="Calibri" w:eastAsia="Calibri"/>
          <w:spacing w:val="1"/>
          <w:sz w:val="28"/>
        </w:rPr>
        <w:t xml:space="preserve"> </w:t>
      </w:r>
      <w:r>
        <w:rPr>
          <w:i/>
          <w:spacing w:val="-6"/>
          <w:sz w:val="28"/>
        </w:rPr>
        <w:t>度，建筑物耐火等</w:t>
      </w:r>
      <w:r>
        <w:rPr>
          <w:i/>
          <w:spacing w:val="-3"/>
          <w:sz w:val="28"/>
        </w:rPr>
        <w:t xml:space="preserve">级为一级，设计使用年限为 </w:t>
      </w:r>
      <w:r>
        <w:rPr>
          <w:rFonts w:ascii="Calibri" w:eastAsia="Calibri"/>
          <w:sz w:val="28"/>
        </w:rPr>
        <w:t>50</w:t>
      </w:r>
      <w:r>
        <w:rPr>
          <w:rFonts w:ascii="Calibri" w:eastAsia="Calibri"/>
          <w:spacing w:val="-16"/>
          <w:sz w:val="28"/>
        </w:rPr>
        <w:t xml:space="preserve"> </w:t>
      </w:r>
      <w:r>
        <w:rPr>
          <w:i/>
          <w:sz w:val="28"/>
        </w:rPr>
        <w:t>年，建筑抗震类别：丙类，结构安全等</w:t>
      </w:r>
      <w:r>
        <w:rPr>
          <w:i/>
          <w:spacing w:val="-2"/>
          <w:sz w:val="28"/>
        </w:rPr>
        <w:t>级：二级。</w:t>
      </w:r>
    </w:p>
    <w:p>
      <w:pPr>
        <w:spacing w:before="99" w:line="482" w:lineRule="auto"/>
        <w:ind w:left="200" w:right="524" w:firstLine="537"/>
        <w:jc w:val="both"/>
        <w:rPr>
          <w:i/>
          <w:sz w:val="28"/>
        </w:rPr>
      </w:pPr>
      <w:r>
        <w:rPr>
          <w:i/>
          <w:spacing w:val="-2"/>
          <w:sz w:val="28"/>
        </w:rPr>
        <w:t>本工程工作内容：电气、给排水、消防系统。施工期间严格按照市环</w:t>
      </w:r>
      <w:r>
        <w:rPr>
          <w:i/>
          <w:spacing w:val="-2"/>
          <w:sz w:val="28"/>
        </w:rPr>
        <w:t>境保护和文明施工的要求执行，控制噪声、粉尘污染，减少施工干扰，确</w:t>
      </w:r>
      <w:r>
        <w:rPr>
          <w:i/>
          <w:spacing w:val="-2"/>
          <w:sz w:val="28"/>
        </w:rPr>
        <w:t>保周围环境质量满足卫生环境要求。</w:t>
      </w:r>
    </w:p>
    <w:p>
      <w:pPr>
        <w:spacing w:before="0" w:line="259" w:lineRule="exact"/>
        <w:ind w:left="620" w:right="0" w:firstLine="0"/>
        <w:jc w:val="left"/>
        <w:rPr>
          <w:i/>
          <w:sz w:val="28"/>
        </w:rPr>
      </w:pPr>
      <w:r>
        <w:rPr>
          <w:sz w:val="28"/>
        </w:rPr>
        <w:t>6</w:t>
      </w:r>
      <w:r>
        <w:rPr>
          <w:i/>
          <w:spacing w:val="-1"/>
          <w:sz w:val="28"/>
        </w:rPr>
        <w:t>、因本工程为检察院监视居所，故此，在嫌疑人居住楼，有特殊要求，</w:t>
      </w:r>
    </w:p>
    <w:p>
      <w:pPr>
        <w:spacing w:before="241" w:line="465" w:lineRule="auto"/>
        <w:ind w:left="200" w:right="2945" w:firstLine="420"/>
        <w:jc w:val="left"/>
        <w:rPr>
          <w:i/>
          <w:sz w:val="28"/>
        </w:rPr>
      </w:pPr>
      <w:r>
        <w:rPr>
          <w:i/>
          <w:spacing w:val="-2"/>
          <w:sz w:val="28"/>
        </w:rPr>
        <w:t>按检察院规定进行操作。在本细则不做具体描述。</w:t>
      </w:r>
      <w:r>
        <w:rPr>
          <w:i/>
          <w:spacing w:val="-2"/>
          <w:sz w:val="28"/>
        </w:rPr>
        <w:t>二、编制依据：</w:t>
      </w:r>
    </w:p>
    <w:p>
      <w:pPr>
        <w:spacing w:before="24"/>
        <w:ind w:left="737" w:right="0" w:firstLine="0"/>
        <w:jc w:val="left"/>
        <w:rPr>
          <w:i/>
          <w:sz w:val="28"/>
        </w:rPr>
      </w:pPr>
      <w:r>
        <w:rPr>
          <w:sz w:val="28"/>
        </w:rPr>
        <w:t>1</w:t>
      </w:r>
      <w:r>
        <w:rPr>
          <w:i/>
          <w:spacing w:val="-1"/>
          <w:sz w:val="28"/>
        </w:rPr>
        <w:t>、《建筑工程施工质量验收统一标准》</w:t>
      </w:r>
    </w:p>
    <w:p>
      <w:pPr>
        <w:pStyle w:val="BodyText"/>
        <w:spacing w:before="2"/>
        <w:ind w:left="0"/>
        <w:rPr>
          <w:i/>
        </w:rPr>
      </w:pPr>
    </w:p>
    <w:p>
      <w:pPr>
        <w:spacing w:before="0"/>
        <w:ind w:left="737" w:right="0" w:firstLine="0"/>
        <w:jc w:val="left"/>
        <w:rPr>
          <w:i/>
          <w:sz w:val="28"/>
        </w:rPr>
      </w:pPr>
      <w:r>
        <w:rPr>
          <w:sz w:val="28"/>
        </w:rPr>
        <w:t>2</w:t>
      </w:r>
      <w:r>
        <w:rPr>
          <w:i/>
          <w:spacing w:val="-1"/>
          <w:sz w:val="28"/>
        </w:rPr>
        <w:t>、《建筑给排水及采暖工程施工验收规范》</w:t>
      </w:r>
    </w:p>
    <w:p>
      <w:pPr>
        <w:pStyle w:val="BodyText"/>
        <w:spacing w:before="3"/>
        <w:ind w:left="0"/>
        <w:rPr>
          <w:i/>
        </w:rPr>
      </w:pPr>
    </w:p>
    <w:p>
      <w:pPr>
        <w:spacing w:before="0"/>
        <w:ind w:left="737" w:right="0" w:firstLine="0"/>
        <w:jc w:val="left"/>
        <w:rPr>
          <w:i/>
          <w:sz w:val="28"/>
        </w:rPr>
      </w:pPr>
      <w:r>
        <w:rPr>
          <w:sz w:val="28"/>
        </w:rPr>
        <w:t>3</w:t>
      </w:r>
      <w:r>
        <w:rPr>
          <w:i/>
          <w:spacing w:val="-1"/>
          <w:sz w:val="28"/>
        </w:rPr>
        <w:t>、《建筑电气安装工程施工质量验收规范》</w:t>
      </w:r>
    </w:p>
    <w:p>
      <w:pPr>
        <w:pStyle w:val="BodyText"/>
        <w:spacing w:before="2"/>
        <w:ind w:left="0"/>
        <w:rPr>
          <w:i/>
        </w:rPr>
      </w:pPr>
    </w:p>
    <w:p>
      <w:pPr>
        <w:spacing w:before="0"/>
        <w:ind w:left="737" w:right="0" w:firstLine="0"/>
        <w:jc w:val="left"/>
        <w:rPr>
          <w:i/>
          <w:sz w:val="28"/>
        </w:rPr>
      </w:pPr>
      <w:r>
        <w:rPr>
          <w:sz w:val="28"/>
        </w:rPr>
        <w:t>4</w:t>
      </w:r>
      <w:r>
        <w:rPr>
          <w:i/>
          <w:spacing w:val="-1"/>
          <w:sz w:val="28"/>
        </w:rPr>
        <w:t>、《施工现场临时用电安全技术规范》</w:t>
      </w:r>
    </w:p>
    <w:p>
      <w:pPr>
        <w:pStyle w:val="BodyText"/>
        <w:spacing w:before="3"/>
        <w:ind w:left="0"/>
        <w:rPr>
          <w:i/>
        </w:rPr>
      </w:pPr>
    </w:p>
    <w:p>
      <w:pPr>
        <w:spacing w:before="0"/>
        <w:ind w:left="737" w:right="0" w:firstLine="0"/>
        <w:jc w:val="left"/>
        <w:rPr>
          <w:i/>
          <w:sz w:val="28"/>
        </w:rPr>
      </w:pPr>
      <w:r>
        <w:rPr>
          <w:sz w:val="28"/>
        </w:rPr>
        <w:t>5</w:t>
      </w:r>
      <w:r>
        <w:rPr>
          <w:i/>
          <w:spacing w:val="-1"/>
          <w:sz w:val="28"/>
        </w:rPr>
        <w:t>、《电气装置安装工程施工验收规范》</w:t>
      </w:r>
    </w:p>
    <w:p>
      <w:pPr>
        <w:pStyle w:val="BodyText"/>
        <w:spacing w:before="2"/>
        <w:ind w:left="0"/>
        <w:rPr>
          <w:i/>
        </w:rPr>
      </w:pPr>
    </w:p>
    <w:p>
      <w:pPr>
        <w:spacing w:before="0"/>
        <w:ind w:left="737" w:right="0" w:firstLine="0"/>
        <w:jc w:val="left"/>
        <w:rPr>
          <w:i/>
          <w:sz w:val="28"/>
        </w:rPr>
      </w:pPr>
      <w:r>
        <w:rPr>
          <w:sz w:val="28"/>
        </w:rPr>
        <w:t>6</w:t>
      </w:r>
      <w:r>
        <w:rPr>
          <w:i/>
          <w:spacing w:val="-1"/>
          <w:sz w:val="28"/>
        </w:rPr>
        <w:t>、《自动喷水灭火系统施工及验收规范》</w:t>
      </w:r>
    </w:p>
    <w:p>
      <w:pPr>
        <w:spacing w:after="0"/>
        <w:jc w:val="left"/>
        <w:rPr>
          <w:sz w:val="28"/>
        </w:rPr>
        <w:sectPr>
          <w:pgSz w:w="11910" w:h="16840"/>
          <w:pgMar w:top="1660" w:right="940" w:bottom="280" w:left="1240" w:header="708" w:footer="708"/>
          <w:pgNumType w:start="4"/>
          <w:cols w:space="708"/>
        </w:sectPr>
      </w:pPr>
    </w:p>
    <w:p>
      <w:pPr>
        <w:spacing w:before="38"/>
        <w:ind w:left="737" w:right="0" w:firstLine="0"/>
        <w:jc w:val="left"/>
        <w:rPr>
          <w:i/>
          <w:sz w:val="28"/>
        </w:rPr>
      </w:pPr>
      <w:r>
        <w:rPr>
          <w:sz w:val="28"/>
        </w:rPr>
        <w:t>7</w:t>
      </w:r>
      <w:r>
        <w:rPr>
          <w:i/>
          <w:spacing w:val="-1"/>
          <w:sz w:val="28"/>
        </w:rPr>
        <w:t>、《火灾自动报警系统施工及验收规范》</w:t>
      </w:r>
    </w:p>
    <w:p>
      <w:pPr>
        <w:pStyle w:val="BodyText"/>
        <w:spacing w:before="2"/>
        <w:ind w:left="0"/>
        <w:rPr>
          <w:i/>
        </w:rPr>
      </w:pPr>
    </w:p>
    <w:p>
      <w:pPr>
        <w:spacing w:before="0"/>
        <w:ind w:left="737" w:right="0" w:firstLine="0"/>
        <w:jc w:val="left"/>
        <w:rPr>
          <w:i/>
          <w:sz w:val="28"/>
        </w:rPr>
      </w:pPr>
      <w:r>
        <w:rPr>
          <w:sz w:val="28"/>
        </w:rPr>
        <w:t>8</w:t>
      </w:r>
      <w:r>
        <w:rPr>
          <w:i/>
          <w:spacing w:val="-1"/>
          <w:sz w:val="28"/>
        </w:rPr>
        <w:t>、《通风与空调工程施工质量验收规范》</w:t>
      </w:r>
    </w:p>
    <w:p>
      <w:pPr>
        <w:pStyle w:val="BodyText"/>
        <w:spacing w:before="3"/>
        <w:ind w:left="0"/>
        <w:rPr>
          <w:i/>
        </w:rPr>
      </w:pPr>
    </w:p>
    <w:p>
      <w:pPr>
        <w:spacing w:before="0"/>
        <w:ind w:left="737" w:right="0" w:firstLine="0"/>
        <w:jc w:val="left"/>
        <w:rPr>
          <w:i/>
          <w:sz w:val="28"/>
        </w:rPr>
      </w:pPr>
      <w:r>
        <w:rPr>
          <w:sz w:val="28"/>
        </w:rPr>
        <w:t>9</w:t>
      </w:r>
      <w:r>
        <w:rPr>
          <w:i/>
          <w:spacing w:val="-2"/>
          <w:sz w:val="28"/>
        </w:rPr>
        <w:t>、图纸设计文件</w:t>
      </w:r>
    </w:p>
    <w:p>
      <w:pPr>
        <w:pStyle w:val="Heading1"/>
        <w:spacing w:before="242" w:line="240" w:lineRule="auto"/>
      </w:pPr>
      <w:r>
        <w:t>第二章</w:t>
      </w:r>
      <w:r>
        <w:rPr>
          <w:spacing w:val="52"/>
          <w:w w:val="150"/>
        </w:rPr>
        <w:t xml:space="preserve"> </w:t>
      </w:r>
      <w:r>
        <w:rPr>
          <w:spacing w:val="-1"/>
        </w:rPr>
        <w:t>监理控制目标及监理控制措施</w:t>
      </w:r>
    </w:p>
    <w:p>
      <w:pPr>
        <w:pStyle w:val="BodyText"/>
        <w:spacing w:before="11"/>
        <w:ind w:left="0"/>
        <w:rPr>
          <w:rFonts w:ascii="Microsoft JhengHei"/>
          <w:b/>
          <w:sz w:val="15"/>
        </w:rPr>
      </w:pPr>
    </w:p>
    <w:p>
      <w:pPr>
        <w:spacing w:before="0"/>
        <w:ind w:left="737" w:right="0" w:firstLine="0"/>
        <w:jc w:val="left"/>
        <w:rPr>
          <w:i/>
          <w:sz w:val="28"/>
        </w:rPr>
      </w:pPr>
      <w:r>
        <w:rPr>
          <w:i/>
          <w:spacing w:val="-2"/>
          <w:sz w:val="28"/>
        </w:rPr>
        <w:t>一、监理控制目标：</w:t>
      </w:r>
    </w:p>
    <w:p>
      <w:pPr>
        <w:pStyle w:val="BodyText"/>
        <w:spacing w:before="3"/>
        <w:ind w:left="0"/>
        <w:rPr>
          <w:i/>
        </w:rPr>
      </w:pPr>
    </w:p>
    <w:p>
      <w:pPr>
        <w:spacing w:before="0" w:line="482" w:lineRule="auto"/>
        <w:ind w:left="200" w:right="524" w:firstLine="537"/>
        <w:jc w:val="both"/>
        <w:rPr>
          <w:i/>
          <w:sz w:val="28"/>
        </w:rPr>
      </w:pPr>
      <w:r>
        <w:rPr>
          <w:i/>
          <w:spacing w:val="-2"/>
          <w:sz w:val="28"/>
        </w:rPr>
        <w:t>专业监理工程师对工程中的主楼给排水系统安装、地下室给排水系统</w:t>
      </w:r>
      <w:r>
        <w:rPr>
          <w:i/>
          <w:spacing w:val="-2"/>
          <w:sz w:val="28"/>
        </w:rPr>
        <w:t>安装、卫生器具安装、门卫及室外消防系统、暖通系统、消火栓系统、地</w:t>
      </w:r>
      <w:r>
        <w:rPr>
          <w:i/>
          <w:spacing w:val="-2"/>
          <w:sz w:val="28"/>
        </w:rPr>
        <w:t>下室喷淋系统，动力、照明、防雷接地等安装工程实行全方位监理，并根</w:t>
      </w:r>
      <w:r>
        <w:rPr>
          <w:i/>
          <w:spacing w:val="-2"/>
          <w:sz w:val="28"/>
        </w:rPr>
        <w:t>据设计文件、国家规范、规程等有关规定的要求，制止不能保证工程质量</w:t>
      </w:r>
      <w:r>
        <w:rPr>
          <w:i/>
          <w:spacing w:val="-2"/>
          <w:sz w:val="28"/>
        </w:rPr>
        <w:t>的施工方法；进行中间验收，会同建设单位签认有关工程变更事项。</w:t>
      </w:r>
    </w:p>
    <w:p>
      <w:pPr>
        <w:spacing w:before="0" w:line="353" w:lineRule="exact"/>
        <w:ind w:left="737" w:right="0" w:firstLine="0"/>
        <w:jc w:val="left"/>
        <w:rPr>
          <w:i/>
          <w:sz w:val="28"/>
        </w:rPr>
      </w:pPr>
      <w:r>
        <w:rPr>
          <w:i/>
          <w:spacing w:val="-1"/>
          <w:sz w:val="28"/>
        </w:rPr>
        <w:t>二、 监理工作方法及控制措施：</w:t>
      </w:r>
    </w:p>
    <w:p>
      <w:pPr>
        <w:pStyle w:val="BodyText"/>
        <w:spacing w:before="2"/>
        <w:ind w:left="0"/>
        <w:rPr>
          <w:i/>
        </w:rPr>
      </w:pPr>
    </w:p>
    <w:p>
      <w:pPr>
        <w:spacing w:before="0" w:line="482" w:lineRule="auto"/>
        <w:ind w:left="200" w:right="244" w:firstLine="537"/>
        <w:jc w:val="left"/>
        <w:rPr>
          <w:i/>
          <w:sz w:val="28"/>
        </w:rPr>
      </w:pPr>
      <w:r>
        <w:rPr>
          <w:i/>
          <w:spacing w:val="-2"/>
          <w:sz w:val="28"/>
        </w:rPr>
        <w:t>监理工程师每天要巡视工地。值班监理人员经常检查现场施工情况，</w:t>
      </w:r>
      <w:r>
        <w:rPr>
          <w:i/>
          <w:spacing w:val="40"/>
          <w:sz w:val="28"/>
        </w:rPr>
        <w:t xml:space="preserve"> </w:t>
      </w:r>
      <w:r>
        <w:rPr>
          <w:i/>
          <w:spacing w:val="-2"/>
          <w:sz w:val="28"/>
        </w:rPr>
        <w:t>填写监理日志和质量监控表。对施工过程需要严密控制的，实行旁站监理，</w:t>
      </w:r>
      <w:r>
        <w:rPr>
          <w:i/>
          <w:spacing w:val="-2"/>
          <w:sz w:val="28"/>
        </w:rPr>
        <w:t>监督施工人员按规程操作。发现问题立即要求管理人员采取措施，及时纠</w:t>
      </w:r>
      <w:r>
        <w:rPr>
          <w:i/>
          <w:spacing w:val="40"/>
          <w:sz w:val="28"/>
        </w:rPr>
        <w:t xml:space="preserve"> </w:t>
      </w:r>
      <w:r>
        <w:rPr>
          <w:i/>
          <w:spacing w:val="-2"/>
          <w:sz w:val="28"/>
        </w:rPr>
        <w:t>正，确保工程质量。</w:t>
      </w:r>
    </w:p>
    <w:p>
      <w:pPr>
        <w:spacing w:before="0" w:line="482" w:lineRule="auto"/>
        <w:ind w:left="200" w:right="244" w:firstLine="537"/>
        <w:jc w:val="left"/>
        <w:rPr>
          <w:i/>
          <w:sz w:val="28"/>
        </w:rPr>
      </w:pPr>
      <w:r>
        <w:rPr>
          <w:i/>
          <w:spacing w:val="-2"/>
          <w:sz w:val="28"/>
        </w:rPr>
        <w:t>事前质量监理控制方法及措施：参加图纸会审，把施工图中出现的差</w:t>
      </w:r>
      <w:r>
        <w:rPr>
          <w:i/>
          <w:spacing w:val="40"/>
          <w:sz w:val="28"/>
        </w:rPr>
        <w:t xml:space="preserve"> </w:t>
      </w:r>
      <w:r>
        <w:rPr>
          <w:i/>
          <w:spacing w:val="-2"/>
          <w:sz w:val="28"/>
        </w:rPr>
        <w:t>错、遗漏消灭在图纸阶段。把不能施工或难以施工的问题提出，要求设计</w:t>
      </w:r>
      <w:r>
        <w:rPr>
          <w:i/>
          <w:spacing w:val="40"/>
          <w:sz w:val="28"/>
        </w:rPr>
        <w:t xml:space="preserve"> </w:t>
      </w:r>
      <w:r>
        <w:rPr>
          <w:i/>
          <w:spacing w:val="-2"/>
          <w:sz w:val="28"/>
        </w:rPr>
        <w:t>部门修改图纸，便于保证施工质量。认真审查承包商提交的施工组织设计，</w:t>
      </w:r>
      <w:r>
        <w:rPr>
          <w:i/>
          <w:spacing w:val="-2"/>
          <w:sz w:val="28"/>
        </w:rPr>
        <w:t>重点审查有无可靠的组织与技术措施，有无完整的质保体系，施工工序、</w:t>
      </w:r>
    </w:p>
    <w:p>
      <w:pPr>
        <w:spacing w:after="0" w:line="482" w:lineRule="auto"/>
        <w:jc w:val="left"/>
        <w:rPr>
          <w:sz w:val="28"/>
        </w:rPr>
        <w:sectPr>
          <w:pgSz w:w="11910" w:h="16840"/>
          <w:pgMar w:top="1680" w:right="940" w:bottom="280" w:left="1240" w:header="708" w:footer="708"/>
          <w:pgNumType w:start="5"/>
          <w:cols w:space="708"/>
        </w:sectPr>
      </w:pPr>
    </w:p>
    <w:p>
      <w:pPr>
        <w:spacing w:before="38" w:line="482" w:lineRule="auto"/>
        <w:ind w:left="200" w:right="524" w:firstLine="0"/>
        <w:jc w:val="left"/>
        <w:rPr>
          <w:i/>
          <w:sz w:val="28"/>
        </w:rPr>
      </w:pPr>
      <w:r>
        <w:rPr>
          <w:i/>
          <w:spacing w:val="-2"/>
          <w:sz w:val="28"/>
        </w:rPr>
        <w:t>施工方法是否切实可行，重要岗位的技术工人有无上岗证明。对重要的分</w:t>
      </w:r>
      <w:r>
        <w:rPr>
          <w:i/>
          <w:spacing w:val="-2"/>
          <w:sz w:val="28"/>
        </w:rPr>
        <w:t>项工程、重要的施工工序、技术关键部位是</w:t>
      </w:r>
    </w:p>
    <w:p>
      <w:pPr>
        <w:spacing w:before="0" w:line="482" w:lineRule="auto"/>
        <w:ind w:left="200" w:right="524" w:firstLine="537"/>
        <w:jc w:val="both"/>
        <w:rPr>
          <w:i/>
          <w:sz w:val="28"/>
        </w:rPr>
      </w:pPr>
      <w:r>
        <w:rPr>
          <w:i/>
          <w:spacing w:val="-2"/>
          <w:sz w:val="28"/>
        </w:rPr>
        <w:t>否编制详细的施工方案。严格把好各水电及消防设备、器具、材料的</w:t>
      </w:r>
      <w:r>
        <w:rPr>
          <w:i/>
          <w:spacing w:val="-2"/>
          <w:sz w:val="28"/>
        </w:rPr>
        <w:t>质量关：凡进场的设备、材料和器具在进场报验时必须向监理提交符合要</w:t>
      </w:r>
      <w:r>
        <w:rPr>
          <w:i/>
          <w:sz w:val="28"/>
        </w:rPr>
        <w:t>求的质量保证书、合格证、生产许可证，同时提交材料报验单。 水电设</w:t>
      </w:r>
      <w:r>
        <w:rPr>
          <w:i/>
          <w:spacing w:val="-2"/>
          <w:sz w:val="28"/>
        </w:rPr>
        <w:t>备、器具、材料报验时监理根据现场条件进行外观及初步抽样检查，如管</w:t>
      </w:r>
      <w:r>
        <w:rPr>
          <w:i/>
          <w:spacing w:val="-2"/>
          <w:sz w:val="28"/>
        </w:rPr>
        <w:t>材壁厚等，若有异议可送有资质单位进行抽样检测，合格后方可在工程中</w:t>
      </w:r>
      <w:r>
        <w:rPr>
          <w:i/>
          <w:spacing w:val="-4"/>
          <w:sz w:val="28"/>
        </w:rPr>
        <w:t>使用。</w:t>
      </w:r>
    </w:p>
    <w:p>
      <w:pPr>
        <w:spacing w:before="0" w:line="482" w:lineRule="auto"/>
        <w:ind w:left="200" w:right="244" w:firstLine="537"/>
        <w:jc w:val="left"/>
        <w:rPr>
          <w:i/>
          <w:sz w:val="28"/>
        </w:rPr>
      </w:pPr>
      <w:r>
        <w:rPr>
          <w:i/>
          <w:sz w:val="28"/>
        </w:rPr>
        <w:t>事中质量监理控制方法及措施 ：根据施工进度，加强现场巡视检查，</w:t>
      </w:r>
      <w:r>
        <w:rPr>
          <w:i/>
          <w:spacing w:val="-2"/>
          <w:sz w:val="28"/>
        </w:rPr>
        <w:t>巡视重点为施工质量通病与规范中强制性条文执行情况。对重要部位、重</w:t>
      </w:r>
      <w:r>
        <w:rPr>
          <w:i/>
          <w:spacing w:val="40"/>
          <w:sz w:val="28"/>
        </w:rPr>
        <w:t xml:space="preserve"> </w:t>
      </w:r>
      <w:r>
        <w:rPr>
          <w:i/>
          <w:spacing w:val="-2"/>
          <w:sz w:val="28"/>
        </w:rPr>
        <w:t>要工序进行旁站监理，如通球、压力试验等。认真根据图纸、规范进行每</w:t>
      </w:r>
      <w:r>
        <w:rPr>
          <w:i/>
          <w:spacing w:val="40"/>
          <w:sz w:val="28"/>
        </w:rPr>
        <w:t xml:space="preserve"> </w:t>
      </w:r>
      <w:r>
        <w:rPr>
          <w:i/>
          <w:spacing w:val="-2"/>
          <w:sz w:val="28"/>
        </w:rPr>
        <w:t>一道工序的验收，发现问题及时更改补救，保证工程施工质量。</w:t>
      </w:r>
    </w:p>
    <w:p>
      <w:pPr>
        <w:spacing w:before="0" w:line="482" w:lineRule="auto"/>
        <w:ind w:left="200" w:right="524" w:firstLine="537"/>
        <w:jc w:val="both"/>
        <w:rPr>
          <w:i/>
          <w:sz w:val="28"/>
        </w:rPr>
      </w:pPr>
      <w:r>
        <w:rPr>
          <w:i/>
          <w:spacing w:val="-2"/>
          <w:sz w:val="28"/>
        </w:rPr>
        <w:t>事后质量监理控制方法及措施：给排水管道、卫生器具安装完成后，</w:t>
      </w:r>
      <w:r>
        <w:rPr>
          <w:i/>
          <w:spacing w:val="-2"/>
          <w:sz w:val="28"/>
        </w:rPr>
        <w:t>在交付使用前按要求做好给水管道清洗消毒、室内排水管道通球、卫生器</w:t>
      </w:r>
      <w:r>
        <w:rPr>
          <w:i/>
          <w:spacing w:val="-2"/>
          <w:sz w:val="28"/>
        </w:rPr>
        <w:t>具盛水、厨卫间盛水、给排水管道通水、地漏排水等相关试验，做好试验</w:t>
      </w:r>
      <w:r>
        <w:rPr>
          <w:i/>
          <w:spacing w:val="-2"/>
          <w:sz w:val="28"/>
        </w:rPr>
        <w:t>记录。电气线路、设备器具试运行后，加强观察与测试。注意各项电气参</w:t>
      </w:r>
      <w:r>
        <w:rPr>
          <w:i/>
          <w:spacing w:val="-2"/>
          <w:sz w:val="28"/>
        </w:rPr>
        <w:t>数是否稳定，对容易引起火灾的部位特别注意，发现问题及时进行整改，</w:t>
      </w:r>
      <w:r>
        <w:rPr>
          <w:i/>
          <w:spacing w:val="-2"/>
          <w:sz w:val="28"/>
        </w:rPr>
        <w:t>试运行前作好线缆绝缘电阻测试，作好防雷接地电阻测试等试验，并做好</w:t>
      </w:r>
      <w:r>
        <w:rPr>
          <w:i/>
          <w:spacing w:val="-2"/>
          <w:sz w:val="28"/>
        </w:rPr>
        <w:t>记录。做好工程竣工资料的的整理和收集工作。</w:t>
      </w:r>
    </w:p>
    <w:p>
      <w:pPr>
        <w:spacing w:after="0" w:line="482" w:lineRule="auto"/>
        <w:jc w:val="both"/>
        <w:rPr>
          <w:sz w:val="28"/>
        </w:rPr>
        <w:sectPr>
          <w:pgSz w:w="11910" w:h="16840"/>
          <w:pgMar w:top="1680" w:right="940" w:bottom="280" w:left="1240" w:header="708" w:footer="708"/>
          <w:pgNumType w:start="6"/>
          <w:cols w:space="708"/>
        </w:sectPr>
      </w:pPr>
    </w:p>
    <w:p>
      <w:pPr>
        <w:pStyle w:val="Heading1"/>
      </w:pPr>
      <w:r>
        <w:t>第三章</w:t>
      </w:r>
      <w:r>
        <w:rPr>
          <w:spacing w:val="45"/>
          <w:w w:val="150"/>
        </w:rPr>
        <w:t xml:space="preserve"> </w:t>
      </w:r>
      <w:r>
        <w:rPr>
          <w:spacing w:val="-2"/>
        </w:rPr>
        <w:t>监理控制要点</w:t>
      </w:r>
    </w:p>
    <w:p>
      <w:pPr>
        <w:pStyle w:val="BodyText"/>
        <w:spacing w:before="6"/>
        <w:ind w:left="0"/>
        <w:rPr>
          <w:rFonts w:ascii="Microsoft JhengHei"/>
          <w:b/>
          <w:sz w:val="12"/>
        </w:rPr>
      </w:pPr>
    </w:p>
    <w:p>
      <w:pPr>
        <w:pStyle w:val="BodyText"/>
        <w:spacing w:before="60"/>
        <w:ind w:left="737"/>
      </w:pPr>
      <w:r>
        <w:rPr>
          <w:spacing w:val="-2"/>
        </w:rPr>
        <w:t>一、质量控制：</w:t>
      </w:r>
    </w:p>
    <w:p>
      <w:pPr>
        <w:pStyle w:val="BodyText"/>
        <w:spacing w:before="3"/>
        <w:ind w:left="0"/>
      </w:pPr>
    </w:p>
    <w:p>
      <w:pPr>
        <w:pStyle w:val="BodyText"/>
        <w:spacing w:line="482" w:lineRule="auto"/>
        <w:ind w:right="524" w:firstLine="537"/>
      </w:pPr>
      <w:r>
        <w:t>1、 建筑水电工程施工现场应具有必要的施工技术标准、健全的质量</w:t>
      </w:r>
      <w:r>
        <w:rPr>
          <w:spacing w:val="-2"/>
        </w:rPr>
        <w:t>体系和工程质量检测制度，实现施工全过程质量控制。</w:t>
      </w:r>
    </w:p>
    <w:p>
      <w:pPr>
        <w:pStyle w:val="BodyText"/>
        <w:spacing w:line="482" w:lineRule="auto"/>
        <w:ind w:right="306" w:firstLine="537"/>
      </w:pPr>
      <w:r>
        <w:rPr>
          <w:spacing w:val="-2"/>
        </w:rPr>
        <w:t>2</w:t>
      </w:r>
      <w:r>
        <w:rPr>
          <w:spacing w:val="-15"/>
        </w:rPr>
        <w:t>、建筑水电施工应按照批准的工程设计文件和施工技术标准进行施工。</w:t>
      </w:r>
      <w:r>
        <w:rPr>
          <w:spacing w:val="-2"/>
        </w:rPr>
        <w:t>修改设计要求有设计单位出具的设计变更通知单。</w:t>
      </w:r>
    </w:p>
    <w:p>
      <w:pPr>
        <w:pStyle w:val="BodyText"/>
        <w:spacing w:line="482" w:lineRule="auto"/>
        <w:ind w:right="523" w:firstLine="537"/>
      </w:pPr>
      <w:r>
        <w:rPr>
          <w:spacing w:val="-4"/>
        </w:rPr>
        <w:t>3、建筑水电的施工要求编制施工组织设计或施工方案，经批准后方可</w:t>
      </w:r>
      <w:r>
        <w:rPr>
          <w:spacing w:val="-4"/>
        </w:rPr>
        <w:t>实施。</w:t>
      </w:r>
    </w:p>
    <w:p>
      <w:pPr>
        <w:pStyle w:val="BodyText"/>
        <w:spacing w:line="357" w:lineRule="exact"/>
        <w:ind w:left="737"/>
      </w:pPr>
      <w:r>
        <w:rPr>
          <w:spacing w:val="-2"/>
        </w:rPr>
        <w:t>二、材料控制：</w:t>
      </w:r>
    </w:p>
    <w:p>
      <w:pPr>
        <w:pStyle w:val="BodyText"/>
        <w:spacing w:before="11"/>
        <w:ind w:left="0"/>
        <w:rPr>
          <w:sz w:val="27"/>
        </w:rPr>
      </w:pPr>
    </w:p>
    <w:p>
      <w:pPr>
        <w:pStyle w:val="BodyText"/>
        <w:spacing w:line="482" w:lineRule="auto"/>
        <w:ind w:right="523" w:firstLine="537"/>
        <w:jc w:val="both"/>
      </w:pPr>
      <w:r>
        <w:rPr>
          <w:spacing w:val="-4"/>
        </w:rPr>
        <w:t>1、建筑给水、排水工程所使用的主要材料、成品、半成品、配件、器</w:t>
      </w:r>
      <w:r>
        <w:rPr>
          <w:spacing w:val="-2"/>
        </w:rPr>
        <w:t>具和设备必须具有中文质量合格证明文件，规格、型号及性能检测报告符</w:t>
      </w:r>
      <w:r>
        <w:rPr>
          <w:spacing w:val="-2"/>
        </w:rPr>
        <w:t>合国家技术标准或设计要求。</w:t>
      </w:r>
    </w:p>
    <w:p>
      <w:pPr>
        <w:pStyle w:val="BodyText"/>
        <w:spacing w:line="482" w:lineRule="auto"/>
        <w:ind w:right="523" w:firstLine="537"/>
      </w:pPr>
      <w:r>
        <w:rPr>
          <w:spacing w:val="-4"/>
        </w:rPr>
        <w:t>2、对所有进场的品种、规格、外观等进行验收，包装应完好，表面无</w:t>
      </w:r>
      <w:r>
        <w:rPr>
          <w:spacing w:val="-2"/>
        </w:rPr>
        <w:t>划痕及外力冲击破损。</w:t>
      </w:r>
    </w:p>
    <w:p>
      <w:pPr>
        <w:pStyle w:val="BodyText"/>
        <w:spacing w:line="482" w:lineRule="auto"/>
        <w:ind w:right="523" w:firstLine="537"/>
        <w:jc w:val="both"/>
      </w:pPr>
      <w:r>
        <w:rPr>
          <w:spacing w:val="-4"/>
        </w:rPr>
        <w:t>3、阀门安装前，做强度和严密性试验，试验应在每批（同牌号、同型号、同规格）数量中抽查10%，且并不少于1 个。对于安装在主干管上起切</w:t>
      </w:r>
      <w:r>
        <w:rPr>
          <w:spacing w:val="-2"/>
        </w:rPr>
        <w:t>断作用的闭路阀门，逐个作强度和严密性试验。</w:t>
      </w:r>
    </w:p>
    <w:p>
      <w:pPr>
        <w:pStyle w:val="BodyText"/>
        <w:spacing w:line="355" w:lineRule="exact"/>
        <w:ind w:left="737"/>
      </w:pPr>
      <w:r>
        <w:t>4</w:t>
      </w:r>
      <w:r>
        <w:rPr>
          <w:spacing w:val="-1"/>
        </w:rPr>
        <w:t>、主要设备、材料、成品、半成品进场检验，并做好验收记录。</w:t>
      </w:r>
    </w:p>
    <w:p>
      <w:pPr>
        <w:pStyle w:val="BodyText"/>
        <w:spacing w:before="10"/>
        <w:ind w:left="0"/>
        <w:rPr>
          <w:sz w:val="27"/>
        </w:rPr>
      </w:pPr>
    </w:p>
    <w:p>
      <w:pPr>
        <w:pStyle w:val="BodyText"/>
        <w:ind w:left="737"/>
      </w:pPr>
      <w:r>
        <w:t>5</w:t>
      </w:r>
      <w:r>
        <w:rPr>
          <w:spacing w:val="-30"/>
        </w:rPr>
        <w:t>、主要设备、材料、成品和半成品进场检验结论应有记录，确认符合《建</w:t>
      </w:r>
    </w:p>
    <w:p>
      <w:pPr>
        <w:spacing w:after="0"/>
        <w:sectPr>
          <w:pgSz w:w="11910" w:h="16840"/>
          <w:pgMar w:top="1660" w:right="940" w:bottom="280" w:left="1240" w:header="708" w:footer="708"/>
          <w:pgNumType w:start="7"/>
          <w:cols w:space="708"/>
        </w:sectPr>
      </w:pPr>
    </w:p>
    <w:p>
      <w:pPr>
        <w:pStyle w:val="BodyText"/>
        <w:spacing w:before="38" w:line="482" w:lineRule="auto"/>
        <w:ind w:right="524"/>
        <w:jc w:val="both"/>
      </w:pPr>
      <w:r>
        <w:rPr>
          <w:spacing w:val="-2"/>
        </w:rPr>
        <w:t>筑电气工程施工质量验收规范》的规定，才能在施工中应用。如有异议送</w:t>
      </w:r>
      <w:r>
        <w:rPr>
          <w:spacing w:val="-2"/>
        </w:rPr>
        <w:t>有资质试验室进行抽样检测，试验室应出具报告，确认合格后方能在工程</w:t>
      </w:r>
      <w:r>
        <w:rPr>
          <w:spacing w:val="-4"/>
        </w:rPr>
        <w:t>中使用。</w:t>
      </w:r>
    </w:p>
    <w:p>
      <w:pPr>
        <w:pStyle w:val="BodyText"/>
        <w:spacing w:line="482" w:lineRule="auto"/>
        <w:ind w:right="523" w:firstLine="537"/>
        <w:jc w:val="both"/>
      </w:pPr>
      <w:r>
        <w:rPr>
          <w:spacing w:val="-4"/>
        </w:rPr>
        <w:t>6、电气设备、器具和材料进场验收，除符合《建筑电气工程施工质量</w:t>
      </w:r>
      <w:r>
        <w:rPr>
          <w:spacing w:val="-2"/>
        </w:rPr>
        <w:t>验收规范》规定外，尚应提供商检证明和中文质的质量合格证明文件、规</w:t>
      </w:r>
      <w:r>
        <w:rPr>
          <w:spacing w:val="-2"/>
        </w:rPr>
        <w:t>格、型号、性能检测报告以及中文的安装、使用、维修和试验要求等技术</w:t>
      </w:r>
      <w:r>
        <w:rPr>
          <w:spacing w:val="-4"/>
        </w:rPr>
        <w:t>文件。</w:t>
      </w:r>
    </w:p>
    <w:p>
      <w:pPr>
        <w:pStyle w:val="BodyText"/>
        <w:spacing w:line="354" w:lineRule="exact"/>
        <w:ind w:left="737"/>
      </w:pPr>
      <w:r>
        <w:t>7</w:t>
      </w:r>
      <w:r>
        <w:rPr>
          <w:spacing w:val="-17"/>
        </w:rPr>
        <w:t>、批准的免检产品或认定的名牌产品，当进场验收时宜不做抽样检测。</w:t>
      </w:r>
    </w:p>
    <w:p>
      <w:pPr>
        <w:pStyle w:val="BodyText"/>
        <w:spacing w:before="12"/>
        <w:ind w:left="0"/>
        <w:rPr>
          <w:sz w:val="27"/>
        </w:rPr>
      </w:pPr>
    </w:p>
    <w:p>
      <w:pPr>
        <w:pStyle w:val="BodyText"/>
        <w:spacing w:line="482" w:lineRule="auto"/>
        <w:ind w:right="244" w:firstLine="537"/>
      </w:pPr>
      <w:r>
        <w:rPr>
          <w:spacing w:val="-2"/>
        </w:rPr>
        <w:t>8、照明灯具及附件查验合格证，灯具涂层完整，无损伤，附件齐全。</w:t>
      </w:r>
      <w:r>
        <w:rPr>
          <w:spacing w:val="-2"/>
        </w:rPr>
        <w:t>普通灯具有安全认证标志。</w:t>
      </w:r>
    </w:p>
    <w:p>
      <w:pPr>
        <w:pStyle w:val="BodyText"/>
        <w:spacing w:line="482" w:lineRule="auto"/>
        <w:ind w:right="523" w:firstLine="537"/>
        <w:jc w:val="both"/>
      </w:pPr>
      <w:r>
        <w:rPr>
          <w:spacing w:val="-4"/>
        </w:rPr>
        <w:t>9、开关插座、接线盒及其附件查验合格证，实行安全认证制度的产品</w:t>
      </w:r>
      <w:r>
        <w:rPr>
          <w:spacing w:val="-2"/>
        </w:rPr>
        <w:t>有安全认证标志，开关插座的面板及接线盒盒体完整，对进场的开关、插</w:t>
      </w:r>
      <w:r>
        <w:rPr>
          <w:spacing w:val="-2"/>
        </w:rPr>
        <w:t>座按规定进行电气及机械性能抽样检测。对开关、插座、接线盒及其面板</w:t>
      </w:r>
      <w:r>
        <w:rPr>
          <w:spacing w:val="-2"/>
        </w:rPr>
        <w:t>等塑料绝缘材料阻燃性能有异议时，按批抽样送有资质试验室检测。</w:t>
      </w:r>
    </w:p>
    <w:p>
      <w:pPr>
        <w:pStyle w:val="BodyText"/>
        <w:spacing w:line="482" w:lineRule="auto"/>
        <w:ind w:right="523" w:firstLine="537"/>
        <w:jc w:val="both"/>
      </w:pPr>
      <w:r>
        <w:rPr>
          <w:spacing w:val="-4"/>
        </w:rPr>
        <w:t>9、电线电缆按批查验合格证，合格证有生产许可证编号，外观检查包</w:t>
      </w:r>
      <w:r>
        <w:rPr>
          <w:spacing w:val="-2"/>
        </w:rPr>
        <w:t>装完好，抽验的电线绝缘层完整无损，厚度均匀，按制造标准现场抽样检</w:t>
      </w:r>
      <w:r>
        <w:rPr>
          <w:spacing w:val="-2"/>
        </w:rPr>
        <w:t>测绝缘层厚度和线芯直径是否符合要求。对进场的电线、电缆有异议时，</w:t>
      </w:r>
      <w:r>
        <w:rPr>
          <w:spacing w:val="-2"/>
        </w:rPr>
        <w:t>抽样送有资质试验室进行检测。</w:t>
      </w:r>
    </w:p>
    <w:p>
      <w:pPr>
        <w:pStyle w:val="BodyText"/>
        <w:spacing w:line="354" w:lineRule="exact"/>
        <w:ind w:left="737"/>
      </w:pPr>
      <w:r>
        <w:t>10</w:t>
      </w:r>
      <w:r>
        <w:rPr>
          <w:spacing w:val="-1"/>
        </w:rPr>
        <w:t>、电导管进场按批查验合格证，外观检查符合要求，按制造标准现</w:t>
      </w:r>
    </w:p>
    <w:p>
      <w:pPr>
        <w:spacing w:after="0" w:line="354" w:lineRule="exact"/>
        <w:sectPr>
          <w:pgSz w:w="11910" w:h="16840"/>
          <w:pgMar w:top="1680" w:right="940" w:bottom="280" w:left="1240" w:header="708" w:footer="708"/>
          <w:pgNumType w:start="8"/>
          <w:cols w:space="708"/>
        </w:sectPr>
      </w:pPr>
    </w:p>
    <w:p>
      <w:pPr>
        <w:pStyle w:val="BodyText"/>
        <w:spacing w:before="38" w:line="482" w:lineRule="auto"/>
        <w:ind w:right="524"/>
      </w:pPr>
      <w:r>
        <w:rPr>
          <w:spacing w:val="-2"/>
        </w:rPr>
        <w:t>场抽样检测导管管径、壁厚及均匀度，对绝缘导管及配件阻燃性能有异议</w:t>
      </w:r>
      <w:r>
        <w:rPr>
          <w:spacing w:val="-2"/>
        </w:rPr>
        <w:t>时，送有资质试验室进行抽样检测。</w:t>
      </w:r>
    </w:p>
    <w:p>
      <w:pPr>
        <w:pStyle w:val="BodyText"/>
        <w:spacing w:line="357" w:lineRule="exact"/>
        <w:ind w:left="737"/>
      </w:pPr>
      <w:r>
        <w:rPr>
          <w:spacing w:val="-1"/>
        </w:rPr>
        <w:t>三、 施工过程质量控制：</w:t>
      </w:r>
    </w:p>
    <w:p>
      <w:pPr>
        <w:pStyle w:val="BodyText"/>
        <w:spacing w:before="2"/>
        <w:ind w:left="0"/>
      </w:pPr>
    </w:p>
    <w:p>
      <w:pPr>
        <w:pStyle w:val="BodyText"/>
        <w:spacing w:line="482" w:lineRule="auto"/>
        <w:ind w:right="524" w:firstLine="537"/>
        <w:jc w:val="both"/>
      </w:pPr>
      <w:r>
        <w:t>1、 建筑水电及采暖通信通风工程与相关专业之间应进行交接质量验</w:t>
      </w:r>
      <w:r>
        <w:rPr>
          <w:spacing w:val="-6"/>
        </w:rPr>
        <w:t>收。</w:t>
      </w:r>
    </w:p>
    <w:p>
      <w:pPr>
        <w:pStyle w:val="BodyText"/>
        <w:spacing w:line="482" w:lineRule="auto"/>
        <w:ind w:right="524" w:firstLine="537"/>
        <w:jc w:val="both"/>
      </w:pPr>
      <w:r>
        <w:t>2、 隐蔽工程应在隐蔽前经验收各方检验合格后，才能隐蔽，并形成</w:t>
      </w:r>
      <w:r>
        <w:rPr>
          <w:spacing w:val="-4"/>
        </w:rPr>
        <w:t>记录。</w:t>
      </w:r>
    </w:p>
    <w:p>
      <w:pPr>
        <w:pStyle w:val="BodyText"/>
        <w:spacing w:line="357" w:lineRule="exact"/>
        <w:ind w:left="737"/>
      </w:pPr>
      <w:r>
        <w:t>3</w:t>
      </w:r>
      <w:r>
        <w:rPr>
          <w:spacing w:val="-7"/>
        </w:rPr>
        <w:t>、 管道穿过结构伸缩缝、抗震缝敷设时，应根据情况采取下列措施：</w:t>
      </w:r>
    </w:p>
    <w:p>
      <w:pPr>
        <w:pStyle w:val="BodyText"/>
        <w:ind w:left="0"/>
      </w:pPr>
    </w:p>
    <w:p>
      <w:pPr>
        <w:pStyle w:val="ListParagraph"/>
        <w:numPr>
          <w:ilvl w:val="1"/>
          <w:numId w:val="20"/>
        </w:numPr>
        <w:tabs>
          <w:tab w:val="left" w:pos="1578"/>
        </w:tabs>
        <w:spacing w:before="1" w:after="0" w:line="240" w:lineRule="auto"/>
        <w:ind w:left="1577" w:right="0" w:hanging="841"/>
        <w:jc w:val="left"/>
        <w:rPr>
          <w:sz w:val="28"/>
        </w:rPr>
      </w:pPr>
      <w:r>
        <w:rPr>
          <w:spacing w:val="-1"/>
          <w:sz w:val="28"/>
        </w:rPr>
        <w:t>在墙体两侧采取柔性连接；</w:t>
      </w:r>
    </w:p>
    <w:p>
      <w:pPr>
        <w:pStyle w:val="BodyText"/>
        <w:spacing w:before="2"/>
        <w:ind w:left="0"/>
      </w:pPr>
    </w:p>
    <w:p>
      <w:pPr>
        <w:pStyle w:val="ListParagraph"/>
        <w:numPr>
          <w:ilvl w:val="1"/>
          <w:numId w:val="20"/>
        </w:numPr>
        <w:tabs>
          <w:tab w:val="left" w:pos="1578"/>
        </w:tabs>
        <w:spacing w:before="0" w:after="0" w:line="240" w:lineRule="auto"/>
        <w:ind w:left="1577" w:right="0" w:hanging="841"/>
        <w:jc w:val="left"/>
        <w:rPr>
          <w:sz w:val="28"/>
        </w:rPr>
      </w:pPr>
      <w:r>
        <w:rPr>
          <w:sz w:val="28"/>
        </w:rPr>
        <w:t>在管道或保温层外皮上，下部留有不小于150mm</w:t>
      </w:r>
      <w:r>
        <w:rPr>
          <w:spacing w:val="-2"/>
          <w:sz w:val="28"/>
        </w:rPr>
        <w:t xml:space="preserve"> 的净空。</w:t>
      </w:r>
    </w:p>
    <w:p>
      <w:pPr>
        <w:pStyle w:val="BodyText"/>
        <w:spacing w:before="2"/>
        <w:ind w:left="0"/>
      </w:pPr>
    </w:p>
    <w:p>
      <w:pPr>
        <w:pStyle w:val="ListParagraph"/>
        <w:numPr>
          <w:ilvl w:val="1"/>
          <w:numId w:val="20"/>
        </w:numPr>
        <w:tabs>
          <w:tab w:val="left" w:pos="1578"/>
        </w:tabs>
        <w:spacing w:before="1" w:after="0" w:line="240" w:lineRule="auto"/>
        <w:ind w:left="1577" w:right="0" w:hanging="841"/>
        <w:jc w:val="left"/>
        <w:rPr>
          <w:sz w:val="28"/>
        </w:rPr>
      </w:pPr>
      <w:r>
        <w:rPr>
          <w:spacing w:val="-1"/>
          <w:sz w:val="28"/>
        </w:rPr>
        <w:t>在穿墙处做成方型补偿器，水平安装。</w:t>
      </w:r>
    </w:p>
    <w:p>
      <w:pPr>
        <w:pStyle w:val="BodyText"/>
        <w:spacing w:before="2"/>
        <w:ind w:left="0"/>
      </w:pPr>
    </w:p>
    <w:p>
      <w:pPr>
        <w:pStyle w:val="BodyText"/>
        <w:spacing w:line="482" w:lineRule="auto"/>
        <w:ind w:right="243" w:firstLine="537"/>
        <w:jc w:val="both"/>
      </w:pPr>
      <w:r>
        <w:t>4、 在同一房间内，同类型的卫生洁具及管道配件，除有特殊要求的，</w:t>
      </w:r>
      <w:r>
        <w:rPr>
          <w:spacing w:val="-2"/>
        </w:rPr>
        <w:t>应安装在同一高度上。</w:t>
      </w:r>
    </w:p>
    <w:p>
      <w:pPr>
        <w:pStyle w:val="BodyText"/>
        <w:spacing w:line="482" w:lineRule="auto"/>
        <w:ind w:right="524" w:firstLine="537"/>
        <w:jc w:val="both"/>
      </w:pPr>
      <w:r>
        <w:t>5、 明装管道成排安装时，直线部分应互相平行；曲线部分：当管道</w:t>
      </w:r>
      <w:r>
        <w:rPr>
          <w:spacing w:val="-2"/>
        </w:rPr>
        <w:t>水平或垂直并行时，应与直线部分保持等距；管道水平上下并行时，弯管</w:t>
      </w:r>
      <w:r>
        <w:rPr>
          <w:spacing w:val="-2"/>
        </w:rPr>
        <w:t>部分的曲率半径应一致。</w:t>
      </w:r>
    </w:p>
    <w:p>
      <w:pPr>
        <w:pStyle w:val="BodyText"/>
        <w:spacing w:line="355" w:lineRule="exact"/>
        <w:ind w:left="737"/>
      </w:pPr>
      <w:r>
        <w:t>6</w:t>
      </w:r>
      <w:r>
        <w:rPr>
          <w:spacing w:val="-1"/>
        </w:rPr>
        <w:t>、 管道吊、支、托架的安装，应符合下列规定：</w:t>
      </w:r>
    </w:p>
    <w:p>
      <w:pPr>
        <w:pStyle w:val="BodyText"/>
        <w:ind w:left="0"/>
      </w:pPr>
    </w:p>
    <w:p>
      <w:pPr>
        <w:pStyle w:val="ListParagraph"/>
        <w:numPr>
          <w:ilvl w:val="0"/>
          <w:numId w:val="19"/>
        </w:numPr>
        <w:tabs>
          <w:tab w:val="left" w:pos="1578"/>
        </w:tabs>
        <w:spacing w:before="0" w:after="0" w:line="240" w:lineRule="auto"/>
        <w:ind w:left="1577" w:right="0" w:hanging="841"/>
        <w:jc w:val="left"/>
        <w:rPr>
          <w:sz w:val="28"/>
        </w:rPr>
      </w:pPr>
      <w:r>
        <w:rPr>
          <w:spacing w:val="-1"/>
          <w:sz w:val="28"/>
        </w:rPr>
        <w:t>位置正确，埋设应平整牢固；</w:t>
      </w:r>
    </w:p>
    <w:p>
      <w:pPr>
        <w:pStyle w:val="BodyText"/>
        <w:spacing w:before="3"/>
        <w:ind w:left="0"/>
      </w:pPr>
    </w:p>
    <w:p>
      <w:pPr>
        <w:pStyle w:val="ListParagraph"/>
        <w:numPr>
          <w:ilvl w:val="0"/>
          <w:numId w:val="19"/>
        </w:numPr>
        <w:tabs>
          <w:tab w:val="left" w:pos="1578"/>
        </w:tabs>
        <w:spacing w:before="0" w:after="0" w:line="240" w:lineRule="auto"/>
        <w:ind w:left="1577" w:right="0" w:hanging="841"/>
        <w:jc w:val="left"/>
        <w:rPr>
          <w:sz w:val="28"/>
        </w:rPr>
      </w:pPr>
      <w:r>
        <w:rPr>
          <w:spacing w:val="-1"/>
          <w:sz w:val="28"/>
        </w:rPr>
        <w:t>固定支架与管道接触紧密，固定应牢靠。</w:t>
      </w:r>
    </w:p>
    <w:p>
      <w:pPr>
        <w:spacing w:after="0" w:line="240" w:lineRule="auto"/>
        <w:jc w:val="left"/>
        <w:rPr>
          <w:sz w:val="28"/>
        </w:rPr>
        <w:sectPr>
          <w:pgSz w:w="11910" w:h="16840"/>
          <w:pgMar w:top="1680" w:right="940" w:bottom="280" w:left="1240" w:header="708" w:footer="708"/>
          <w:pgNumType w:start="9"/>
          <w:cols w:space="708"/>
        </w:sectPr>
      </w:pPr>
    </w:p>
    <w:p>
      <w:pPr>
        <w:pStyle w:val="ListParagraph"/>
        <w:numPr>
          <w:ilvl w:val="0"/>
          <w:numId w:val="19"/>
        </w:numPr>
        <w:tabs>
          <w:tab w:val="left" w:pos="1578"/>
        </w:tabs>
        <w:spacing w:before="38" w:after="0" w:line="240" w:lineRule="auto"/>
        <w:ind w:left="1577" w:right="0" w:hanging="841"/>
        <w:jc w:val="left"/>
        <w:rPr>
          <w:sz w:val="28"/>
        </w:rPr>
      </w:pPr>
      <w:r>
        <w:rPr>
          <w:spacing w:val="-1"/>
          <w:sz w:val="28"/>
        </w:rPr>
        <w:t>固定在建筑结构上的管道支、吊架不得影响结构安全。</w:t>
      </w:r>
    </w:p>
    <w:p>
      <w:pPr>
        <w:pStyle w:val="BodyText"/>
        <w:spacing w:before="2"/>
        <w:ind w:left="0"/>
      </w:pPr>
    </w:p>
    <w:p>
      <w:pPr>
        <w:pStyle w:val="BodyText"/>
        <w:ind w:left="737"/>
      </w:pPr>
      <w:r>
        <w:t>7、 管道及管道支墩（座），</w:t>
      </w:r>
      <w:r>
        <w:rPr>
          <w:spacing w:val="-1"/>
        </w:rPr>
        <w:t>严禁铺设在冻土和未经处理的松土上。</w:t>
      </w:r>
    </w:p>
    <w:p>
      <w:pPr>
        <w:pStyle w:val="BodyText"/>
        <w:spacing w:before="3"/>
        <w:ind w:left="0"/>
      </w:pPr>
    </w:p>
    <w:p>
      <w:pPr>
        <w:pStyle w:val="BodyText"/>
        <w:spacing w:line="482" w:lineRule="auto"/>
        <w:ind w:right="524" w:firstLine="537"/>
        <w:jc w:val="both"/>
      </w:pPr>
      <w:r>
        <w:t>8、 管道穿过墙壁和楼板，应设置金属或塑料套管。安装在楼板的套</w:t>
      </w:r>
      <w:r>
        <w:rPr>
          <w:spacing w:val="-2"/>
        </w:rPr>
        <w:t>管，其顶部应高出装饰地面20mm；安装在卫生间及厨房内的套管其顶部应</w:t>
      </w:r>
      <w:r>
        <w:rPr>
          <w:spacing w:val="-2"/>
        </w:rPr>
        <w:t>高出装饰地面50mm，底部与楼板相平；穿墙套管与管道相平时，穿墙套管</w:t>
      </w:r>
      <w:r>
        <w:rPr>
          <w:spacing w:val="-2"/>
        </w:rPr>
        <w:t>与管道之间缝隙应用阻燃材料、密实材料和防水油膏填实，端面光滑。管</w:t>
      </w:r>
      <w:r>
        <w:rPr>
          <w:spacing w:val="-2"/>
        </w:rPr>
        <w:t>道的接口不得设置在套管内。</w:t>
      </w:r>
    </w:p>
    <w:p>
      <w:pPr>
        <w:pStyle w:val="BodyText"/>
        <w:spacing w:line="482" w:lineRule="auto"/>
        <w:ind w:right="524" w:firstLine="537"/>
        <w:jc w:val="both"/>
      </w:pPr>
      <w:r>
        <w:t>9、 各种承压管道系统和设备应做水压试验，非承压管道系统和设备</w:t>
      </w:r>
      <w:r>
        <w:rPr>
          <w:spacing w:val="-2"/>
        </w:rPr>
        <w:t>应做灌水试验。</w:t>
      </w:r>
    </w:p>
    <w:p>
      <w:pPr>
        <w:pStyle w:val="BodyText"/>
        <w:spacing w:line="357" w:lineRule="exact"/>
        <w:ind w:left="737"/>
      </w:pPr>
      <w:r>
        <w:rPr>
          <w:spacing w:val="-1"/>
        </w:rPr>
        <w:t>四、 室内给水系统安装监理要点：</w:t>
      </w:r>
    </w:p>
    <w:p>
      <w:pPr>
        <w:pStyle w:val="BodyText"/>
        <w:spacing w:before="9"/>
        <w:ind w:left="0"/>
        <w:rPr>
          <w:sz w:val="27"/>
        </w:rPr>
      </w:pPr>
    </w:p>
    <w:p>
      <w:pPr>
        <w:pStyle w:val="BodyText"/>
        <w:spacing w:before="1" w:line="482" w:lineRule="auto"/>
        <w:ind w:right="524" w:firstLine="537"/>
      </w:pPr>
      <w:r>
        <w:t>1、 给水管道必须采用与管材相适应的管件，生活给水系统所涉及材</w:t>
      </w:r>
      <w:r>
        <w:rPr>
          <w:spacing w:val="-2"/>
        </w:rPr>
        <w:t>料必须达到饮用水标准。</w:t>
      </w:r>
    </w:p>
    <w:p>
      <w:pPr>
        <w:pStyle w:val="BodyText"/>
        <w:spacing w:line="482" w:lineRule="auto"/>
        <w:ind w:right="243" w:firstLine="537"/>
      </w:pPr>
      <w:r>
        <w:t>2、 给水塑料管和复合管可以采用橡胶圈接口、粘结接口、热熔接口，</w:t>
      </w:r>
      <w:r>
        <w:rPr>
          <w:spacing w:val="-2"/>
        </w:rPr>
        <w:t>专用管件连接及法兰连接形式。塑料管和复合管以及金属管件阀门等的连</w:t>
      </w:r>
      <w:r>
        <w:rPr>
          <w:spacing w:val="40"/>
        </w:rPr>
        <w:t xml:space="preserve"> </w:t>
      </w:r>
      <w:r>
        <w:rPr>
          <w:spacing w:val="-2"/>
        </w:rPr>
        <w:t>接应使用专用管件连接，不得在塑料管上套丝。</w:t>
      </w:r>
    </w:p>
    <w:p>
      <w:pPr>
        <w:pStyle w:val="BodyText"/>
        <w:spacing w:line="482" w:lineRule="auto"/>
        <w:ind w:right="524" w:firstLine="537"/>
      </w:pPr>
      <w:r>
        <w:t>3、 给水立管和装有三个以上配水点的支管始端，均应安装可拆卸的</w:t>
      </w:r>
      <w:r>
        <w:rPr>
          <w:spacing w:val="-4"/>
        </w:rPr>
        <w:t>连接件。</w:t>
      </w:r>
    </w:p>
    <w:p>
      <w:pPr>
        <w:pStyle w:val="BodyText"/>
        <w:spacing w:line="357" w:lineRule="exact"/>
        <w:ind w:left="737"/>
      </w:pPr>
      <w:r>
        <w:t>4</w:t>
      </w:r>
      <w:r>
        <w:rPr>
          <w:spacing w:val="-1"/>
        </w:rPr>
        <w:t>、冷、热水管道同时安装应符合下列规定：</w:t>
      </w:r>
    </w:p>
    <w:p>
      <w:pPr>
        <w:pStyle w:val="BodyText"/>
        <w:spacing w:before="9"/>
        <w:ind w:left="0"/>
        <w:rPr>
          <w:sz w:val="27"/>
        </w:rPr>
      </w:pPr>
    </w:p>
    <w:p>
      <w:pPr>
        <w:pStyle w:val="ListParagraph"/>
        <w:numPr>
          <w:ilvl w:val="0"/>
          <w:numId w:val="18"/>
        </w:numPr>
        <w:tabs>
          <w:tab w:val="left" w:pos="1439"/>
        </w:tabs>
        <w:spacing w:before="0" w:after="0" w:line="240" w:lineRule="auto"/>
        <w:ind w:left="1438" w:right="0" w:hanging="702"/>
        <w:jc w:val="left"/>
        <w:rPr>
          <w:sz w:val="28"/>
        </w:rPr>
      </w:pPr>
      <w:r>
        <w:rPr>
          <w:spacing w:val="-1"/>
          <w:sz w:val="28"/>
        </w:rPr>
        <w:t>、上、下平行安装时热水管应在冷水管上方；</w:t>
      </w:r>
    </w:p>
    <w:p>
      <w:pPr>
        <w:spacing w:after="0" w:line="240" w:lineRule="auto"/>
        <w:jc w:val="left"/>
        <w:rPr>
          <w:sz w:val="28"/>
        </w:rPr>
        <w:sectPr>
          <w:pgSz w:w="11910" w:h="16840"/>
          <w:pgMar w:top="1680" w:right="940" w:bottom="280" w:left="1240" w:header="708" w:footer="708"/>
          <w:pgNumType w:start="10"/>
          <w:cols w:space="708"/>
        </w:sectPr>
      </w:pPr>
    </w:p>
    <w:p>
      <w:pPr>
        <w:pStyle w:val="ListParagraph"/>
        <w:numPr>
          <w:ilvl w:val="0"/>
          <w:numId w:val="18"/>
        </w:numPr>
        <w:tabs>
          <w:tab w:val="left" w:pos="1439"/>
        </w:tabs>
        <w:spacing w:before="38" w:after="0" w:line="240" w:lineRule="auto"/>
        <w:ind w:left="1438" w:right="0" w:hanging="702"/>
        <w:jc w:val="left"/>
        <w:rPr>
          <w:sz w:val="28"/>
        </w:rPr>
      </w:pPr>
      <w:r>
        <w:rPr>
          <w:spacing w:val="-1"/>
          <w:sz w:val="28"/>
        </w:rPr>
        <w:t>、垂直平行安装时热水管应在冷水管左侧。</w:t>
      </w:r>
    </w:p>
    <w:p>
      <w:pPr>
        <w:pStyle w:val="BodyText"/>
        <w:spacing w:before="2"/>
        <w:ind w:left="0"/>
      </w:pPr>
    </w:p>
    <w:p>
      <w:pPr>
        <w:pStyle w:val="BodyText"/>
        <w:spacing w:line="482" w:lineRule="auto"/>
        <w:ind w:right="244" w:firstLine="537"/>
      </w:pPr>
      <w:r>
        <w:t>10、 室内给水管道必须按设计要求进行水压试验。当设计未注明时，</w:t>
      </w:r>
      <w:r>
        <w:rPr>
          <w:spacing w:val="10"/>
        </w:rPr>
        <w:t>各种材质的给水管道系统试验压力均为工作压力的</w:t>
      </w:r>
      <w:r>
        <w:t>1.5</w:t>
      </w:r>
      <w:r>
        <w:rPr>
          <w:spacing w:val="6"/>
        </w:rPr>
        <w:t xml:space="preserve"> 倍，但不得小于</w:t>
      </w:r>
      <w:r>
        <w:t xml:space="preserve"> </w:t>
      </w:r>
      <w:r>
        <w:rPr>
          <w:spacing w:val="-2"/>
        </w:rPr>
        <w:t>0.6Mpa。</w:t>
      </w:r>
    </w:p>
    <w:p>
      <w:pPr>
        <w:pStyle w:val="BodyText"/>
        <w:spacing w:line="355" w:lineRule="exact"/>
        <w:ind w:left="737"/>
      </w:pPr>
      <w:r>
        <w:t>11</w:t>
      </w:r>
      <w:r>
        <w:rPr>
          <w:spacing w:val="-1"/>
        </w:rPr>
        <w:t>、 给水系统交付使用前进行通水试验并做好记录。</w:t>
      </w:r>
    </w:p>
    <w:p>
      <w:pPr>
        <w:pStyle w:val="BodyText"/>
        <w:spacing w:before="3"/>
        <w:ind w:left="0"/>
      </w:pPr>
    </w:p>
    <w:p>
      <w:pPr>
        <w:pStyle w:val="BodyText"/>
        <w:spacing w:line="482" w:lineRule="auto"/>
        <w:ind w:right="523" w:firstLine="537"/>
      </w:pPr>
      <w:r>
        <w:rPr>
          <w:spacing w:val="-2"/>
        </w:rPr>
        <w:t>12</w:t>
      </w:r>
      <w:r>
        <w:rPr>
          <w:spacing w:val="-8"/>
        </w:rPr>
        <w:t>、 给水引入端与排出管的水平净距不得小于</w:t>
      </w:r>
      <w:r>
        <w:rPr>
          <w:spacing w:val="-2"/>
        </w:rPr>
        <w:t>1m，室内给水管与排水</w:t>
      </w:r>
      <w:r>
        <w:rPr>
          <w:spacing w:val="-2"/>
        </w:rPr>
        <w:t>管平行敷设时，</w:t>
      </w:r>
    </w:p>
    <w:p>
      <w:pPr>
        <w:pStyle w:val="BodyText"/>
        <w:spacing w:line="482" w:lineRule="auto"/>
        <w:ind w:right="383" w:firstLine="537"/>
      </w:pPr>
      <w:r>
        <w:rPr>
          <w:spacing w:val="-2"/>
        </w:rPr>
        <w:t>两管的最小水平净距离不得小于0.5m，交叉敷设时垂直净距不得小于 0.15m</w:t>
      </w:r>
      <w:r>
        <w:rPr>
          <w:spacing w:val="-19"/>
        </w:rPr>
        <w:t>。给水立管应敷设在排水管上方，若给水管必须敷设在排水管下方时，</w:t>
      </w:r>
      <w:r>
        <w:rPr>
          <w:spacing w:val="-2"/>
        </w:rPr>
        <w:t>给水管应加套管，其长度不得小于排水管管径的三倍。</w:t>
      </w:r>
    </w:p>
    <w:p>
      <w:pPr>
        <w:pStyle w:val="BodyText"/>
        <w:spacing w:line="355" w:lineRule="exact"/>
        <w:ind w:left="737"/>
      </w:pPr>
      <w:r>
        <w:t>13</w:t>
      </w:r>
      <w:r>
        <w:rPr>
          <w:spacing w:val="-1"/>
        </w:rPr>
        <w:t>、 给水水平管道应有</w:t>
      </w:r>
      <w:r>
        <w:t>2</w:t>
      </w:r>
      <w:r>
        <w:rPr>
          <w:rFonts w:ascii="Calibri" w:eastAsia="Calibri" w:hAnsi="Calibri"/>
        </w:rPr>
        <w:t>‰</w:t>
      </w:r>
      <w:r>
        <w:t>～5</w:t>
      </w:r>
      <w:r>
        <w:rPr>
          <w:rFonts w:ascii="Calibri" w:eastAsia="Calibri" w:hAnsi="Calibri"/>
        </w:rPr>
        <w:t>‰</w:t>
      </w:r>
      <w:r>
        <w:rPr>
          <w:spacing w:val="-1"/>
        </w:rPr>
        <w:t>的坡度坡向泄水装置。</w:t>
      </w:r>
    </w:p>
    <w:p>
      <w:pPr>
        <w:pStyle w:val="BodyText"/>
        <w:ind w:left="0"/>
      </w:pPr>
    </w:p>
    <w:p>
      <w:pPr>
        <w:pStyle w:val="BodyText"/>
        <w:spacing w:line="374" w:lineRule="auto"/>
        <w:ind w:right="4786" w:firstLine="537"/>
      </w:pPr>
      <w:r>
        <w:rPr>
          <w:spacing w:val="-2"/>
        </w:rPr>
        <w:t>14、管道支、吊架安装平整牢固。</w:t>
      </w:r>
      <w:r>
        <w:rPr>
          <w:spacing w:val="-2"/>
        </w:rPr>
        <w:t>五、消防系统安装监理要点：</w:t>
      </w:r>
    </w:p>
    <w:p>
      <w:pPr>
        <w:pStyle w:val="BodyText"/>
        <w:spacing w:before="64" w:line="417" w:lineRule="auto"/>
        <w:ind w:right="524"/>
      </w:pPr>
      <w:r>
        <w:rPr>
          <w:spacing w:val="-2"/>
        </w:rPr>
        <w:t>（1)、检查承包商按图施工，认真组织技术交底，管道坐标、标高避免交</w:t>
      </w:r>
      <w:r>
        <w:rPr>
          <w:spacing w:val="-2"/>
        </w:rPr>
        <w:t>叉，管道合理排列。</w:t>
      </w:r>
    </w:p>
    <w:p>
      <w:pPr>
        <w:pStyle w:val="ListParagraph"/>
        <w:numPr>
          <w:ilvl w:val="0"/>
          <w:numId w:val="17"/>
        </w:numPr>
        <w:tabs>
          <w:tab w:val="left" w:pos="903"/>
        </w:tabs>
        <w:spacing w:before="0" w:after="0" w:line="417" w:lineRule="auto"/>
        <w:ind w:left="200" w:right="524" w:firstLine="0"/>
        <w:jc w:val="left"/>
        <w:rPr>
          <w:sz w:val="28"/>
        </w:rPr>
      </w:pPr>
      <w:r>
        <w:rPr>
          <w:spacing w:val="-2"/>
          <w:sz w:val="28"/>
        </w:rPr>
        <w:t>、预埋件、预留洞尺寸、位置正确，管沟位置、深度、平直程度沟底管基是否符合设计及施工规范要求。</w:t>
      </w:r>
    </w:p>
    <w:p>
      <w:pPr>
        <w:pStyle w:val="ListParagraph"/>
        <w:numPr>
          <w:ilvl w:val="0"/>
          <w:numId w:val="17"/>
        </w:numPr>
        <w:tabs>
          <w:tab w:val="left" w:pos="903"/>
        </w:tabs>
        <w:spacing w:before="0" w:after="0" w:line="417" w:lineRule="auto"/>
        <w:ind w:left="200" w:right="524" w:firstLine="0"/>
        <w:jc w:val="both"/>
        <w:rPr>
          <w:sz w:val="28"/>
        </w:rPr>
      </w:pPr>
      <w:r>
        <w:rPr>
          <w:spacing w:val="-2"/>
          <w:sz w:val="28"/>
        </w:rPr>
        <w:t>、消防管道、箱、金属支架的油漆种类和涂刷遍数应符合设计要求，附着良好，无脱皮、起泡、漏涂现象，漆膜厚度均匀、色泽一致，无流淌及污染现象。</w:t>
      </w:r>
    </w:p>
    <w:p>
      <w:pPr>
        <w:spacing w:after="0" w:line="417" w:lineRule="auto"/>
        <w:jc w:val="both"/>
        <w:rPr>
          <w:sz w:val="28"/>
        </w:rPr>
        <w:sectPr>
          <w:pgSz w:w="11910" w:h="16840"/>
          <w:pgMar w:top="1680" w:right="940" w:bottom="280" w:left="1240" w:header="708" w:footer="708"/>
          <w:pgNumType w:start="11"/>
          <w:cols w:space="708"/>
        </w:sectPr>
      </w:pPr>
    </w:p>
    <w:p>
      <w:pPr>
        <w:pStyle w:val="ListParagraph"/>
        <w:numPr>
          <w:ilvl w:val="0"/>
          <w:numId w:val="17"/>
        </w:numPr>
        <w:tabs>
          <w:tab w:val="left" w:pos="903"/>
        </w:tabs>
        <w:spacing w:before="37" w:after="0" w:line="417" w:lineRule="auto"/>
        <w:ind w:left="200" w:right="383" w:firstLine="0"/>
        <w:jc w:val="left"/>
        <w:rPr>
          <w:sz w:val="28"/>
        </w:rPr>
      </w:pPr>
      <w:r>
        <w:rPr>
          <w:spacing w:val="-2"/>
          <w:sz w:val="28"/>
        </w:rPr>
        <w:t>、消防喷洒系统的报警阀、作用阀、控制阀、延迟器、水流批示器、</w:t>
      </w:r>
      <w:r>
        <w:rPr>
          <w:spacing w:val="-5"/>
          <w:sz w:val="28"/>
        </w:rPr>
        <w:t>水泵结合器等主要组件的规格型号应符合设计要求，配件齐全，铸造规矩，</w:t>
      </w:r>
      <w:r>
        <w:rPr>
          <w:spacing w:val="-2"/>
          <w:sz w:val="28"/>
        </w:rPr>
        <w:t>表面光洁，无裂纹，启闭灵活，为正规厂家生产，有产品出厂合格证。</w:t>
      </w:r>
    </w:p>
    <w:p>
      <w:pPr>
        <w:pStyle w:val="ListParagraph"/>
        <w:numPr>
          <w:ilvl w:val="0"/>
          <w:numId w:val="17"/>
        </w:numPr>
        <w:tabs>
          <w:tab w:val="left" w:pos="903"/>
        </w:tabs>
        <w:spacing w:before="0" w:after="0" w:line="417" w:lineRule="auto"/>
        <w:ind w:left="200" w:right="524" w:firstLine="0"/>
        <w:jc w:val="both"/>
        <w:rPr>
          <w:sz w:val="28"/>
        </w:rPr>
      </w:pPr>
      <w:r>
        <w:rPr>
          <w:spacing w:val="-2"/>
          <w:sz w:val="28"/>
        </w:rPr>
        <w:t>、喷洒头的规格、类型、动作温度应符合设计要求，外观规矩，丝扣完整，感温包无破碎和松动，易熔片无脱落和松动，为正规厂家生产，有产品出厂合格证。</w:t>
      </w:r>
    </w:p>
    <w:p>
      <w:pPr>
        <w:pStyle w:val="ListParagraph"/>
        <w:numPr>
          <w:ilvl w:val="0"/>
          <w:numId w:val="17"/>
        </w:numPr>
        <w:tabs>
          <w:tab w:val="left" w:pos="903"/>
        </w:tabs>
        <w:spacing w:before="0" w:after="0" w:line="417" w:lineRule="auto"/>
        <w:ind w:left="200" w:right="524" w:firstLine="0"/>
        <w:jc w:val="left"/>
        <w:rPr>
          <w:sz w:val="28"/>
        </w:rPr>
      </w:pPr>
      <w:r>
        <w:rPr>
          <w:spacing w:val="-2"/>
          <w:sz w:val="28"/>
        </w:rPr>
        <w:t>、消火栓环状管网应处于正常通水状态，且不受检修时关闭阀门的</w:t>
      </w:r>
      <w:r>
        <w:rPr>
          <w:spacing w:val="-4"/>
          <w:sz w:val="28"/>
        </w:rPr>
        <w:t>影响。</w:t>
      </w:r>
    </w:p>
    <w:p>
      <w:pPr>
        <w:pStyle w:val="ListParagraph"/>
        <w:numPr>
          <w:ilvl w:val="0"/>
          <w:numId w:val="17"/>
        </w:numPr>
        <w:tabs>
          <w:tab w:val="left" w:pos="903"/>
        </w:tabs>
        <w:spacing w:before="0" w:after="0" w:line="417" w:lineRule="auto"/>
        <w:ind w:left="200" w:right="285" w:firstLine="0"/>
        <w:jc w:val="left"/>
        <w:rPr>
          <w:sz w:val="28"/>
        </w:rPr>
      </w:pPr>
      <w:r>
        <w:rPr>
          <w:sz w:val="28"/>
        </w:rPr>
        <w:t>、消火栓箱体的规格类型应符合设计要求，箱体表面平整、光洁，无锈蚀、划伤，箱门开启灵活。箱内配件齐全。安装时箱口要向外，阀门中</w:t>
      </w:r>
      <w:r>
        <w:rPr>
          <w:spacing w:val="7"/>
          <w:sz w:val="28"/>
        </w:rPr>
        <w:t>心距地面为</w:t>
      </w:r>
      <w:r>
        <w:rPr>
          <w:sz w:val="28"/>
        </w:rPr>
        <w:t>1.2m</w:t>
      </w:r>
      <w:r>
        <w:rPr>
          <w:spacing w:val="-27"/>
          <w:sz w:val="28"/>
        </w:rPr>
        <w:t>，允许偏差为±</w:t>
      </w:r>
      <w:r>
        <w:rPr>
          <w:sz w:val="28"/>
        </w:rPr>
        <w:t>20mm</w:t>
      </w:r>
      <w:r>
        <w:rPr>
          <w:spacing w:val="-7"/>
          <w:sz w:val="28"/>
        </w:rPr>
        <w:t>；阀门距箱底为</w:t>
      </w:r>
      <w:r>
        <w:rPr>
          <w:sz w:val="28"/>
        </w:rPr>
        <w:t>140</w:t>
      </w:r>
      <w:r>
        <w:rPr>
          <w:spacing w:val="-17"/>
          <w:sz w:val="28"/>
        </w:rPr>
        <w:t>，距箱后内面为</w:t>
      </w:r>
      <w:r>
        <w:rPr>
          <w:spacing w:val="-5"/>
          <w:sz w:val="28"/>
        </w:rPr>
        <w:t>100</w:t>
      </w:r>
      <w:r>
        <w:rPr>
          <w:spacing w:val="-5"/>
          <w:sz w:val="28"/>
        </w:rPr>
        <w:t>，</w:t>
      </w:r>
      <w:r>
        <w:rPr>
          <w:sz w:val="28"/>
        </w:rPr>
        <w:t>允许偏差为±5mm</w:t>
      </w:r>
      <w:r>
        <w:rPr>
          <w:spacing w:val="-11"/>
          <w:sz w:val="28"/>
        </w:rPr>
        <w:t>。栓阀外观规矩、无裂纹，启闭灵活，关闭严密，密封填</w:t>
      </w:r>
      <w:r>
        <w:rPr>
          <w:spacing w:val="-13"/>
          <w:sz w:val="28"/>
        </w:rPr>
        <w:t>料完好，为正规厂家生产，产品均有消防部门的制造许可证及出厂合格证。</w:t>
      </w:r>
    </w:p>
    <w:p>
      <w:pPr>
        <w:pStyle w:val="ListParagraph"/>
        <w:numPr>
          <w:ilvl w:val="0"/>
          <w:numId w:val="17"/>
        </w:numPr>
        <w:tabs>
          <w:tab w:val="left" w:pos="903"/>
        </w:tabs>
        <w:spacing w:before="0" w:after="0" w:line="417" w:lineRule="auto"/>
        <w:ind w:left="200" w:right="524" w:firstLine="0"/>
        <w:jc w:val="both"/>
        <w:rPr>
          <w:sz w:val="28"/>
        </w:rPr>
      </w:pPr>
      <w:r>
        <w:rPr>
          <w:spacing w:val="-2"/>
          <w:sz w:val="28"/>
        </w:rPr>
        <w:t>、水流批示器一般设于每层的分支干管上。应水平安装，保证叶片</w:t>
      </w:r>
      <w:r>
        <w:rPr>
          <w:spacing w:val="-5"/>
          <w:sz w:val="28"/>
        </w:rPr>
        <w:t xml:space="preserve">活动灵敏，其前后应保持 </w:t>
      </w:r>
      <w:r>
        <w:rPr>
          <w:spacing w:val="-2"/>
          <w:sz w:val="28"/>
        </w:rPr>
        <w:t>5</w:t>
      </w:r>
      <w:r>
        <w:rPr>
          <w:spacing w:val="-8"/>
          <w:sz w:val="28"/>
        </w:rPr>
        <w:t xml:space="preserve"> 倍管径的直管段，安装时注意水流方向与批示</w:t>
      </w:r>
      <w:r>
        <w:rPr>
          <w:spacing w:val="-2"/>
          <w:sz w:val="28"/>
        </w:rPr>
        <w:t>器箭头一致。</w:t>
      </w:r>
    </w:p>
    <w:p>
      <w:pPr>
        <w:pStyle w:val="ListParagraph"/>
        <w:numPr>
          <w:ilvl w:val="0"/>
          <w:numId w:val="17"/>
        </w:numPr>
        <w:tabs>
          <w:tab w:val="left" w:pos="901"/>
        </w:tabs>
        <w:spacing w:before="0" w:after="0" w:line="358" w:lineRule="exact"/>
        <w:ind w:left="901" w:right="0" w:hanging="701"/>
        <w:jc w:val="left"/>
        <w:rPr>
          <w:sz w:val="28"/>
        </w:rPr>
      </w:pPr>
      <w:r>
        <w:rPr>
          <w:spacing w:val="-1"/>
          <w:sz w:val="28"/>
        </w:rPr>
        <w:t>、管道承口内部及插口外部飞刺要铲掉，污物应用钢丝刷清理干净。</w:t>
      </w:r>
    </w:p>
    <w:p>
      <w:pPr>
        <w:pStyle w:val="BodyText"/>
        <w:spacing w:before="5"/>
        <w:ind w:left="0"/>
        <w:rPr>
          <w:sz w:val="20"/>
        </w:rPr>
      </w:pPr>
    </w:p>
    <w:p>
      <w:pPr>
        <w:pStyle w:val="ListParagraph"/>
        <w:numPr>
          <w:ilvl w:val="0"/>
          <w:numId w:val="17"/>
        </w:numPr>
        <w:tabs>
          <w:tab w:val="left" w:pos="1041"/>
        </w:tabs>
        <w:spacing w:before="1" w:after="0" w:line="240" w:lineRule="auto"/>
        <w:ind w:left="1041" w:right="0" w:hanging="841"/>
        <w:jc w:val="left"/>
        <w:rPr>
          <w:sz w:val="28"/>
        </w:rPr>
      </w:pPr>
      <w:r>
        <w:rPr>
          <w:spacing w:val="-1"/>
          <w:sz w:val="28"/>
        </w:rPr>
        <w:t>、镀锌碳素钢管埋地铺设前应做好防腐处理。</w:t>
      </w:r>
    </w:p>
    <w:p>
      <w:pPr>
        <w:pStyle w:val="BodyText"/>
        <w:spacing w:before="8"/>
        <w:ind w:left="0"/>
        <w:rPr>
          <w:sz w:val="20"/>
        </w:rPr>
      </w:pPr>
    </w:p>
    <w:p>
      <w:pPr>
        <w:pStyle w:val="ListParagraph"/>
        <w:numPr>
          <w:ilvl w:val="0"/>
          <w:numId w:val="17"/>
        </w:numPr>
        <w:tabs>
          <w:tab w:val="left" w:pos="1041"/>
        </w:tabs>
        <w:spacing w:before="1" w:after="0" w:line="240" w:lineRule="auto"/>
        <w:ind w:left="1041" w:right="0" w:hanging="841"/>
        <w:jc w:val="left"/>
        <w:rPr>
          <w:sz w:val="28"/>
        </w:rPr>
      </w:pPr>
      <w:r>
        <w:rPr>
          <w:spacing w:val="-1"/>
          <w:sz w:val="28"/>
        </w:rPr>
        <w:t>、检查承包商安装的管件、阀门位置是否标准，阀杆是否垂直向上。</w:t>
      </w:r>
    </w:p>
    <w:p>
      <w:pPr>
        <w:pStyle w:val="BodyText"/>
        <w:spacing w:before="8"/>
        <w:ind w:left="0"/>
        <w:rPr>
          <w:sz w:val="20"/>
        </w:rPr>
      </w:pPr>
    </w:p>
    <w:p>
      <w:pPr>
        <w:pStyle w:val="ListParagraph"/>
        <w:numPr>
          <w:ilvl w:val="0"/>
          <w:numId w:val="17"/>
        </w:numPr>
        <w:tabs>
          <w:tab w:val="left" w:pos="1041"/>
        </w:tabs>
        <w:spacing w:before="1" w:after="0" w:line="240" w:lineRule="auto"/>
        <w:ind w:left="1041" w:right="0" w:hanging="841"/>
        <w:jc w:val="left"/>
        <w:rPr>
          <w:sz w:val="28"/>
        </w:rPr>
      </w:pPr>
      <w:r>
        <w:rPr>
          <w:spacing w:val="-12"/>
          <w:sz w:val="28"/>
        </w:rPr>
        <w:t xml:space="preserve">、直径小于 </w:t>
      </w:r>
      <w:r>
        <w:rPr>
          <w:sz w:val="28"/>
        </w:rPr>
        <w:t>DN100</w:t>
      </w:r>
      <w:r>
        <w:rPr>
          <w:spacing w:val="-10"/>
          <w:sz w:val="28"/>
        </w:rPr>
        <w:t xml:space="preserve"> 的给水管采用镀锌钢管丝扣连接。</w:t>
      </w:r>
    </w:p>
    <w:p>
      <w:pPr>
        <w:pStyle w:val="BodyText"/>
        <w:spacing w:before="8"/>
        <w:ind w:left="0"/>
        <w:rPr>
          <w:sz w:val="20"/>
        </w:rPr>
      </w:pPr>
    </w:p>
    <w:p>
      <w:pPr>
        <w:pStyle w:val="ListParagraph"/>
        <w:numPr>
          <w:ilvl w:val="0"/>
          <w:numId w:val="17"/>
        </w:numPr>
        <w:tabs>
          <w:tab w:val="left" w:pos="1041"/>
        </w:tabs>
        <w:spacing w:before="1" w:after="0" w:line="417" w:lineRule="auto"/>
        <w:ind w:left="200" w:right="523" w:firstLine="0"/>
        <w:jc w:val="both"/>
        <w:rPr>
          <w:sz w:val="28"/>
        </w:rPr>
      </w:pPr>
      <w:r>
        <w:rPr>
          <w:spacing w:val="-2"/>
          <w:sz w:val="28"/>
        </w:rPr>
        <w:t>、水表、阀门及消火栓、消防结合器应安装在检查井中，不得直接</w:t>
      </w:r>
      <w:r>
        <w:rPr>
          <w:sz w:val="28"/>
        </w:rPr>
        <w:t>埋入土中；消火栓的顶部出口与井盖面的距离不得大于 400，超过时应加</w:t>
      </w:r>
      <w:r>
        <w:rPr>
          <w:spacing w:val="-10"/>
          <w:sz w:val="28"/>
        </w:rPr>
        <w:t>短</w:t>
      </w:r>
    </w:p>
    <w:p>
      <w:pPr>
        <w:spacing w:after="0" w:line="417" w:lineRule="auto"/>
        <w:jc w:val="both"/>
        <w:rPr>
          <w:sz w:val="28"/>
        </w:rPr>
        <w:sectPr>
          <w:pgSz w:w="11910" w:h="16840"/>
          <w:pgMar w:top="1520" w:right="940" w:bottom="280" w:left="1240" w:header="708" w:footer="708"/>
          <w:pgNumType w:start="12"/>
          <w:cols w:space="708"/>
        </w:sectPr>
      </w:pPr>
    </w:p>
    <w:p>
      <w:pPr>
        <w:pStyle w:val="BodyText"/>
        <w:spacing w:before="37"/>
      </w:pPr>
      <w:r>
        <w:rPr>
          <w:spacing w:val="-1"/>
        </w:rPr>
        <w:t>管补足；水表、阀门安装要垂直，表面清洁，开关灵活。</w:t>
      </w:r>
    </w:p>
    <w:p>
      <w:pPr>
        <w:pStyle w:val="ListParagraph"/>
        <w:numPr>
          <w:ilvl w:val="0"/>
          <w:numId w:val="22"/>
        </w:numPr>
        <w:tabs>
          <w:tab w:val="left" w:pos="1579"/>
        </w:tabs>
        <w:spacing w:before="65" w:after="0" w:line="720" w:lineRule="atLeast"/>
        <w:ind w:left="200" w:right="523" w:firstLine="537"/>
        <w:jc w:val="both"/>
        <w:rPr>
          <w:sz w:val="28"/>
        </w:rPr>
      </w:pPr>
      <w:r>
        <w:rPr>
          <w:spacing w:val="-2"/>
          <w:sz w:val="28"/>
        </w:rPr>
        <w:t>、应协助承包商邀请有关单位参加，做好给水管的试压工作，</w:t>
      </w:r>
      <w:r>
        <w:rPr>
          <w:sz w:val="28"/>
        </w:rPr>
        <w:t>标准如下工作压力的1.5 倍，但不得小于0.6Mpa。在30min内压力降不大于 0.05Mpa，再将试验压力降至工作压力外观检查不渗漏为合格。最不利</w:t>
      </w:r>
      <w:r>
        <w:rPr>
          <w:spacing w:val="-2"/>
          <w:sz w:val="28"/>
        </w:rPr>
        <w:t>点的喷洒头和消火栓的压力和流量应满足设计要求。</w:t>
      </w:r>
    </w:p>
    <w:p>
      <w:pPr>
        <w:pStyle w:val="ListParagraph"/>
        <w:numPr>
          <w:ilvl w:val="0"/>
          <w:numId w:val="16"/>
        </w:numPr>
        <w:tabs>
          <w:tab w:val="left" w:pos="920"/>
        </w:tabs>
        <w:spacing w:before="200" w:after="0" w:line="417" w:lineRule="auto"/>
        <w:ind w:left="920" w:right="265" w:hanging="720"/>
        <w:jc w:val="left"/>
        <w:rPr>
          <w:sz w:val="28"/>
        </w:rPr>
      </w:pPr>
      <w:r>
        <w:rPr>
          <w:spacing w:val="-12"/>
          <w:sz w:val="28"/>
        </w:rPr>
        <w:t xml:space="preserve">生活给水系统的调试运行：试压合格后排尽水，用 </w:t>
      </w:r>
      <w:r>
        <w:rPr>
          <w:sz w:val="28"/>
        </w:rPr>
        <w:t>20~30mg/L</w:t>
      </w:r>
      <w:r>
        <w:rPr>
          <w:spacing w:val="-6"/>
          <w:sz w:val="28"/>
        </w:rPr>
        <w:t xml:space="preserve"> 浓度的</w:t>
      </w:r>
      <w:r>
        <w:rPr>
          <w:spacing w:val="-9"/>
          <w:sz w:val="28"/>
        </w:rPr>
        <w:t xml:space="preserve">含氯水进行消毒，在管道内停留 </w:t>
      </w:r>
      <w:r>
        <w:rPr>
          <w:sz w:val="28"/>
        </w:rPr>
        <w:t>24h</w:t>
      </w:r>
      <w:r>
        <w:rPr>
          <w:spacing w:val="-10"/>
          <w:sz w:val="28"/>
        </w:rPr>
        <w:t xml:space="preserve"> 后放尽。然后用符合生活饮用水</w:t>
      </w:r>
      <w:r>
        <w:rPr>
          <w:spacing w:val="-14"/>
          <w:sz w:val="28"/>
        </w:rPr>
        <w:t>要求的自来水进行冲洗，并取样送卫生防疫部门检验合格后方准交付。</w:t>
      </w:r>
      <w:r>
        <w:rPr>
          <w:spacing w:val="-2"/>
          <w:sz w:val="28"/>
        </w:rPr>
        <w:t>再将水池内放满水，进行水池、水泵、管路联合试运行，保证每个用</w:t>
      </w:r>
      <w:r>
        <w:rPr>
          <w:spacing w:val="-2"/>
          <w:sz w:val="28"/>
        </w:rPr>
        <w:t>水点有足够的压力及水量，整个系统运行正常，无跑、冒、滴、漏、</w:t>
      </w:r>
      <w:r>
        <w:rPr>
          <w:spacing w:val="-2"/>
          <w:sz w:val="28"/>
        </w:rPr>
        <w:t>渗等现象。</w:t>
      </w:r>
    </w:p>
    <w:p>
      <w:pPr>
        <w:pStyle w:val="ListParagraph"/>
        <w:numPr>
          <w:ilvl w:val="0"/>
          <w:numId w:val="16"/>
        </w:numPr>
        <w:tabs>
          <w:tab w:val="left" w:pos="920"/>
        </w:tabs>
        <w:spacing w:before="0" w:after="0" w:line="417" w:lineRule="auto"/>
        <w:ind w:left="920" w:right="523" w:hanging="720"/>
        <w:jc w:val="both"/>
        <w:rPr>
          <w:sz w:val="28"/>
        </w:rPr>
      </w:pPr>
      <w:r>
        <w:rPr>
          <w:spacing w:val="-6"/>
          <w:sz w:val="28"/>
        </w:rPr>
        <w:t>消防给水系统的调试运行：先作管路冲洗，把水放尽；再将贮水池内</w:t>
      </w:r>
      <w:r>
        <w:rPr>
          <w:spacing w:val="-6"/>
          <w:sz w:val="28"/>
        </w:rPr>
        <w:t>放满水，进行消防泵、消防管路系统、消火栓联合试运行，试验时要</w:t>
      </w:r>
      <w:r>
        <w:rPr>
          <w:spacing w:val="-12"/>
          <w:sz w:val="28"/>
        </w:rPr>
        <w:t>同时试用消火栓不少于两组；另外，要配合电气人员对消火栓箱中消</w:t>
      </w:r>
      <w:r>
        <w:rPr>
          <w:spacing w:val="-2"/>
          <w:sz w:val="28"/>
        </w:rPr>
        <w:t>防泵的自动控制系统和灵敏度进行试验。</w:t>
      </w:r>
    </w:p>
    <w:p>
      <w:pPr>
        <w:pStyle w:val="BodyText"/>
        <w:spacing w:before="159"/>
        <w:ind w:left="760"/>
        <w:jc w:val="both"/>
      </w:pPr>
      <w:r>
        <w:rPr>
          <w:spacing w:val="-1"/>
        </w:rPr>
        <w:t>六、 室内排水系统安装监理要点：</w:t>
      </w:r>
    </w:p>
    <w:p>
      <w:pPr>
        <w:pStyle w:val="BodyText"/>
        <w:spacing w:before="2"/>
        <w:ind w:left="0"/>
      </w:pPr>
    </w:p>
    <w:p>
      <w:pPr>
        <w:pStyle w:val="BodyText"/>
        <w:ind w:left="737"/>
      </w:pPr>
      <w:r>
        <w:t>1</w:t>
      </w:r>
      <w:r>
        <w:rPr>
          <w:spacing w:val="-1"/>
        </w:rPr>
        <w:t>、排水管管材管件应符合设计要求，有出厂合格证。</w:t>
      </w:r>
    </w:p>
    <w:p>
      <w:pPr>
        <w:pStyle w:val="BodyText"/>
        <w:spacing w:before="3"/>
        <w:ind w:left="0"/>
      </w:pPr>
    </w:p>
    <w:p>
      <w:pPr>
        <w:pStyle w:val="BodyText"/>
        <w:spacing w:line="482" w:lineRule="auto"/>
        <w:ind w:right="523" w:firstLine="537"/>
        <w:jc w:val="right"/>
      </w:pPr>
      <w:r>
        <w:rPr>
          <w:spacing w:val="-4"/>
        </w:rPr>
        <w:t>2、塑料排水管内外表层应光滑，无气泡、裂纹、管壁厚薄均匀，色泽</w:t>
      </w:r>
      <w:r>
        <w:rPr>
          <w:spacing w:val="-2"/>
        </w:rPr>
        <w:t>一致。管件造型应规矩、光滑，无毛刺，承口应有梢度，并与插口配套。</w:t>
      </w:r>
      <w:r>
        <w:rPr>
          <w:spacing w:val="-2"/>
        </w:rPr>
        <w:t xml:space="preserve"> </w:t>
      </w:r>
      <w:r>
        <w:t>3、 隐蔽及埋地的排水系统在隐蔽前必须做灌水试验，其灌水高度不</w:t>
      </w:r>
    </w:p>
    <w:p>
      <w:pPr>
        <w:spacing w:after="0" w:line="482" w:lineRule="auto"/>
        <w:jc w:val="right"/>
        <w:sectPr>
          <w:pgSz w:w="11910" w:h="16840"/>
          <w:pgMar w:top="1520" w:right="940" w:bottom="280" w:left="1240" w:header="708" w:footer="708"/>
          <w:pgNumType w:start="13"/>
          <w:cols w:space="708"/>
        </w:sectPr>
      </w:pPr>
    </w:p>
    <w:p>
      <w:pPr>
        <w:pStyle w:val="BodyText"/>
        <w:spacing w:before="38"/>
      </w:pPr>
      <w:r>
        <w:rPr>
          <w:spacing w:val="-1"/>
        </w:rPr>
        <w:t>低于底层卫生器具的上边缘或底层地面高度。</w:t>
      </w:r>
    </w:p>
    <w:p>
      <w:pPr>
        <w:pStyle w:val="BodyText"/>
        <w:spacing w:before="2"/>
        <w:ind w:left="0"/>
      </w:pPr>
    </w:p>
    <w:p>
      <w:pPr>
        <w:pStyle w:val="BodyText"/>
        <w:spacing w:line="482" w:lineRule="auto"/>
        <w:ind w:right="243" w:firstLine="537"/>
      </w:pPr>
      <w:r>
        <w:t>4、 排水塑料管必须按设计要求及位置装设伸缩节，如设计无要求时，</w:t>
      </w:r>
      <w:r>
        <w:rPr>
          <w:spacing w:val="-2"/>
        </w:rPr>
        <w:t>伸缩节间距不得大于4m。</w:t>
      </w:r>
    </w:p>
    <w:p>
      <w:pPr>
        <w:pStyle w:val="BodyText"/>
        <w:spacing w:line="482" w:lineRule="auto"/>
        <w:ind w:right="523" w:firstLine="537"/>
      </w:pPr>
      <w:r>
        <w:rPr>
          <w:spacing w:val="-4"/>
        </w:rPr>
        <w:t>5、排水立管及水平干管均应做通球试验，通球球径不小于排水管管径</w:t>
      </w:r>
      <w:r>
        <w:rPr>
          <w:spacing w:val="-2"/>
        </w:rPr>
        <w:t>的2/3，通球率必须达到100%。</w:t>
      </w:r>
    </w:p>
    <w:p>
      <w:pPr>
        <w:pStyle w:val="BodyText"/>
        <w:spacing w:line="482" w:lineRule="auto"/>
        <w:ind w:right="524" w:firstLine="537"/>
      </w:pPr>
      <w:r>
        <w:t>6、 在生活污水管道上设置的检查口或清扫口，当设计无要求时，应</w:t>
      </w:r>
      <w:r>
        <w:rPr>
          <w:spacing w:val="-2"/>
        </w:rPr>
        <w:t>符合下列规定：</w:t>
      </w:r>
    </w:p>
    <w:p>
      <w:pPr>
        <w:pStyle w:val="ListParagraph"/>
        <w:numPr>
          <w:ilvl w:val="1"/>
          <w:numId w:val="16"/>
        </w:numPr>
        <w:tabs>
          <w:tab w:val="left" w:pos="1585"/>
        </w:tabs>
        <w:spacing w:before="0" w:after="0" w:line="482" w:lineRule="auto"/>
        <w:ind w:left="200" w:right="524" w:firstLine="537"/>
        <w:jc w:val="left"/>
        <w:rPr>
          <w:sz w:val="28"/>
        </w:rPr>
      </w:pPr>
      <w:r>
        <w:rPr>
          <w:spacing w:val="-2"/>
          <w:sz w:val="28"/>
        </w:rPr>
        <w:t>在立管上应每隔一层设置一个检查口，但在最底层和卫生洁具</w:t>
      </w:r>
      <w:r>
        <w:rPr>
          <w:spacing w:val="-2"/>
          <w:sz w:val="28"/>
        </w:rPr>
        <w:t>的最高层必须</w:t>
      </w:r>
    </w:p>
    <w:p>
      <w:pPr>
        <w:pStyle w:val="BodyText"/>
        <w:spacing w:line="482" w:lineRule="auto"/>
        <w:ind w:right="523" w:firstLine="537"/>
      </w:pPr>
      <w:r>
        <w:rPr>
          <w:spacing w:val="-4"/>
        </w:rPr>
        <w:t>设置。检查口中心高度距操作地面1m，允许偏差</w:t>
      </w:r>
      <w:r>
        <w:rPr>
          <w:rFonts w:ascii="Calibri" w:eastAsia="Calibri" w:hAnsi="Calibri"/>
          <w:spacing w:val="-4"/>
        </w:rPr>
        <w:t>±</w:t>
      </w:r>
      <w:r>
        <w:rPr>
          <w:spacing w:val="-4"/>
        </w:rPr>
        <w:t>20mm。检查口的朝向</w:t>
      </w:r>
      <w:r>
        <w:rPr>
          <w:spacing w:val="-2"/>
        </w:rPr>
        <w:t>应便于维修，安装立管，在检查口处应安装检修门；</w:t>
      </w:r>
    </w:p>
    <w:p>
      <w:pPr>
        <w:pStyle w:val="ListParagraph"/>
        <w:numPr>
          <w:ilvl w:val="1"/>
          <w:numId w:val="16"/>
        </w:numPr>
        <w:tabs>
          <w:tab w:val="left" w:pos="1585"/>
        </w:tabs>
        <w:spacing w:before="0" w:after="0" w:line="482" w:lineRule="auto"/>
        <w:ind w:left="200" w:right="523" w:firstLine="537"/>
        <w:jc w:val="both"/>
        <w:rPr>
          <w:sz w:val="28"/>
        </w:rPr>
      </w:pPr>
      <w:r>
        <w:rPr>
          <w:spacing w:val="-2"/>
          <w:sz w:val="28"/>
        </w:rPr>
        <w:t>在连接及两个以上大便器或三个及三个以上卫生洁具的污水横立管上应设置清扫口。当污水管在楼板下悬挂敷设时，可将清扫口设置在</w:t>
      </w:r>
      <w:r>
        <w:rPr>
          <w:spacing w:val="-4"/>
          <w:sz w:val="28"/>
        </w:rPr>
        <w:t>上一层楼地面上。污水管起点的清扫口与管道相垂直的距离不得200mm；若</w:t>
      </w:r>
      <w:r>
        <w:rPr>
          <w:spacing w:val="-2"/>
          <w:sz w:val="28"/>
        </w:rPr>
        <w:t>污水管起点设置堵头代替清扫口时，与墙面距离不得400mm。</w:t>
      </w:r>
    </w:p>
    <w:p>
      <w:pPr>
        <w:pStyle w:val="ListParagraph"/>
        <w:numPr>
          <w:ilvl w:val="1"/>
          <w:numId w:val="16"/>
        </w:numPr>
        <w:tabs>
          <w:tab w:val="left" w:pos="1578"/>
        </w:tabs>
        <w:spacing w:before="0" w:after="0" w:line="354" w:lineRule="exact"/>
        <w:ind w:left="1577" w:right="0" w:hanging="841"/>
        <w:jc w:val="left"/>
        <w:rPr>
          <w:sz w:val="28"/>
        </w:rPr>
      </w:pPr>
      <w:r>
        <w:rPr>
          <w:sz w:val="28"/>
        </w:rPr>
        <w:t>在转角小于135°</w:t>
      </w:r>
      <w:r>
        <w:rPr>
          <w:spacing w:val="-1"/>
          <w:sz w:val="28"/>
        </w:rPr>
        <w:t>的污水横管上，应设置检查口或清扫口。</w:t>
      </w:r>
    </w:p>
    <w:p>
      <w:pPr>
        <w:pStyle w:val="BodyText"/>
        <w:spacing w:before="4"/>
        <w:ind w:left="0"/>
        <w:rPr>
          <w:sz w:val="27"/>
        </w:rPr>
      </w:pPr>
    </w:p>
    <w:p>
      <w:pPr>
        <w:pStyle w:val="ListParagraph"/>
        <w:numPr>
          <w:ilvl w:val="1"/>
          <w:numId w:val="16"/>
        </w:numPr>
        <w:tabs>
          <w:tab w:val="left" w:pos="1585"/>
        </w:tabs>
        <w:spacing w:before="1" w:after="0" w:line="482" w:lineRule="auto"/>
        <w:ind w:left="200" w:right="524" w:firstLine="537"/>
        <w:jc w:val="both"/>
        <w:rPr>
          <w:sz w:val="28"/>
        </w:rPr>
      </w:pPr>
      <w:r>
        <w:rPr>
          <w:spacing w:val="-2"/>
          <w:sz w:val="28"/>
        </w:rPr>
        <w:t>污水横管的直线管段，应按设计要求的距离设置检查口或清扫</w:t>
      </w:r>
      <w:r>
        <w:rPr>
          <w:spacing w:val="-6"/>
          <w:sz w:val="28"/>
        </w:rPr>
        <w:t>口。</w:t>
      </w:r>
    </w:p>
    <w:p>
      <w:pPr>
        <w:pStyle w:val="BodyText"/>
        <w:spacing w:line="357" w:lineRule="exact"/>
        <w:ind w:left="737"/>
      </w:pPr>
      <w:r>
        <w:t>7</w:t>
      </w:r>
      <w:r>
        <w:rPr>
          <w:spacing w:val="-1"/>
        </w:rPr>
        <w:t>、 埋在地下或地板下的排水检查口应在检查井内，井底表面标高应</w:t>
      </w:r>
    </w:p>
    <w:p>
      <w:pPr>
        <w:spacing w:after="0" w:line="357" w:lineRule="exact"/>
        <w:sectPr>
          <w:pgSz w:w="11910" w:h="16840"/>
          <w:pgMar w:top="1680" w:right="940" w:bottom="280" w:left="1240" w:header="708" w:footer="708"/>
          <w:pgNumType w:start="14"/>
          <w:cols w:space="708"/>
        </w:sectPr>
      </w:pPr>
    </w:p>
    <w:p>
      <w:pPr>
        <w:pStyle w:val="BodyText"/>
        <w:spacing w:before="38"/>
      </w:pPr>
      <w:r>
        <w:rPr>
          <w:spacing w:val="-2"/>
        </w:rPr>
        <w:t>与检查口的法兰相平，井底表面应有5</w:t>
      </w:r>
      <w:r>
        <w:rPr>
          <w:rFonts w:ascii="Calibri" w:eastAsia="Calibri" w:hAnsi="Calibri"/>
          <w:spacing w:val="-2"/>
        </w:rPr>
        <w:t>‰</w:t>
      </w:r>
      <w:r>
        <w:rPr>
          <w:spacing w:val="-3"/>
        </w:rPr>
        <w:t>的坡度坡向检查口。</w:t>
      </w:r>
    </w:p>
    <w:p>
      <w:pPr>
        <w:pStyle w:val="BodyText"/>
        <w:spacing w:before="2"/>
        <w:ind w:left="0"/>
      </w:pPr>
    </w:p>
    <w:p>
      <w:pPr>
        <w:pStyle w:val="BodyText"/>
        <w:spacing w:line="482" w:lineRule="auto"/>
        <w:ind w:right="524" w:firstLine="537"/>
        <w:jc w:val="both"/>
      </w:pPr>
      <w:r>
        <w:t>8、 金属排水管道上吊钩或卡箍应固定在承重结构上。规定间距：横</w:t>
      </w:r>
      <w:r>
        <w:rPr>
          <w:spacing w:val="-2"/>
        </w:rPr>
        <w:t>管不2m，立管不3m，楼层高度小于或等于4m，立管上可安装一个固定件，</w:t>
      </w:r>
      <w:r>
        <w:rPr>
          <w:spacing w:val="-2"/>
        </w:rPr>
        <w:t>立管底部的弯管处应设置支墩或、采取固定措施。</w:t>
      </w:r>
    </w:p>
    <w:p>
      <w:pPr>
        <w:pStyle w:val="BodyText"/>
        <w:spacing w:line="355" w:lineRule="exact"/>
        <w:ind w:left="737"/>
      </w:pPr>
      <w:r>
        <w:t>9</w:t>
      </w:r>
      <w:r>
        <w:rPr>
          <w:spacing w:val="-1"/>
        </w:rPr>
        <w:t>、 排水通气管不得与风道或或烟道相连接，且应符合下列规定：</w:t>
      </w:r>
    </w:p>
    <w:p>
      <w:pPr>
        <w:pStyle w:val="BodyText"/>
        <w:spacing w:before="3"/>
        <w:ind w:left="0"/>
      </w:pPr>
    </w:p>
    <w:p>
      <w:pPr>
        <w:pStyle w:val="ListParagraph"/>
        <w:numPr>
          <w:ilvl w:val="0"/>
          <w:numId w:val="15"/>
        </w:numPr>
        <w:tabs>
          <w:tab w:val="left" w:pos="1578"/>
        </w:tabs>
        <w:spacing w:before="0" w:after="0" w:line="240" w:lineRule="auto"/>
        <w:ind w:left="1577" w:right="0" w:hanging="841"/>
        <w:jc w:val="left"/>
        <w:rPr>
          <w:sz w:val="28"/>
        </w:rPr>
      </w:pPr>
      <w:r>
        <w:rPr>
          <w:sz w:val="28"/>
        </w:rPr>
        <w:t>通气管应高出屋面30mm，</w:t>
      </w:r>
      <w:r>
        <w:rPr>
          <w:spacing w:val="-1"/>
          <w:sz w:val="28"/>
        </w:rPr>
        <w:t>但必须大于最大积雪厚度；</w:t>
      </w:r>
    </w:p>
    <w:p>
      <w:pPr>
        <w:pStyle w:val="BodyText"/>
        <w:spacing w:before="2"/>
        <w:ind w:left="0"/>
      </w:pPr>
    </w:p>
    <w:p>
      <w:pPr>
        <w:pStyle w:val="ListParagraph"/>
        <w:numPr>
          <w:ilvl w:val="0"/>
          <w:numId w:val="15"/>
        </w:numPr>
        <w:tabs>
          <w:tab w:val="left" w:pos="1552"/>
        </w:tabs>
        <w:spacing w:before="0" w:after="0" w:line="482" w:lineRule="auto"/>
        <w:ind w:left="200" w:right="523" w:firstLine="537"/>
        <w:jc w:val="left"/>
        <w:rPr>
          <w:sz w:val="28"/>
        </w:rPr>
      </w:pPr>
      <w:r>
        <w:rPr>
          <w:sz w:val="28"/>
        </w:rPr>
        <w:t>在通气管出口4m</w:t>
      </w:r>
      <w:r>
        <w:rPr>
          <w:spacing w:val="-6"/>
          <w:sz w:val="28"/>
        </w:rPr>
        <w:t xml:space="preserve"> 以内有门窗时，通气管应高出门窗</w:t>
      </w:r>
      <w:r>
        <w:rPr>
          <w:sz w:val="28"/>
        </w:rPr>
        <w:t>600mm</w:t>
      </w:r>
      <w:r>
        <w:rPr>
          <w:spacing w:val="-12"/>
          <w:sz w:val="28"/>
        </w:rPr>
        <w:t xml:space="preserve"> 或引</w:t>
      </w:r>
      <w:r>
        <w:rPr>
          <w:spacing w:val="-2"/>
          <w:sz w:val="28"/>
        </w:rPr>
        <w:t>向门窗一侧；</w:t>
      </w:r>
    </w:p>
    <w:p>
      <w:pPr>
        <w:pStyle w:val="ListParagraph"/>
        <w:numPr>
          <w:ilvl w:val="0"/>
          <w:numId w:val="15"/>
        </w:numPr>
        <w:tabs>
          <w:tab w:val="left" w:pos="1585"/>
        </w:tabs>
        <w:spacing w:before="0" w:after="0" w:line="482" w:lineRule="auto"/>
        <w:ind w:left="200" w:right="524" w:firstLine="537"/>
        <w:jc w:val="left"/>
        <w:rPr>
          <w:sz w:val="28"/>
        </w:rPr>
      </w:pPr>
      <w:r>
        <w:rPr>
          <w:spacing w:val="-2"/>
          <w:sz w:val="28"/>
        </w:rPr>
        <w:t>在经常有人停留的平屋面上，通气管应讥出屋面2m，并根据防</w:t>
      </w:r>
      <w:r>
        <w:rPr>
          <w:spacing w:val="-2"/>
          <w:sz w:val="28"/>
        </w:rPr>
        <w:t>雷要求设置。</w:t>
      </w:r>
    </w:p>
    <w:p>
      <w:pPr>
        <w:pStyle w:val="BodyText"/>
        <w:spacing w:line="482" w:lineRule="auto"/>
        <w:ind w:right="523" w:firstLine="537"/>
      </w:pPr>
      <w:r>
        <w:rPr>
          <w:spacing w:val="-2"/>
        </w:rPr>
        <w:t>10</w:t>
      </w:r>
      <w:r>
        <w:rPr>
          <w:spacing w:val="-8"/>
        </w:rPr>
        <w:t>、 通向室外的排水管，穿过墙壁或基础必须下返时，应采用</w:t>
      </w:r>
      <w:r>
        <w:rPr>
          <w:spacing w:val="-2"/>
        </w:rPr>
        <w:t>45°</w:t>
      </w:r>
      <w:r>
        <w:rPr>
          <w:spacing w:val="-2"/>
        </w:rPr>
        <w:t>三</w:t>
      </w:r>
      <w:r>
        <w:rPr>
          <w:spacing w:val="-2"/>
        </w:rPr>
        <w:t>通或45°弯头连接,并应在垂直管道顶部设置清扫口。</w:t>
      </w:r>
    </w:p>
    <w:p>
      <w:pPr>
        <w:pStyle w:val="BodyText"/>
        <w:spacing w:line="482" w:lineRule="auto"/>
        <w:ind w:right="244" w:firstLine="537"/>
      </w:pPr>
      <w:r>
        <w:t>11、 用于室外排水的水平管道与水平管道、水平管道与立管的连接，</w:t>
      </w:r>
      <w:r>
        <w:rPr>
          <w:spacing w:val="-2"/>
        </w:rPr>
        <w:t>应采用45</w:t>
      </w:r>
      <w:r>
        <w:rPr>
          <w:rFonts w:ascii="Calibri" w:eastAsia="Calibri" w:hAnsi="Calibri"/>
          <w:spacing w:val="-2"/>
        </w:rPr>
        <w:t>°</w:t>
      </w:r>
      <w:r>
        <w:rPr>
          <w:spacing w:val="-2"/>
        </w:rPr>
        <w:t>三通或45</w:t>
      </w:r>
      <w:r>
        <w:rPr>
          <w:rFonts w:ascii="Calibri" w:eastAsia="Calibri" w:hAnsi="Calibri"/>
          <w:spacing w:val="-2"/>
        </w:rPr>
        <w:t>°</w:t>
      </w:r>
      <w:r>
        <w:rPr>
          <w:spacing w:val="-2"/>
        </w:rPr>
        <w:t>四通和90</w:t>
      </w:r>
      <w:r>
        <w:rPr>
          <w:rFonts w:ascii="Calibri" w:eastAsia="Calibri" w:hAnsi="Calibri"/>
          <w:spacing w:val="-2"/>
        </w:rPr>
        <w:t>°</w:t>
      </w:r>
      <w:r>
        <w:rPr>
          <w:spacing w:val="-2"/>
        </w:rPr>
        <w:t>斜三通或90</w:t>
      </w:r>
      <w:r>
        <w:rPr>
          <w:rFonts w:ascii="Calibri" w:eastAsia="Calibri" w:hAnsi="Calibri"/>
          <w:spacing w:val="-2"/>
        </w:rPr>
        <w:t>°</w:t>
      </w:r>
      <w:r>
        <w:rPr>
          <w:spacing w:val="-10"/>
        </w:rPr>
        <w:t>斜四通。立管与排出管端部的连</w:t>
      </w:r>
      <w:r>
        <w:rPr>
          <w:spacing w:val="-2"/>
        </w:rPr>
        <w:t xml:space="preserve"> </w:t>
      </w:r>
      <w:r>
        <w:t>接应采用两个45</w:t>
      </w:r>
      <w:r>
        <w:rPr>
          <w:rFonts w:ascii="Calibri" w:eastAsia="Calibri" w:hAnsi="Calibri"/>
        </w:rPr>
        <w:t>°</w:t>
      </w:r>
      <w:r>
        <w:t>弯头或曲率半径不小于4 倍管径的90</w:t>
      </w:r>
      <w:r>
        <w:rPr>
          <w:rFonts w:ascii="Calibri" w:eastAsia="Calibri" w:hAnsi="Calibri"/>
        </w:rPr>
        <w:t>°</w:t>
      </w:r>
      <w:r>
        <w:t>弯头。</w:t>
      </w:r>
    </w:p>
    <w:p>
      <w:pPr>
        <w:pStyle w:val="BodyText"/>
        <w:spacing w:line="355" w:lineRule="exact"/>
        <w:ind w:left="737"/>
      </w:pPr>
      <w:r>
        <w:t>12</w:t>
      </w:r>
      <w:r>
        <w:rPr>
          <w:spacing w:val="-1"/>
        </w:rPr>
        <w:t>、埋地管道的管沟，应底面平整，无突出的尖硬物，对塑料管可做</w:t>
      </w:r>
    </w:p>
    <w:p>
      <w:pPr>
        <w:pStyle w:val="BodyText"/>
        <w:spacing w:before="9"/>
        <w:ind w:left="0"/>
        <w:rPr>
          <w:sz w:val="27"/>
        </w:rPr>
      </w:pPr>
    </w:p>
    <w:p>
      <w:pPr>
        <w:pStyle w:val="BodyText"/>
      </w:pPr>
      <w:r>
        <w:t>100~150mm 砂垫层，垫层宽度不小于管径的2.5</w:t>
      </w:r>
      <w:r>
        <w:rPr>
          <w:spacing w:val="-1"/>
        </w:rPr>
        <w:t xml:space="preserve"> 倍,坡度与管道坡度相同。</w:t>
      </w:r>
    </w:p>
    <w:p>
      <w:pPr>
        <w:pStyle w:val="BodyText"/>
        <w:spacing w:before="2"/>
        <w:ind w:left="0"/>
      </w:pPr>
    </w:p>
    <w:p>
      <w:pPr>
        <w:pStyle w:val="BodyText"/>
        <w:spacing w:line="482" w:lineRule="auto"/>
        <w:ind w:right="523" w:firstLine="537"/>
      </w:pPr>
      <w:r>
        <w:rPr>
          <w:spacing w:val="-2"/>
        </w:rPr>
        <w:t>13、排出管及排水横管在穿越建筑物承重墙或基础时，要预留孔洞，</w:t>
      </w:r>
      <w:r>
        <w:rPr>
          <w:spacing w:val="-5"/>
        </w:rPr>
        <w:t>其管顶上部的净空高度不得小于房屋的沉降量，并且不小于</w:t>
      </w:r>
      <w:r>
        <w:rPr>
          <w:spacing w:val="-2"/>
        </w:rPr>
        <w:t>0.15m</w:t>
      </w:r>
      <w:r>
        <w:rPr>
          <w:spacing w:val="-4"/>
        </w:rPr>
        <w:t>。排出管</w:t>
      </w:r>
    </w:p>
    <w:p>
      <w:pPr>
        <w:spacing w:after="0" w:line="482" w:lineRule="auto"/>
        <w:sectPr>
          <w:pgSz w:w="11910" w:h="16840"/>
          <w:pgMar w:top="1680" w:right="940" w:bottom="280" w:left="1240" w:header="708" w:footer="708"/>
          <w:pgNumType w:start="15"/>
          <w:cols w:space="708"/>
        </w:sectPr>
      </w:pPr>
    </w:p>
    <w:p>
      <w:pPr>
        <w:pStyle w:val="BodyText"/>
        <w:spacing w:before="38"/>
      </w:pPr>
      <w:r>
        <w:rPr>
          <w:spacing w:val="-1"/>
        </w:rPr>
        <w:t>穿过地下室或地下构筑物的墙壁时，应采取防水措施。</w:t>
      </w:r>
    </w:p>
    <w:p>
      <w:pPr>
        <w:pStyle w:val="BodyText"/>
        <w:spacing w:before="2"/>
        <w:ind w:left="0"/>
      </w:pPr>
    </w:p>
    <w:p>
      <w:pPr>
        <w:pStyle w:val="BodyText"/>
        <w:spacing w:line="482" w:lineRule="auto"/>
        <w:ind w:right="524" w:firstLine="537"/>
      </w:pPr>
      <w:r>
        <w:t>14、排水系统竣工后做通水试验，按给水系统1/3 配水点同时开放，</w:t>
      </w:r>
      <w:r>
        <w:rPr>
          <w:spacing w:val="-2"/>
        </w:rPr>
        <w:t>检查各排水点是否畅通，接口有无渗漏。</w:t>
      </w:r>
    </w:p>
    <w:p>
      <w:pPr>
        <w:pStyle w:val="BodyText"/>
        <w:spacing w:line="482" w:lineRule="auto"/>
        <w:ind w:left="737" w:right="3526"/>
      </w:pPr>
      <w:r>
        <w:t>15</w:t>
      </w:r>
      <w:r>
        <w:rPr>
          <w:spacing w:val="-6"/>
        </w:rPr>
        <w:t>、 雨水管道不得与生活污水管道相连接。</w:t>
      </w:r>
      <w:r>
        <w:t>七、 卫生洁具安装监理要点：</w:t>
      </w:r>
    </w:p>
    <w:p>
      <w:pPr>
        <w:pStyle w:val="BodyText"/>
        <w:spacing w:line="482" w:lineRule="auto"/>
        <w:ind w:right="524" w:firstLine="537"/>
      </w:pPr>
      <w:r>
        <w:t>1、 卫生洁具按装前根据设计要求和土建确定的基准线，确定好卫生</w:t>
      </w:r>
      <w:r>
        <w:rPr>
          <w:spacing w:val="-2"/>
        </w:rPr>
        <w:t>洁具的标高。</w:t>
      </w:r>
    </w:p>
    <w:p>
      <w:pPr>
        <w:pStyle w:val="BodyText"/>
        <w:spacing w:line="482" w:lineRule="auto"/>
        <w:ind w:right="243" w:firstLine="537"/>
      </w:pPr>
      <w:r>
        <w:t>2、 所有与卫生洁具连接的管道水压、灌水试验已完毕，并办好隐蔽、</w:t>
      </w:r>
      <w:r>
        <w:rPr>
          <w:spacing w:val="-2"/>
        </w:rPr>
        <w:t>预检手续，卫生洁具安装应待室内装修基本完成后再进行安装。</w:t>
      </w:r>
    </w:p>
    <w:p>
      <w:pPr>
        <w:pStyle w:val="BodyText"/>
        <w:spacing w:line="482" w:lineRule="auto"/>
        <w:ind w:right="524" w:firstLine="537"/>
        <w:jc w:val="both"/>
      </w:pPr>
      <w:r>
        <w:t>3、 进入现场的卫生洁具、配件必须具有中文质量合格证明文件、规</w:t>
      </w:r>
      <w:r>
        <w:rPr>
          <w:spacing w:val="-2"/>
        </w:rPr>
        <w:t>格、型号及性能检测报告，符合国家技术标准或设计要求。对进场的所有</w:t>
      </w:r>
      <w:r>
        <w:rPr>
          <w:spacing w:val="-2"/>
        </w:rPr>
        <w:t>卫生洁具的品种、规格、外观等进行检查，包装应完好，表面无划痕及外</w:t>
      </w:r>
      <w:r>
        <w:rPr>
          <w:spacing w:val="-2"/>
        </w:rPr>
        <w:t>力冲击破损。</w:t>
      </w:r>
    </w:p>
    <w:p>
      <w:pPr>
        <w:pStyle w:val="BodyText"/>
        <w:spacing w:line="482" w:lineRule="auto"/>
        <w:ind w:right="524" w:firstLine="537"/>
        <w:jc w:val="both"/>
      </w:pPr>
      <w:r>
        <w:t>4、 配合土建单位做好前期的预留预埋工作，卫生洁具安装前，检查</w:t>
      </w:r>
      <w:r>
        <w:rPr>
          <w:spacing w:val="-2"/>
        </w:rPr>
        <w:t>复核预留预埋件或孔洞的准确性。</w:t>
      </w:r>
    </w:p>
    <w:p>
      <w:pPr>
        <w:pStyle w:val="BodyText"/>
        <w:spacing w:line="357" w:lineRule="exact"/>
        <w:ind w:left="737"/>
      </w:pPr>
      <w:r>
        <w:t>5</w:t>
      </w:r>
      <w:r>
        <w:rPr>
          <w:spacing w:val="-1"/>
        </w:rPr>
        <w:t>、 卫生洁具安装应采用预埋螺栓或膨胀螺栓安装固定。</w:t>
      </w:r>
    </w:p>
    <w:p>
      <w:pPr>
        <w:pStyle w:val="BodyText"/>
        <w:spacing w:before="2"/>
        <w:ind w:left="0"/>
        <w:rPr>
          <w:sz w:val="27"/>
        </w:rPr>
      </w:pPr>
    </w:p>
    <w:p>
      <w:pPr>
        <w:pStyle w:val="BodyText"/>
        <w:spacing w:line="482" w:lineRule="auto"/>
        <w:ind w:right="243" w:firstLine="537"/>
      </w:pPr>
      <w:r>
        <w:t>6、 排水栓和地漏的安装应平正、牢固，低于排水表面，周边无渗漏，</w:t>
      </w:r>
      <w:r>
        <w:rPr>
          <w:spacing w:val="-2"/>
        </w:rPr>
        <w:t>地漏水封高不得小于50mm。</w:t>
      </w:r>
    </w:p>
    <w:p>
      <w:pPr>
        <w:pStyle w:val="BodyText"/>
        <w:spacing w:line="357" w:lineRule="exact"/>
        <w:ind w:left="737"/>
      </w:pPr>
      <w:r>
        <w:t>7</w:t>
      </w:r>
      <w:r>
        <w:rPr>
          <w:spacing w:val="-1"/>
        </w:rPr>
        <w:t>、 卫生洁具交工前应做满水和通水试验。</w:t>
      </w:r>
    </w:p>
    <w:p>
      <w:pPr>
        <w:spacing w:after="0" w:line="357"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https://d.book118.com/955230241203011120</w:t>
        </w:r>
      </w:hyperlink>
    </w:p>
    <w:p>
      <w:pPr>
        <w:spacing w:after="0" w:line="357" w:lineRule="exact"/>
      </w:pPr>
    </w:p>
    <w:sectPr>
      <w:pgSz w:w="11910" w:h="16840"/>
      <w:pgMar w:top="1680" w:right="940" w:bottom="280" w:left="1240" w:header="708" w:footer="708"/>
      <w:pgNumType w:start="1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76B0E"/>
    <w:multiLevelType w:val="hybridMultilevel"/>
    <w:tmpl w:val="00000000"/>
    <w:lvl w:ilvl="0">
      <w:start w:val="1"/>
      <w:numFmt w:val="decimal"/>
      <w:lvlText w:val="%1）"/>
      <w:lvlJc w:val="left"/>
      <w:pPr>
        <w:ind w:left="920" w:hanging="720"/>
        <w:jc w:val="left"/>
      </w:pPr>
      <w:rPr>
        <w:rFonts w:ascii="宋体" w:eastAsia="宋体" w:hAnsi="宋体" w:cs="宋体" w:hint="default"/>
        <w:b w:val="0"/>
        <w:bCs w:val="0"/>
        <w:i w:val="0"/>
        <w:iCs w:val="0"/>
        <w:w w:val="100"/>
        <w:sz w:val="28"/>
        <w:szCs w:val="28"/>
        <w:lang w:val="en-US" w:eastAsia="zh-CN" w:bidi="ar-SA"/>
      </w:rPr>
    </w:lvl>
    <w:lvl w:ilvl="1">
      <w:start w:val="1"/>
      <w:numFmt w:val="decimal"/>
      <w:lvlText w:val="（%2）"/>
      <w:lvlJc w:val="left"/>
      <w:pPr>
        <w:ind w:left="200" w:hanging="847"/>
        <w:jc w:val="left"/>
      </w:pPr>
      <w:rPr>
        <w:rFonts w:ascii="宋体" w:eastAsia="宋体" w:hAnsi="宋体" w:cs="宋体" w:hint="default"/>
        <w:b w:val="0"/>
        <w:bCs w:val="0"/>
        <w:i w:val="0"/>
        <w:iCs w:val="0"/>
        <w:spacing w:val="0"/>
        <w:w w:val="100"/>
        <w:sz w:val="28"/>
        <w:szCs w:val="28"/>
        <w:lang w:val="en-US" w:eastAsia="zh-CN" w:bidi="ar-SA"/>
      </w:rPr>
    </w:lvl>
    <w:lvl w:ilvl="2">
      <w:start w:val="0"/>
      <w:numFmt w:val="bullet"/>
      <w:lvlText w:val="•"/>
      <w:lvlJc w:val="left"/>
      <w:pPr>
        <w:ind w:left="1898" w:hanging="847"/>
      </w:pPr>
      <w:rPr>
        <w:rFonts w:hint="default"/>
        <w:lang w:val="en-US" w:eastAsia="zh-CN" w:bidi="ar-SA"/>
      </w:rPr>
    </w:lvl>
    <w:lvl w:ilvl="3">
      <w:start w:val="0"/>
      <w:numFmt w:val="bullet"/>
      <w:lvlText w:val="•"/>
      <w:lvlJc w:val="left"/>
      <w:pPr>
        <w:ind w:left="2876" w:hanging="847"/>
      </w:pPr>
      <w:rPr>
        <w:rFonts w:hint="default"/>
        <w:lang w:val="en-US" w:eastAsia="zh-CN" w:bidi="ar-SA"/>
      </w:rPr>
    </w:lvl>
    <w:lvl w:ilvl="4">
      <w:start w:val="0"/>
      <w:numFmt w:val="bullet"/>
      <w:lvlText w:val="•"/>
      <w:lvlJc w:val="left"/>
      <w:pPr>
        <w:ind w:left="3855" w:hanging="847"/>
      </w:pPr>
      <w:rPr>
        <w:rFonts w:hint="default"/>
        <w:lang w:val="en-US" w:eastAsia="zh-CN" w:bidi="ar-SA"/>
      </w:rPr>
    </w:lvl>
    <w:lvl w:ilvl="5">
      <w:start w:val="0"/>
      <w:numFmt w:val="bullet"/>
      <w:lvlText w:val="•"/>
      <w:lvlJc w:val="left"/>
      <w:pPr>
        <w:ind w:left="4833" w:hanging="847"/>
      </w:pPr>
      <w:rPr>
        <w:rFonts w:hint="default"/>
        <w:lang w:val="en-US" w:eastAsia="zh-CN" w:bidi="ar-SA"/>
      </w:rPr>
    </w:lvl>
    <w:lvl w:ilvl="6">
      <w:start w:val="0"/>
      <w:numFmt w:val="bullet"/>
      <w:lvlText w:val="•"/>
      <w:lvlJc w:val="left"/>
      <w:pPr>
        <w:ind w:left="5812" w:hanging="847"/>
      </w:pPr>
      <w:rPr>
        <w:rFonts w:hint="default"/>
        <w:lang w:val="en-US" w:eastAsia="zh-CN" w:bidi="ar-SA"/>
      </w:rPr>
    </w:lvl>
    <w:lvl w:ilvl="7">
      <w:start w:val="0"/>
      <w:numFmt w:val="bullet"/>
      <w:lvlText w:val="•"/>
      <w:lvlJc w:val="left"/>
      <w:pPr>
        <w:ind w:left="6790" w:hanging="847"/>
      </w:pPr>
      <w:rPr>
        <w:rFonts w:hint="default"/>
        <w:lang w:val="en-US" w:eastAsia="zh-CN" w:bidi="ar-SA"/>
      </w:rPr>
    </w:lvl>
    <w:lvl w:ilvl="8">
      <w:start w:val="0"/>
      <w:numFmt w:val="bullet"/>
      <w:lvlText w:val="•"/>
      <w:lvlJc w:val="left"/>
      <w:pPr>
        <w:ind w:left="7769" w:hanging="847"/>
      </w:pPr>
      <w:rPr>
        <w:rFonts w:hint="default"/>
        <w:lang w:val="en-US" w:eastAsia="zh-CN" w:bidi="ar-SA"/>
      </w:rPr>
    </w:lvl>
  </w:abstractNum>
  <w:abstractNum w:abstractNumId="1">
    <w:nsid w:val="04E0FF3C"/>
    <w:multiLevelType w:val="hybridMultilevel"/>
    <w:tmpl w:val="00000000"/>
    <w:lvl w:ilvl="0">
      <w:start w:val="1"/>
      <w:numFmt w:val="decimal"/>
      <w:lvlText w:val="（%1）"/>
      <w:lvlJc w:val="left"/>
      <w:pPr>
        <w:ind w:left="1577" w:hanging="840"/>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2394" w:hanging="840"/>
      </w:pPr>
      <w:rPr>
        <w:rFonts w:hint="default"/>
        <w:lang w:val="en-US" w:eastAsia="zh-CN" w:bidi="ar-SA"/>
      </w:rPr>
    </w:lvl>
    <w:lvl w:ilvl="2">
      <w:start w:val="0"/>
      <w:numFmt w:val="bullet"/>
      <w:lvlText w:val="•"/>
      <w:lvlJc w:val="left"/>
      <w:pPr>
        <w:ind w:left="3209" w:hanging="840"/>
      </w:pPr>
      <w:rPr>
        <w:rFonts w:hint="default"/>
        <w:lang w:val="en-US" w:eastAsia="zh-CN" w:bidi="ar-SA"/>
      </w:rPr>
    </w:lvl>
    <w:lvl w:ilvl="3">
      <w:start w:val="0"/>
      <w:numFmt w:val="bullet"/>
      <w:lvlText w:val="•"/>
      <w:lvlJc w:val="left"/>
      <w:pPr>
        <w:ind w:left="4023" w:hanging="840"/>
      </w:pPr>
      <w:rPr>
        <w:rFonts w:hint="default"/>
        <w:lang w:val="en-US" w:eastAsia="zh-CN" w:bidi="ar-SA"/>
      </w:rPr>
    </w:lvl>
    <w:lvl w:ilvl="4">
      <w:start w:val="0"/>
      <w:numFmt w:val="bullet"/>
      <w:lvlText w:val="•"/>
      <w:lvlJc w:val="left"/>
      <w:pPr>
        <w:ind w:left="4838" w:hanging="840"/>
      </w:pPr>
      <w:rPr>
        <w:rFonts w:hint="default"/>
        <w:lang w:val="en-US" w:eastAsia="zh-CN" w:bidi="ar-SA"/>
      </w:rPr>
    </w:lvl>
    <w:lvl w:ilvl="5">
      <w:start w:val="0"/>
      <w:numFmt w:val="bullet"/>
      <w:lvlText w:val="•"/>
      <w:lvlJc w:val="left"/>
      <w:pPr>
        <w:ind w:left="5653" w:hanging="840"/>
      </w:pPr>
      <w:rPr>
        <w:rFonts w:hint="default"/>
        <w:lang w:val="en-US" w:eastAsia="zh-CN" w:bidi="ar-SA"/>
      </w:rPr>
    </w:lvl>
    <w:lvl w:ilvl="6">
      <w:start w:val="0"/>
      <w:numFmt w:val="bullet"/>
      <w:lvlText w:val="•"/>
      <w:lvlJc w:val="left"/>
      <w:pPr>
        <w:ind w:left="6467" w:hanging="840"/>
      </w:pPr>
      <w:rPr>
        <w:rFonts w:hint="default"/>
        <w:lang w:val="en-US" w:eastAsia="zh-CN" w:bidi="ar-SA"/>
      </w:rPr>
    </w:lvl>
    <w:lvl w:ilvl="7">
      <w:start w:val="0"/>
      <w:numFmt w:val="bullet"/>
      <w:lvlText w:val="•"/>
      <w:lvlJc w:val="left"/>
      <w:pPr>
        <w:ind w:left="7282" w:hanging="840"/>
      </w:pPr>
      <w:rPr>
        <w:rFonts w:hint="default"/>
        <w:lang w:val="en-US" w:eastAsia="zh-CN" w:bidi="ar-SA"/>
      </w:rPr>
    </w:lvl>
    <w:lvl w:ilvl="8">
      <w:start w:val="0"/>
      <w:numFmt w:val="bullet"/>
      <w:lvlText w:val="•"/>
      <w:lvlJc w:val="left"/>
      <w:pPr>
        <w:ind w:left="8096" w:hanging="840"/>
      </w:pPr>
      <w:rPr>
        <w:rFonts w:hint="default"/>
        <w:lang w:val="en-US" w:eastAsia="zh-CN" w:bidi="ar-SA"/>
      </w:rPr>
    </w:lvl>
  </w:abstractNum>
  <w:abstractNum w:abstractNumId="2">
    <w:nsid w:val="0A94EDD5"/>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3">
    <w:nsid w:val="0B1382AD"/>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4">
    <w:nsid w:val="180ED494"/>
    <w:multiLevelType w:val="hybridMultilevel"/>
    <w:tmpl w:val="00000000"/>
    <w:lvl w:ilvl="0">
      <w:start w:val="1"/>
      <w:numFmt w:val="decimal"/>
      <w:lvlText w:val="%1"/>
      <w:lvlJc w:val="left"/>
      <w:pPr>
        <w:ind w:left="635" w:hanging="436"/>
        <w:jc w:val="left"/>
      </w:pPr>
      <w:rPr>
        <w:rFonts w:ascii="Calibri" w:eastAsia="Calibri" w:hAnsi="Calibri" w:cs="Calibri" w:hint="default"/>
        <w:b w:val="0"/>
        <w:bCs w:val="0"/>
        <w:i w:val="0"/>
        <w:iCs w:val="0"/>
        <w:w w:val="100"/>
        <w:sz w:val="28"/>
        <w:szCs w:val="28"/>
        <w:lang w:val="en-US" w:eastAsia="zh-CN" w:bidi="ar-SA"/>
      </w:rPr>
    </w:lvl>
    <w:lvl w:ilvl="1">
      <w:start w:val="1"/>
      <w:numFmt w:val="decimal"/>
      <w:lvlText w:val="（%2）"/>
      <w:lvlJc w:val="left"/>
      <w:pPr>
        <w:ind w:left="1577" w:hanging="84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485" w:hanging="840"/>
      </w:pPr>
      <w:rPr>
        <w:rFonts w:hint="default"/>
        <w:lang w:val="en-US" w:eastAsia="zh-CN" w:bidi="ar-SA"/>
      </w:rPr>
    </w:lvl>
    <w:lvl w:ilvl="3">
      <w:start w:val="0"/>
      <w:numFmt w:val="bullet"/>
      <w:lvlText w:val="•"/>
      <w:lvlJc w:val="left"/>
      <w:pPr>
        <w:ind w:left="3390" w:hanging="840"/>
      </w:pPr>
      <w:rPr>
        <w:rFonts w:hint="default"/>
        <w:lang w:val="en-US" w:eastAsia="zh-CN" w:bidi="ar-SA"/>
      </w:rPr>
    </w:lvl>
    <w:lvl w:ilvl="4">
      <w:start w:val="0"/>
      <w:numFmt w:val="bullet"/>
      <w:lvlText w:val="•"/>
      <w:lvlJc w:val="left"/>
      <w:pPr>
        <w:ind w:left="4295" w:hanging="840"/>
      </w:pPr>
      <w:rPr>
        <w:rFonts w:hint="default"/>
        <w:lang w:val="en-US" w:eastAsia="zh-CN" w:bidi="ar-SA"/>
      </w:rPr>
    </w:lvl>
    <w:lvl w:ilvl="5">
      <w:start w:val="0"/>
      <w:numFmt w:val="bullet"/>
      <w:lvlText w:val="•"/>
      <w:lvlJc w:val="left"/>
      <w:pPr>
        <w:ind w:left="5200" w:hanging="840"/>
      </w:pPr>
      <w:rPr>
        <w:rFonts w:hint="default"/>
        <w:lang w:val="en-US" w:eastAsia="zh-CN" w:bidi="ar-SA"/>
      </w:rPr>
    </w:lvl>
    <w:lvl w:ilvl="6">
      <w:start w:val="0"/>
      <w:numFmt w:val="bullet"/>
      <w:lvlText w:val="•"/>
      <w:lvlJc w:val="left"/>
      <w:pPr>
        <w:ind w:left="6105" w:hanging="840"/>
      </w:pPr>
      <w:rPr>
        <w:rFonts w:hint="default"/>
        <w:lang w:val="en-US" w:eastAsia="zh-CN" w:bidi="ar-SA"/>
      </w:rPr>
    </w:lvl>
    <w:lvl w:ilvl="7">
      <w:start w:val="0"/>
      <w:numFmt w:val="bullet"/>
      <w:lvlText w:val="•"/>
      <w:lvlJc w:val="left"/>
      <w:pPr>
        <w:ind w:left="7010" w:hanging="840"/>
      </w:pPr>
      <w:rPr>
        <w:rFonts w:hint="default"/>
        <w:lang w:val="en-US" w:eastAsia="zh-CN" w:bidi="ar-SA"/>
      </w:rPr>
    </w:lvl>
    <w:lvl w:ilvl="8">
      <w:start w:val="0"/>
      <w:numFmt w:val="bullet"/>
      <w:lvlText w:val="•"/>
      <w:lvlJc w:val="left"/>
      <w:pPr>
        <w:ind w:left="7915" w:hanging="840"/>
      </w:pPr>
      <w:rPr>
        <w:rFonts w:hint="default"/>
        <w:lang w:val="en-US" w:eastAsia="zh-CN" w:bidi="ar-SA"/>
      </w:rPr>
    </w:lvl>
  </w:abstractNum>
  <w:abstractNum w:abstractNumId="5">
    <w:nsid w:val="1B21A79E"/>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6">
    <w:nsid w:val="1B279A76"/>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7">
    <w:nsid w:val="1B6F97CB"/>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109"/>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8">
    <w:nsid w:val="1C9D6DB7"/>
    <w:multiLevelType w:val="hybridMultilevel"/>
    <w:tmpl w:val="00000000"/>
    <w:lvl w:ilvl="0">
      <w:start w:val="1"/>
      <w:numFmt w:val="decimal"/>
      <w:lvlText w:val="（%1）"/>
      <w:lvlJc w:val="left"/>
      <w:pPr>
        <w:ind w:left="1577" w:hanging="840"/>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2394" w:hanging="840"/>
      </w:pPr>
      <w:rPr>
        <w:rFonts w:hint="default"/>
        <w:lang w:val="en-US" w:eastAsia="zh-CN" w:bidi="ar-SA"/>
      </w:rPr>
    </w:lvl>
    <w:lvl w:ilvl="2">
      <w:start w:val="0"/>
      <w:numFmt w:val="bullet"/>
      <w:lvlText w:val="•"/>
      <w:lvlJc w:val="left"/>
      <w:pPr>
        <w:ind w:left="3209" w:hanging="840"/>
      </w:pPr>
      <w:rPr>
        <w:rFonts w:hint="default"/>
        <w:lang w:val="en-US" w:eastAsia="zh-CN" w:bidi="ar-SA"/>
      </w:rPr>
    </w:lvl>
    <w:lvl w:ilvl="3">
      <w:start w:val="0"/>
      <w:numFmt w:val="bullet"/>
      <w:lvlText w:val="•"/>
      <w:lvlJc w:val="left"/>
      <w:pPr>
        <w:ind w:left="4023" w:hanging="840"/>
      </w:pPr>
      <w:rPr>
        <w:rFonts w:hint="default"/>
        <w:lang w:val="en-US" w:eastAsia="zh-CN" w:bidi="ar-SA"/>
      </w:rPr>
    </w:lvl>
    <w:lvl w:ilvl="4">
      <w:start w:val="0"/>
      <w:numFmt w:val="bullet"/>
      <w:lvlText w:val="•"/>
      <w:lvlJc w:val="left"/>
      <w:pPr>
        <w:ind w:left="4838" w:hanging="840"/>
      </w:pPr>
      <w:rPr>
        <w:rFonts w:hint="default"/>
        <w:lang w:val="en-US" w:eastAsia="zh-CN" w:bidi="ar-SA"/>
      </w:rPr>
    </w:lvl>
    <w:lvl w:ilvl="5">
      <w:start w:val="0"/>
      <w:numFmt w:val="bullet"/>
      <w:lvlText w:val="•"/>
      <w:lvlJc w:val="left"/>
      <w:pPr>
        <w:ind w:left="5653" w:hanging="840"/>
      </w:pPr>
      <w:rPr>
        <w:rFonts w:hint="default"/>
        <w:lang w:val="en-US" w:eastAsia="zh-CN" w:bidi="ar-SA"/>
      </w:rPr>
    </w:lvl>
    <w:lvl w:ilvl="6">
      <w:start w:val="0"/>
      <w:numFmt w:val="bullet"/>
      <w:lvlText w:val="•"/>
      <w:lvlJc w:val="left"/>
      <w:pPr>
        <w:ind w:left="6467" w:hanging="840"/>
      </w:pPr>
      <w:rPr>
        <w:rFonts w:hint="default"/>
        <w:lang w:val="en-US" w:eastAsia="zh-CN" w:bidi="ar-SA"/>
      </w:rPr>
    </w:lvl>
    <w:lvl w:ilvl="7">
      <w:start w:val="0"/>
      <w:numFmt w:val="bullet"/>
      <w:lvlText w:val="•"/>
      <w:lvlJc w:val="left"/>
      <w:pPr>
        <w:ind w:left="7282" w:hanging="840"/>
      </w:pPr>
      <w:rPr>
        <w:rFonts w:hint="default"/>
        <w:lang w:val="en-US" w:eastAsia="zh-CN" w:bidi="ar-SA"/>
      </w:rPr>
    </w:lvl>
    <w:lvl w:ilvl="8">
      <w:start w:val="0"/>
      <w:numFmt w:val="bullet"/>
      <w:lvlText w:val="•"/>
      <w:lvlJc w:val="left"/>
      <w:pPr>
        <w:ind w:left="8096" w:hanging="840"/>
      </w:pPr>
      <w:rPr>
        <w:rFonts w:hint="default"/>
        <w:lang w:val="en-US" w:eastAsia="zh-CN" w:bidi="ar-SA"/>
      </w:rPr>
    </w:lvl>
  </w:abstractNum>
  <w:abstractNum w:abstractNumId="9">
    <w:nsid w:val="201435B5"/>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20"/>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10">
    <w:nsid w:val="220CFA15"/>
    <w:multiLevelType w:val="hybridMultilevel"/>
    <w:tmpl w:val="00000000"/>
    <w:lvl w:ilvl="0">
      <w:start w:val="1"/>
      <w:numFmt w:val="decimal"/>
      <w:lvlText w:val="%1"/>
      <w:lvlJc w:val="left"/>
      <w:pPr>
        <w:ind w:left="635" w:hanging="436"/>
        <w:jc w:val="left"/>
      </w:pPr>
      <w:rPr>
        <w:rFonts w:ascii="Calibri" w:eastAsia="Calibri" w:hAnsi="Calibri" w:cs="Calibri" w:hint="default"/>
        <w:b w:val="0"/>
        <w:bCs w:val="0"/>
        <w:i w:val="0"/>
        <w:iCs w:val="0"/>
        <w:w w:val="100"/>
        <w:sz w:val="28"/>
        <w:szCs w:val="28"/>
        <w:lang w:val="en-US" w:eastAsia="zh-CN" w:bidi="ar-SA"/>
      </w:rPr>
    </w:lvl>
    <w:lvl w:ilvl="1">
      <w:start w:val="1"/>
      <w:numFmt w:val="decimal"/>
      <w:lvlText w:val="（%2）"/>
      <w:lvlJc w:val="left"/>
      <w:pPr>
        <w:ind w:left="1577" w:hanging="84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485" w:hanging="840"/>
      </w:pPr>
      <w:rPr>
        <w:rFonts w:hint="default"/>
        <w:lang w:val="en-US" w:eastAsia="zh-CN" w:bidi="ar-SA"/>
      </w:rPr>
    </w:lvl>
    <w:lvl w:ilvl="3">
      <w:start w:val="0"/>
      <w:numFmt w:val="bullet"/>
      <w:lvlText w:val="•"/>
      <w:lvlJc w:val="left"/>
      <w:pPr>
        <w:ind w:left="3390" w:hanging="840"/>
      </w:pPr>
      <w:rPr>
        <w:rFonts w:hint="default"/>
        <w:lang w:val="en-US" w:eastAsia="zh-CN" w:bidi="ar-SA"/>
      </w:rPr>
    </w:lvl>
    <w:lvl w:ilvl="4">
      <w:start w:val="0"/>
      <w:numFmt w:val="bullet"/>
      <w:lvlText w:val="•"/>
      <w:lvlJc w:val="left"/>
      <w:pPr>
        <w:ind w:left="4295" w:hanging="840"/>
      </w:pPr>
      <w:rPr>
        <w:rFonts w:hint="default"/>
        <w:lang w:val="en-US" w:eastAsia="zh-CN" w:bidi="ar-SA"/>
      </w:rPr>
    </w:lvl>
    <w:lvl w:ilvl="5">
      <w:start w:val="0"/>
      <w:numFmt w:val="bullet"/>
      <w:lvlText w:val="•"/>
      <w:lvlJc w:val="left"/>
      <w:pPr>
        <w:ind w:left="5200" w:hanging="840"/>
      </w:pPr>
      <w:rPr>
        <w:rFonts w:hint="default"/>
        <w:lang w:val="en-US" w:eastAsia="zh-CN" w:bidi="ar-SA"/>
      </w:rPr>
    </w:lvl>
    <w:lvl w:ilvl="6">
      <w:start w:val="0"/>
      <w:numFmt w:val="bullet"/>
      <w:lvlText w:val="•"/>
      <w:lvlJc w:val="left"/>
      <w:pPr>
        <w:ind w:left="6105" w:hanging="840"/>
      </w:pPr>
      <w:rPr>
        <w:rFonts w:hint="default"/>
        <w:lang w:val="en-US" w:eastAsia="zh-CN" w:bidi="ar-SA"/>
      </w:rPr>
    </w:lvl>
    <w:lvl w:ilvl="7">
      <w:start w:val="0"/>
      <w:numFmt w:val="bullet"/>
      <w:lvlText w:val="•"/>
      <w:lvlJc w:val="left"/>
      <w:pPr>
        <w:ind w:left="7010" w:hanging="840"/>
      </w:pPr>
      <w:rPr>
        <w:rFonts w:hint="default"/>
        <w:lang w:val="en-US" w:eastAsia="zh-CN" w:bidi="ar-SA"/>
      </w:rPr>
    </w:lvl>
    <w:lvl w:ilvl="8">
      <w:start w:val="0"/>
      <w:numFmt w:val="bullet"/>
      <w:lvlText w:val="•"/>
      <w:lvlJc w:val="left"/>
      <w:pPr>
        <w:ind w:left="7915" w:hanging="840"/>
      </w:pPr>
      <w:rPr>
        <w:rFonts w:hint="default"/>
        <w:lang w:val="en-US" w:eastAsia="zh-CN" w:bidi="ar-SA"/>
      </w:rPr>
    </w:lvl>
  </w:abstractNum>
  <w:abstractNum w:abstractNumId="11">
    <w:nsid w:val="23E80609"/>
    <w:multiLevelType w:val="hybridMultilevel"/>
    <w:tmpl w:val="00000000"/>
    <w:lvl w:ilvl="0">
      <w:start w:val="2"/>
      <w:numFmt w:val="decimal"/>
      <w:lvlText w:val="（%1）"/>
      <w:lvlJc w:val="left"/>
      <w:pPr>
        <w:ind w:left="200" w:hanging="703"/>
        <w:jc w:val="right"/>
      </w:pPr>
      <w:rPr>
        <w:rFonts w:ascii="宋体" w:eastAsia="宋体" w:hAnsi="宋体" w:cs="宋体" w:hint="default"/>
        <w:b w:val="0"/>
        <w:bCs w:val="0"/>
        <w:i w:val="0"/>
        <w:iCs w:val="0"/>
        <w:spacing w:val="-139"/>
        <w:w w:val="100"/>
        <w:sz w:val="26"/>
        <w:szCs w:val="26"/>
        <w:lang w:val="en-US" w:eastAsia="zh-CN" w:bidi="ar-SA"/>
      </w:rPr>
    </w:lvl>
    <w:lvl w:ilvl="1">
      <w:start w:val="0"/>
      <w:numFmt w:val="bullet"/>
      <w:lvlText w:val="•"/>
      <w:lvlJc w:val="left"/>
      <w:pPr>
        <w:ind w:left="1152" w:hanging="703"/>
      </w:pPr>
      <w:rPr>
        <w:rFonts w:hint="default"/>
        <w:lang w:val="en-US" w:eastAsia="zh-CN" w:bidi="ar-SA"/>
      </w:rPr>
    </w:lvl>
    <w:lvl w:ilvl="2">
      <w:start w:val="0"/>
      <w:numFmt w:val="bullet"/>
      <w:lvlText w:val="•"/>
      <w:lvlJc w:val="left"/>
      <w:pPr>
        <w:ind w:left="2105" w:hanging="703"/>
      </w:pPr>
      <w:rPr>
        <w:rFonts w:hint="default"/>
        <w:lang w:val="en-US" w:eastAsia="zh-CN" w:bidi="ar-SA"/>
      </w:rPr>
    </w:lvl>
    <w:lvl w:ilvl="3">
      <w:start w:val="0"/>
      <w:numFmt w:val="bullet"/>
      <w:lvlText w:val="•"/>
      <w:lvlJc w:val="left"/>
      <w:pPr>
        <w:ind w:left="3057" w:hanging="703"/>
      </w:pPr>
      <w:rPr>
        <w:rFonts w:hint="default"/>
        <w:lang w:val="en-US" w:eastAsia="zh-CN" w:bidi="ar-SA"/>
      </w:rPr>
    </w:lvl>
    <w:lvl w:ilvl="4">
      <w:start w:val="0"/>
      <w:numFmt w:val="bullet"/>
      <w:lvlText w:val="•"/>
      <w:lvlJc w:val="left"/>
      <w:pPr>
        <w:ind w:left="4010" w:hanging="703"/>
      </w:pPr>
      <w:rPr>
        <w:rFonts w:hint="default"/>
        <w:lang w:val="en-US" w:eastAsia="zh-CN" w:bidi="ar-SA"/>
      </w:rPr>
    </w:lvl>
    <w:lvl w:ilvl="5">
      <w:start w:val="0"/>
      <w:numFmt w:val="bullet"/>
      <w:lvlText w:val="•"/>
      <w:lvlJc w:val="left"/>
      <w:pPr>
        <w:ind w:left="4963" w:hanging="703"/>
      </w:pPr>
      <w:rPr>
        <w:rFonts w:hint="default"/>
        <w:lang w:val="en-US" w:eastAsia="zh-CN" w:bidi="ar-SA"/>
      </w:rPr>
    </w:lvl>
    <w:lvl w:ilvl="6">
      <w:start w:val="0"/>
      <w:numFmt w:val="bullet"/>
      <w:lvlText w:val="•"/>
      <w:lvlJc w:val="left"/>
      <w:pPr>
        <w:ind w:left="5915" w:hanging="703"/>
      </w:pPr>
      <w:rPr>
        <w:rFonts w:hint="default"/>
        <w:lang w:val="en-US" w:eastAsia="zh-CN" w:bidi="ar-SA"/>
      </w:rPr>
    </w:lvl>
    <w:lvl w:ilvl="7">
      <w:start w:val="0"/>
      <w:numFmt w:val="bullet"/>
      <w:lvlText w:val="•"/>
      <w:lvlJc w:val="left"/>
      <w:pPr>
        <w:ind w:left="6868" w:hanging="703"/>
      </w:pPr>
      <w:rPr>
        <w:rFonts w:hint="default"/>
        <w:lang w:val="en-US" w:eastAsia="zh-CN" w:bidi="ar-SA"/>
      </w:rPr>
    </w:lvl>
    <w:lvl w:ilvl="8">
      <w:start w:val="0"/>
      <w:numFmt w:val="bullet"/>
      <w:lvlText w:val="•"/>
      <w:lvlJc w:val="left"/>
      <w:pPr>
        <w:ind w:left="7820" w:hanging="703"/>
      </w:pPr>
      <w:rPr>
        <w:rFonts w:hint="default"/>
        <w:lang w:val="en-US" w:eastAsia="zh-CN" w:bidi="ar-SA"/>
      </w:rPr>
    </w:lvl>
  </w:abstractNum>
  <w:abstractNum w:abstractNumId="12">
    <w:nsid w:val="452B0CF5"/>
    <w:multiLevelType w:val="hybridMultilevel"/>
    <w:tmpl w:val="00000000"/>
    <w:lvl w:ilvl="0">
      <w:start w:val="1"/>
      <w:numFmt w:val="decimal"/>
      <w:lvlText w:val="（%1）"/>
      <w:lvlJc w:val="left"/>
      <w:pPr>
        <w:ind w:left="200" w:hanging="714"/>
        <w:jc w:val="lef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152" w:hanging="714"/>
      </w:pPr>
      <w:rPr>
        <w:rFonts w:hint="default"/>
        <w:lang w:val="en-US" w:eastAsia="zh-CN" w:bidi="ar-SA"/>
      </w:rPr>
    </w:lvl>
    <w:lvl w:ilvl="2">
      <w:start w:val="0"/>
      <w:numFmt w:val="bullet"/>
      <w:lvlText w:val="•"/>
      <w:lvlJc w:val="left"/>
      <w:pPr>
        <w:ind w:left="2105" w:hanging="714"/>
      </w:pPr>
      <w:rPr>
        <w:rFonts w:hint="default"/>
        <w:lang w:val="en-US" w:eastAsia="zh-CN" w:bidi="ar-SA"/>
      </w:rPr>
    </w:lvl>
    <w:lvl w:ilvl="3">
      <w:start w:val="0"/>
      <w:numFmt w:val="bullet"/>
      <w:lvlText w:val="•"/>
      <w:lvlJc w:val="left"/>
      <w:pPr>
        <w:ind w:left="3057" w:hanging="714"/>
      </w:pPr>
      <w:rPr>
        <w:rFonts w:hint="default"/>
        <w:lang w:val="en-US" w:eastAsia="zh-CN" w:bidi="ar-SA"/>
      </w:rPr>
    </w:lvl>
    <w:lvl w:ilvl="4">
      <w:start w:val="0"/>
      <w:numFmt w:val="bullet"/>
      <w:lvlText w:val="•"/>
      <w:lvlJc w:val="left"/>
      <w:pPr>
        <w:ind w:left="4010" w:hanging="714"/>
      </w:pPr>
      <w:rPr>
        <w:rFonts w:hint="default"/>
        <w:lang w:val="en-US" w:eastAsia="zh-CN" w:bidi="ar-SA"/>
      </w:rPr>
    </w:lvl>
    <w:lvl w:ilvl="5">
      <w:start w:val="0"/>
      <w:numFmt w:val="bullet"/>
      <w:lvlText w:val="•"/>
      <w:lvlJc w:val="left"/>
      <w:pPr>
        <w:ind w:left="4963" w:hanging="714"/>
      </w:pPr>
      <w:rPr>
        <w:rFonts w:hint="default"/>
        <w:lang w:val="en-US" w:eastAsia="zh-CN" w:bidi="ar-SA"/>
      </w:rPr>
    </w:lvl>
    <w:lvl w:ilvl="6">
      <w:start w:val="0"/>
      <w:numFmt w:val="bullet"/>
      <w:lvlText w:val="•"/>
      <w:lvlJc w:val="left"/>
      <w:pPr>
        <w:ind w:left="5915" w:hanging="714"/>
      </w:pPr>
      <w:rPr>
        <w:rFonts w:hint="default"/>
        <w:lang w:val="en-US" w:eastAsia="zh-CN" w:bidi="ar-SA"/>
      </w:rPr>
    </w:lvl>
    <w:lvl w:ilvl="7">
      <w:start w:val="0"/>
      <w:numFmt w:val="bullet"/>
      <w:lvlText w:val="•"/>
      <w:lvlJc w:val="left"/>
      <w:pPr>
        <w:ind w:left="6868" w:hanging="714"/>
      </w:pPr>
      <w:rPr>
        <w:rFonts w:hint="default"/>
        <w:lang w:val="en-US" w:eastAsia="zh-CN" w:bidi="ar-SA"/>
      </w:rPr>
    </w:lvl>
    <w:lvl w:ilvl="8">
      <w:start w:val="0"/>
      <w:numFmt w:val="bullet"/>
      <w:lvlText w:val="•"/>
      <w:lvlJc w:val="left"/>
      <w:pPr>
        <w:ind w:left="7820" w:hanging="714"/>
      </w:pPr>
      <w:rPr>
        <w:rFonts w:hint="default"/>
        <w:lang w:val="en-US" w:eastAsia="zh-CN" w:bidi="ar-SA"/>
      </w:rPr>
    </w:lvl>
  </w:abstractNum>
  <w:abstractNum w:abstractNumId="13">
    <w:nsid w:val="4970B5F5"/>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14">
    <w:nsid w:val="5027DC16"/>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39"/>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15">
    <w:nsid w:val="5576E618"/>
    <w:multiLevelType w:val="hybridMultilevel"/>
    <w:tmpl w:val="00000000"/>
    <w:lvl w:ilvl="0">
      <w:start w:val="1"/>
      <w:numFmt w:val="decimal"/>
      <w:lvlText w:val="（%1）"/>
      <w:lvlJc w:val="left"/>
      <w:pPr>
        <w:ind w:left="143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8" w:hanging="701"/>
      </w:pPr>
      <w:rPr>
        <w:rFonts w:hint="default"/>
        <w:lang w:val="en-US" w:eastAsia="zh-CN" w:bidi="ar-SA"/>
      </w:rPr>
    </w:lvl>
    <w:lvl w:ilvl="2">
      <w:start w:val="0"/>
      <w:numFmt w:val="bullet"/>
      <w:lvlText w:val="•"/>
      <w:lvlJc w:val="left"/>
      <w:pPr>
        <w:ind w:left="3097" w:hanging="701"/>
      </w:pPr>
      <w:rPr>
        <w:rFonts w:hint="default"/>
        <w:lang w:val="en-US" w:eastAsia="zh-CN" w:bidi="ar-SA"/>
      </w:rPr>
    </w:lvl>
    <w:lvl w:ilvl="3">
      <w:start w:val="0"/>
      <w:numFmt w:val="bullet"/>
      <w:lvlText w:val="•"/>
      <w:lvlJc w:val="left"/>
      <w:pPr>
        <w:ind w:left="3925" w:hanging="701"/>
      </w:pPr>
      <w:rPr>
        <w:rFonts w:hint="default"/>
        <w:lang w:val="en-US" w:eastAsia="zh-CN" w:bidi="ar-SA"/>
      </w:rPr>
    </w:lvl>
    <w:lvl w:ilvl="4">
      <w:start w:val="0"/>
      <w:numFmt w:val="bullet"/>
      <w:lvlText w:val="•"/>
      <w:lvlJc w:val="left"/>
      <w:pPr>
        <w:ind w:left="4754" w:hanging="701"/>
      </w:pPr>
      <w:rPr>
        <w:rFonts w:hint="default"/>
        <w:lang w:val="en-US" w:eastAsia="zh-CN" w:bidi="ar-SA"/>
      </w:rPr>
    </w:lvl>
    <w:lvl w:ilvl="5">
      <w:start w:val="0"/>
      <w:numFmt w:val="bullet"/>
      <w:lvlText w:val="•"/>
      <w:lvlJc w:val="left"/>
      <w:pPr>
        <w:ind w:left="5583" w:hanging="701"/>
      </w:pPr>
      <w:rPr>
        <w:rFonts w:hint="default"/>
        <w:lang w:val="en-US" w:eastAsia="zh-CN" w:bidi="ar-SA"/>
      </w:rPr>
    </w:lvl>
    <w:lvl w:ilvl="6">
      <w:start w:val="0"/>
      <w:numFmt w:val="bullet"/>
      <w:lvlText w:val="•"/>
      <w:lvlJc w:val="left"/>
      <w:pPr>
        <w:ind w:left="6411" w:hanging="701"/>
      </w:pPr>
      <w:rPr>
        <w:rFonts w:hint="default"/>
        <w:lang w:val="en-US" w:eastAsia="zh-CN" w:bidi="ar-SA"/>
      </w:rPr>
    </w:lvl>
    <w:lvl w:ilvl="7">
      <w:start w:val="0"/>
      <w:numFmt w:val="bullet"/>
      <w:lvlText w:val="•"/>
      <w:lvlJc w:val="left"/>
      <w:pPr>
        <w:ind w:left="7240" w:hanging="701"/>
      </w:pPr>
      <w:rPr>
        <w:rFonts w:hint="default"/>
        <w:lang w:val="en-US" w:eastAsia="zh-CN" w:bidi="ar-SA"/>
      </w:rPr>
    </w:lvl>
    <w:lvl w:ilvl="8">
      <w:start w:val="0"/>
      <w:numFmt w:val="bullet"/>
      <w:lvlText w:val="•"/>
      <w:lvlJc w:val="left"/>
      <w:pPr>
        <w:ind w:left="8068" w:hanging="701"/>
      </w:pPr>
      <w:rPr>
        <w:rFonts w:hint="default"/>
        <w:lang w:val="en-US" w:eastAsia="zh-CN" w:bidi="ar-SA"/>
      </w:rPr>
    </w:lvl>
  </w:abstractNum>
  <w:abstractNum w:abstractNumId="16">
    <w:nsid w:val="56FE5619"/>
    <w:multiLevelType w:val="hybridMultilevel"/>
    <w:tmpl w:val="00000000"/>
    <w:lvl w:ilvl="0">
      <w:start w:val="2"/>
      <w:numFmt w:val="decimal"/>
      <w:lvlText w:val="（%1）"/>
      <w:lvlJc w:val="left"/>
      <w:pPr>
        <w:ind w:left="200" w:hanging="703"/>
        <w:jc w:val="right"/>
      </w:pPr>
      <w:rPr>
        <w:rFonts w:ascii="宋体" w:eastAsia="宋体" w:hAnsi="宋体" w:cs="宋体" w:hint="default"/>
        <w:b w:val="0"/>
        <w:bCs w:val="0"/>
        <w:i w:val="0"/>
        <w:iCs w:val="0"/>
        <w:spacing w:val="-139"/>
        <w:w w:val="100"/>
        <w:sz w:val="26"/>
        <w:szCs w:val="26"/>
        <w:lang w:val="en-US" w:eastAsia="zh-CN" w:bidi="ar-SA"/>
      </w:rPr>
    </w:lvl>
    <w:lvl w:ilvl="1">
      <w:start w:val="0"/>
      <w:numFmt w:val="bullet"/>
      <w:lvlText w:val="•"/>
      <w:lvlJc w:val="left"/>
      <w:pPr>
        <w:ind w:left="1152" w:hanging="703"/>
      </w:pPr>
      <w:rPr>
        <w:rFonts w:hint="default"/>
        <w:lang w:val="en-US" w:eastAsia="zh-CN" w:bidi="ar-SA"/>
      </w:rPr>
    </w:lvl>
    <w:lvl w:ilvl="2">
      <w:start w:val="0"/>
      <w:numFmt w:val="bullet"/>
      <w:lvlText w:val="•"/>
      <w:lvlJc w:val="left"/>
      <w:pPr>
        <w:ind w:left="2105" w:hanging="703"/>
      </w:pPr>
      <w:rPr>
        <w:rFonts w:hint="default"/>
        <w:lang w:val="en-US" w:eastAsia="zh-CN" w:bidi="ar-SA"/>
      </w:rPr>
    </w:lvl>
    <w:lvl w:ilvl="3">
      <w:start w:val="0"/>
      <w:numFmt w:val="bullet"/>
      <w:lvlText w:val="•"/>
      <w:lvlJc w:val="left"/>
      <w:pPr>
        <w:ind w:left="3057" w:hanging="703"/>
      </w:pPr>
      <w:rPr>
        <w:rFonts w:hint="default"/>
        <w:lang w:val="en-US" w:eastAsia="zh-CN" w:bidi="ar-SA"/>
      </w:rPr>
    </w:lvl>
    <w:lvl w:ilvl="4">
      <w:start w:val="0"/>
      <w:numFmt w:val="bullet"/>
      <w:lvlText w:val="•"/>
      <w:lvlJc w:val="left"/>
      <w:pPr>
        <w:ind w:left="4010" w:hanging="703"/>
      </w:pPr>
      <w:rPr>
        <w:rFonts w:hint="default"/>
        <w:lang w:val="en-US" w:eastAsia="zh-CN" w:bidi="ar-SA"/>
      </w:rPr>
    </w:lvl>
    <w:lvl w:ilvl="5">
      <w:start w:val="0"/>
      <w:numFmt w:val="bullet"/>
      <w:lvlText w:val="•"/>
      <w:lvlJc w:val="left"/>
      <w:pPr>
        <w:ind w:left="4963" w:hanging="703"/>
      </w:pPr>
      <w:rPr>
        <w:rFonts w:hint="default"/>
        <w:lang w:val="en-US" w:eastAsia="zh-CN" w:bidi="ar-SA"/>
      </w:rPr>
    </w:lvl>
    <w:lvl w:ilvl="6">
      <w:start w:val="0"/>
      <w:numFmt w:val="bullet"/>
      <w:lvlText w:val="•"/>
      <w:lvlJc w:val="left"/>
      <w:pPr>
        <w:ind w:left="5915" w:hanging="703"/>
      </w:pPr>
      <w:rPr>
        <w:rFonts w:hint="default"/>
        <w:lang w:val="en-US" w:eastAsia="zh-CN" w:bidi="ar-SA"/>
      </w:rPr>
    </w:lvl>
    <w:lvl w:ilvl="7">
      <w:start w:val="0"/>
      <w:numFmt w:val="bullet"/>
      <w:lvlText w:val="•"/>
      <w:lvlJc w:val="left"/>
      <w:pPr>
        <w:ind w:left="6868" w:hanging="703"/>
      </w:pPr>
      <w:rPr>
        <w:rFonts w:hint="default"/>
        <w:lang w:val="en-US" w:eastAsia="zh-CN" w:bidi="ar-SA"/>
      </w:rPr>
    </w:lvl>
    <w:lvl w:ilvl="8">
      <w:start w:val="0"/>
      <w:numFmt w:val="bullet"/>
      <w:lvlText w:val="•"/>
      <w:lvlJc w:val="left"/>
      <w:pPr>
        <w:ind w:left="7820" w:hanging="703"/>
      </w:pPr>
      <w:rPr>
        <w:rFonts w:hint="default"/>
        <w:lang w:val="en-US" w:eastAsia="zh-CN" w:bidi="ar-SA"/>
      </w:rPr>
    </w:lvl>
  </w:abstractNum>
  <w:abstractNum w:abstractNumId="17">
    <w:nsid w:val="5BC5A8C0"/>
    <w:multiLevelType w:val="hybridMultilevel"/>
    <w:tmpl w:val="00000000"/>
    <w:lvl w:ilvl="0">
      <w:start w:val="14"/>
      <w:numFmt w:val="upperLetter"/>
      <w:lvlText w:val="（%1）"/>
      <w:lvlJc w:val="left"/>
      <w:pPr>
        <w:ind w:left="901" w:hanging="70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2）"/>
      <w:lvlJc w:val="left"/>
      <w:pPr>
        <w:ind w:left="1438" w:hanging="701"/>
        <w:jc w:val="left"/>
      </w:pPr>
      <w:rPr>
        <w:rFonts w:ascii="宋体" w:eastAsia="宋体" w:hAnsi="宋体" w:cs="宋体" w:hint="default"/>
        <w:b w:val="0"/>
        <w:bCs w:val="0"/>
        <w:i w:val="0"/>
        <w:iCs w:val="0"/>
        <w:w w:val="100"/>
        <w:sz w:val="26"/>
        <w:szCs w:val="26"/>
        <w:lang w:val="en-US" w:eastAsia="zh-CN" w:bidi="ar-SA"/>
      </w:rPr>
    </w:lvl>
    <w:lvl w:ilvl="2">
      <w:start w:val="0"/>
      <w:numFmt w:val="bullet"/>
      <w:lvlText w:val="•"/>
      <w:lvlJc w:val="left"/>
      <w:pPr>
        <w:ind w:left="2360" w:hanging="701"/>
      </w:pPr>
      <w:rPr>
        <w:rFonts w:hint="default"/>
        <w:lang w:val="en-US" w:eastAsia="zh-CN" w:bidi="ar-SA"/>
      </w:rPr>
    </w:lvl>
    <w:lvl w:ilvl="3">
      <w:start w:val="0"/>
      <w:numFmt w:val="bullet"/>
      <w:lvlText w:val="•"/>
      <w:lvlJc w:val="left"/>
      <w:pPr>
        <w:ind w:left="3281" w:hanging="701"/>
      </w:pPr>
      <w:rPr>
        <w:rFonts w:hint="default"/>
        <w:lang w:val="en-US" w:eastAsia="zh-CN" w:bidi="ar-SA"/>
      </w:rPr>
    </w:lvl>
    <w:lvl w:ilvl="4">
      <w:start w:val="0"/>
      <w:numFmt w:val="bullet"/>
      <w:lvlText w:val="•"/>
      <w:lvlJc w:val="left"/>
      <w:pPr>
        <w:ind w:left="4202" w:hanging="701"/>
      </w:pPr>
      <w:rPr>
        <w:rFonts w:hint="default"/>
        <w:lang w:val="en-US" w:eastAsia="zh-CN" w:bidi="ar-SA"/>
      </w:rPr>
    </w:lvl>
    <w:lvl w:ilvl="5">
      <w:start w:val="0"/>
      <w:numFmt w:val="bullet"/>
      <w:lvlText w:val="•"/>
      <w:lvlJc w:val="left"/>
      <w:pPr>
        <w:ind w:left="5122" w:hanging="701"/>
      </w:pPr>
      <w:rPr>
        <w:rFonts w:hint="default"/>
        <w:lang w:val="en-US" w:eastAsia="zh-CN" w:bidi="ar-SA"/>
      </w:rPr>
    </w:lvl>
    <w:lvl w:ilvl="6">
      <w:start w:val="0"/>
      <w:numFmt w:val="bullet"/>
      <w:lvlText w:val="•"/>
      <w:lvlJc w:val="left"/>
      <w:pPr>
        <w:ind w:left="6043" w:hanging="701"/>
      </w:pPr>
      <w:rPr>
        <w:rFonts w:hint="default"/>
        <w:lang w:val="en-US" w:eastAsia="zh-CN" w:bidi="ar-SA"/>
      </w:rPr>
    </w:lvl>
    <w:lvl w:ilvl="7">
      <w:start w:val="0"/>
      <w:numFmt w:val="bullet"/>
      <w:lvlText w:val="•"/>
      <w:lvlJc w:val="left"/>
      <w:pPr>
        <w:ind w:left="6964" w:hanging="701"/>
      </w:pPr>
      <w:rPr>
        <w:rFonts w:hint="default"/>
        <w:lang w:val="en-US" w:eastAsia="zh-CN" w:bidi="ar-SA"/>
      </w:rPr>
    </w:lvl>
    <w:lvl w:ilvl="8">
      <w:start w:val="0"/>
      <w:numFmt w:val="bullet"/>
      <w:lvlText w:val="•"/>
      <w:lvlJc w:val="left"/>
      <w:pPr>
        <w:ind w:left="7884" w:hanging="701"/>
      </w:pPr>
      <w:rPr>
        <w:rFonts w:hint="default"/>
        <w:lang w:val="en-US" w:eastAsia="zh-CN" w:bidi="ar-SA"/>
      </w:rPr>
    </w:lvl>
  </w:abstractNum>
  <w:abstractNum w:abstractNumId="18">
    <w:nsid w:val="616E4B6F"/>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39"/>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19">
    <w:nsid w:val="6E581E89"/>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26"/>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20">
    <w:nsid w:val="7AF16A6B"/>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spacing w:val="-109"/>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abstractNum w:abstractNumId="21">
    <w:nsid w:val="7DD277AD"/>
    <w:multiLevelType w:val="hybridMultilevel"/>
    <w:tmpl w:val="00000000"/>
    <w:lvl w:ilvl="0">
      <w:start w:val="1"/>
      <w:numFmt w:val="decimal"/>
      <w:lvlText w:val="（%1）"/>
      <w:lvlJc w:val="left"/>
      <w:pPr>
        <w:ind w:left="200"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152" w:hanging="701"/>
      </w:pPr>
      <w:rPr>
        <w:rFonts w:hint="default"/>
        <w:lang w:val="en-US" w:eastAsia="zh-CN" w:bidi="ar-SA"/>
      </w:rPr>
    </w:lvl>
    <w:lvl w:ilvl="2">
      <w:start w:val="0"/>
      <w:numFmt w:val="bullet"/>
      <w:lvlText w:val="•"/>
      <w:lvlJc w:val="left"/>
      <w:pPr>
        <w:ind w:left="2105" w:hanging="701"/>
      </w:pPr>
      <w:rPr>
        <w:rFonts w:hint="default"/>
        <w:lang w:val="en-US" w:eastAsia="zh-CN" w:bidi="ar-SA"/>
      </w:rPr>
    </w:lvl>
    <w:lvl w:ilvl="3">
      <w:start w:val="0"/>
      <w:numFmt w:val="bullet"/>
      <w:lvlText w:val="•"/>
      <w:lvlJc w:val="left"/>
      <w:pPr>
        <w:ind w:left="3057" w:hanging="701"/>
      </w:pPr>
      <w:rPr>
        <w:rFonts w:hint="default"/>
        <w:lang w:val="en-US" w:eastAsia="zh-CN" w:bidi="ar-SA"/>
      </w:rPr>
    </w:lvl>
    <w:lvl w:ilvl="4">
      <w:start w:val="0"/>
      <w:numFmt w:val="bullet"/>
      <w:lvlText w:val="•"/>
      <w:lvlJc w:val="left"/>
      <w:pPr>
        <w:ind w:left="4010" w:hanging="701"/>
      </w:pPr>
      <w:rPr>
        <w:rFonts w:hint="default"/>
        <w:lang w:val="en-US" w:eastAsia="zh-CN" w:bidi="ar-SA"/>
      </w:rPr>
    </w:lvl>
    <w:lvl w:ilvl="5">
      <w:start w:val="0"/>
      <w:numFmt w:val="bullet"/>
      <w:lvlText w:val="•"/>
      <w:lvlJc w:val="left"/>
      <w:pPr>
        <w:ind w:left="4963" w:hanging="701"/>
      </w:pPr>
      <w:rPr>
        <w:rFonts w:hint="default"/>
        <w:lang w:val="en-US" w:eastAsia="zh-CN" w:bidi="ar-SA"/>
      </w:rPr>
    </w:lvl>
    <w:lvl w:ilvl="6">
      <w:start w:val="0"/>
      <w:numFmt w:val="bullet"/>
      <w:lvlText w:val="•"/>
      <w:lvlJc w:val="left"/>
      <w:pPr>
        <w:ind w:left="5915" w:hanging="701"/>
      </w:pPr>
      <w:rPr>
        <w:rFonts w:hint="default"/>
        <w:lang w:val="en-US" w:eastAsia="zh-CN" w:bidi="ar-SA"/>
      </w:rPr>
    </w:lvl>
    <w:lvl w:ilvl="7">
      <w:start w:val="0"/>
      <w:numFmt w:val="bullet"/>
      <w:lvlText w:val="•"/>
      <w:lvlJc w:val="left"/>
      <w:pPr>
        <w:ind w:left="6868" w:hanging="701"/>
      </w:pPr>
      <w:rPr>
        <w:rFonts w:hint="default"/>
        <w:lang w:val="en-US" w:eastAsia="zh-CN" w:bidi="ar-SA"/>
      </w:rPr>
    </w:lvl>
    <w:lvl w:ilvl="8">
      <w:start w:val="0"/>
      <w:numFmt w:val="bullet"/>
      <w:lvlText w:val="•"/>
      <w:lvlJc w:val="left"/>
      <w:pPr>
        <w:ind w:left="7820" w:hanging="701"/>
      </w:pPr>
      <w:rPr>
        <w:rFonts w:hint="default"/>
        <w:lang w:val="en-US" w:eastAsia="zh-CN" w:bidi="ar-SA"/>
      </w:rPr>
    </w:lvl>
  </w:abstractNum>
  <w:num w:numId="1">
    <w:abstractNumId w:val="2"/>
  </w:num>
  <w:num w:numId="2">
    <w:abstractNumId w:val="15"/>
  </w:num>
  <w:num w:numId="3">
    <w:abstractNumId w:val="18"/>
  </w:num>
  <w:num w:numId="4">
    <w:abstractNumId w:val="13"/>
  </w:num>
  <w:num w:numId="5">
    <w:abstractNumId w:val="19"/>
  </w:num>
  <w:num w:numId="6">
    <w:abstractNumId w:val="20"/>
  </w:num>
  <w:num w:numId="7">
    <w:abstractNumId w:val="6"/>
  </w:num>
  <w:num w:numId="8">
    <w:abstractNumId w:val="12"/>
  </w:num>
  <w:num w:numId="9">
    <w:abstractNumId w:val="14"/>
  </w:num>
  <w:num w:numId="10">
    <w:abstractNumId w:val="5"/>
  </w:num>
  <w:num w:numId="11">
    <w:abstractNumId w:val="9"/>
  </w:num>
  <w:num w:numId="12">
    <w:abstractNumId w:val="21"/>
  </w:num>
  <w:num w:numId="13">
    <w:abstractNumId w:val="7"/>
  </w:num>
  <w:num w:numId="14">
    <w:abstractNumId w:val="17"/>
  </w:num>
  <w:num w:numId="15">
    <w:abstractNumId w:val="1"/>
  </w:num>
  <w:num w:numId="16">
    <w:abstractNumId w:val="0"/>
  </w:num>
  <w:num w:numId="17">
    <w:abstractNumId w:val="11"/>
  </w:num>
  <w:num w:numId="18">
    <w:abstractNumId w:val="3"/>
  </w:num>
  <w:num w:numId="19">
    <w:abstractNumId w:val="8"/>
  </w:num>
  <w:num w:numId="20">
    <w:abstractNumId w:val="10"/>
  </w:num>
  <w:num w:numId="21">
    <w:abstractNumId w:val="4"/>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491" w:lineRule="exact"/>
      <w:ind w:right="325"/>
      <w:jc w:val="center"/>
      <w:outlineLvl w:val="0"/>
    </w:pPr>
    <w:rPr>
      <w:rFonts w:ascii="Microsoft JhengHei" w:eastAsia="Microsoft JhengHei" w:hAnsi="Microsoft JhengHei" w:cs="Microsoft JhengHei"/>
      <w:b/>
      <w:bCs/>
      <w:sz w:val="30"/>
      <w:szCs w:val="30"/>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00"/>
    </w:pPr>
    <w:rPr>
      <w:rFonts w:ascii="宋体" w:eastAsia="宋体" w:hAnsi="宋体" w:cs="宋体"/>
      <w:sz w:val="28"/>
      <w:szCs w:val="28"/>
      <w:lang w:val="en-US" w:eastAsia="zh-CN" w:bidi="ar-SA"/>
    </w:rPr>
  </w:style>
  <w:style w:type="paragraph" w:styleId="Title">
    <w:name w:val="Title"/>
    <w:basedOn w:val="Normal"/>
    <w:uiPriority w:val="1"/>
    <w:qFormat/>
    <w:pPr>
      <w:ind w:left="4177" w:right="4246"/>
    </w:pPr>
    <w:rPr>
      <w:rFonts w:ascii="Microsoft JhengHei" w:eastAsia="Microsoft JhengHei" w:hAnsi="Microsoft JhengHei" w:cs="Microsoft JhengHei"/>
      <w:b/>
      <w:bCs/>
      <w:sz w:val="52"/>
      <w:szCs w:val="52"/>
      <w:lang w:val="en-US" w:eastAsia="zh-CN" w:bidi="ar-SA"/>
    </w:rPr>
  </w:style>
  <w:style w:type="paragraph" w:styleId="ListParagraph">
    <w:name w:val="List Paragraph"/>
    <w:basedOn w:val="Normal"/>
    <w:uiPriority w:val="1"/>
    <w:qFormat/>
    <w:pPr>
      <w:ind w:left="200" w:firstLine="537"/>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955230241203011120"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2024-03-01T15:43:34Z</dcterms:created>
  <dcterms:modified xsi:type="dcterms:W3CDTF">2024-03-01T15:43:34Z</dcterms:modified>
</cp:coreProperties>
</file>