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jc w:val="center"/>
        <w:rPr>
          <w:rFonts w:ascii="宋体" w:hAnsi="宋体" w:hint="eastAsia"/>
          <w:sz w:val="52"/>
          <w:szCs w:val="52"/>
        </w:rPr>
      </w:pPr>
      <w:bookmarkStart w:id="0" w:name="_GoBack"/>
      <w:bookmarkEnd w:id="0"/>
    </w:p>
    <w:p>
      <w:pPr>
        <w:pStyle w:val="Normal0"/>
        <w:jc w:val="center"/>
        <w:rPr>
          <w:rFonts w:ascii="宋体" w:hAnsi="宋体" w:hint="eastAsia"/>
          <w:sz w:val="52"/>
          <w:szCs w:val="52"/>
        </w:rPr>
      </w:pPr>
    </w:p>
    <w:p>
      <w:pPr>
        <w:pStyle w:val="Normal0"/>
        <w:jc w:val="center"/>
        <w:rPr>
          <w:rFonts w:ascii="宋体" w:hAnsi="宋体" w:hint="eastAsia"/>
          <w:sz w:val="52"/>
          <w:szCs w:val="52"/>
        </w:rPr>
      </w:pPr>
      <w:r>
        <w:rPr>
          <w:rFonts w:ascii="宋体" w:hAnsi="宋体" w:hint="eastAsia"/>
          <w:sz w:val="52"/>
          <w:szCs w:val="52"/>
        </w:rPr>
        <w:t>滦河国际集团投资公司</w:t>
      </w:r>
    </w:p>
    <w:p>
      <w:pPr>
        <w:pStyle w:val="Normal0"/>
        <w:jc w:val="center"/>
        <w:rPr>
          <w:rFonts w:ascii="宋体" w:hAnsi="宋体" w:hint="eastAsia"/>
          <w:sz w:val="52"/>
          <w:szCs w:val="52"/>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hAnsi="宋体" w:hint="eastAsia"/>
          <w:sz w:val="52"/>
          <w:szCs w:val="52"/>
        </w:rPr>
        <w:t>战略规划报告</w:t>
      </w:r>
    </w:p>
    <w:p>
      <w:pPr>
        <w:pStyle w:val="Normal0"/>
        <w:jc w:val="center"/>
      </w:pPr>
      <w:r>
        <w:rPr>
          <w:rFonts w:ascii="宋体" w:hAnsi="宋体" w:hint="eastAsia"/>
          <w:b/>
          <w:sz w:val="30"/>
          <w:szCs w:val="30"/>
        </w:rPr>
        <w:t>目   录</w:t>
      </w:r>
      <w:r>
        <w:rPr>
          <w:rFonts w:ascii="宋体" w:hAnsi="宋体"/>
          <w:b/>
          <w:sz w:val="30"/>
          <w:szCs w:val="30"/>
        </w:rPr>
        <w:fldChar w:fldCharType="begin"/>
      </w:r>
      <w:r>
        <w:rPr>
          <w:rFonts w:ascii="宋体" w:hAnsi="宋体"/>
          <w:b/>
          <w:sz w:val="30"/>
          <w:szCs w:val="30"/>
        </w:rPr>
        <w:instrText xml:space="preserve"> </w:instrText>
      </w:r>
      <w:r>
        <w:rPr>
          <w:rFonts w:ascii="宋体" w:hAnsi="宋体" w:hint="eastAsia"/>
          <w:b/>
          <w:sz w:val="30"/>
          <w:szCs w:val="30"/>
        </w:rPr>
        <w:instrText>TOC \o "1-3" \h \z \u</w:instrText>
      </w:r>
      <w:r>
        <w:rPr>
          <w:rFonts w:ascii="宋体" w:hAnsi="宋体"/>
          <w:b/>
          <w:sz w:val="30"/>
          <w:szCs w:val="30"/>
        </w:rPr>
        <w:instrText xml:space="preserve"> </w:instrText>
      </w:r>
      <w:r>
        <w:rPr>
          <w:rFonts w:ascii="宋体" w:hAnsi="宋体"/>
          <w:b/>
          <w:sz w:val="30"/>
          <w:szCs w:val="30"/>
        </w:rPr>
        <w:fldChar w:fldCharType="separate"/>
      </w:r>
    </w:p>
    <w:p>
      <w:pPr>
        <w:pStyle w:val="TOC1"/>
        <w:tabs>
          <w:tab w:val="left" w:pos="1050"/>
          <w:tab w:val="right" w:leader="dot" w:pos="8296"/>
        </w:tabs>
      </w:pPr>
      <w:hyperlink w:anchor="_Toc66627674" w:history="1">
        <w:r>
          <w:rPr>
            <w:rStyle w:val="Hyperlink"/>
            <w:rFonts w:ascii="宋体" w:hAnsi="宋体" w:hint="eastAsia"/>
          </w:rPr>
          <w:t>第一章</w:t>
        </w:r>
        <w:r>
          <w:tab/>
        </w:r>
        <w:r>
          <w:rPr>
            <w:rStyle w:val="Hyperlink"/>
            <w:rFonts w:ascii="宋体" w:hAnsi="宋体" w:hint="eastAsia"/>
          </w:rPr>
          <w:t>发展战略可行性分析</w:t>
        </w:r>
        <w:r>
          <w:tab/>
        </w:r>
        <w:r>
          <w:fldChar w:fldCharType="begin"/>
        </w:r>
        <w:r>
          <w:instrText xml:space="preserve"> PAGEREF _Toc66627674 \h </w:instrText>
        </w:r>
        <w:r>
          <w:fldChar w:fldCharType="separate"/>
        </w:r>
        <w:r>
          <w:t>3</w:t>
        </w:r>
        <w:r>
          <w:fldChar w:fldCharType="end"/>
        </w:r>
      </w:hyperlink>
    </w:p>
    <w:p>
      <w:pPr>
        <w:pStyle w:val="TOC2"/>
        <w:tabs>
          <w:tab w:val="right" w:leader="dot" w:pos="8296"/>
        </w:tabs>
      </w:pPr>
      <w:hyperlink w:anchor="_Toc66627675" w:history="1">
        <w:r>
          <w:rPr>
            <w:rStyle w:val="Hyperlink"/>
            <w:rFonts w:ascii="宋体" w:hAnsi="宋体"/>
          </w:rPr>
          <w:t>1.1</w:t>
        </w:r>
        <w:r>
          <w:rPr>
            <w:rStyle w:val="Hyperlink"/>
            <w:rFonts w:ascii="宋体" w:hAnsi="宋体" w:hint="eastAsia"/>
          </w:rPr>
          <w:t xml:space="preserve"> 发展历程</w:t>
        </w:r>
        <w:r>
          <w:tab/>
        </w:r>
        <w:r>
          <w:fldChar w:fldCharType="begin"/>
        </w:r>
        <w:r>
          <w:instrText xml:space="preserve"> PAGEREF _Toc66627675 \h </w:instrText>
        </w:r>
        <w:r>
          <w:fldChar w:fldCharType="separate"/>
        </w:r>
        <w:r>
          <w:t>3</w:t>
        </w:r>
        <w:r>
          <w:fldChar w:fldCharType="end"/>
        </w:r>
      </w:hyperlink>
    </w:p>
    <w:p>
      <w:pPr>
        <w:pStyle w:val="TOC3"/>
        <w:tabs>
          <w:tab w:val="right" w:leader="dot" w:pos="8296"/>
        </w:tabs>
      </w:pPr>
      <w:hyperlink w:anchor="_Toc66627676" w:history="1">
        <w:r>
          <w:rPr>
            <w:rStyle w:val="Hyperlink"/>
            <w:rFonts w:ascii="宋体" w:hAnsi="宋体"/>
          </w:rPr>
          <w:t>1.1.1</w:t>
        </w:r>
        <w:r>
          <w:rPr>
            <w:rStyle w:val="Hyperlink"/>
            <w:rFonts w:ascii="宋体" w:hAnsi="宋体" w:hint="eastAsia"/>
          </w:rPr>
          <w:t xml:space="preserve"> 核心竞争力分析</w:t>
        </w:r>
        <w:r>
          <w:tab/>
        </w:r>
        <w:r>
          <w:fldChar w:fldCharType="begin"/>
        </w:r>
        <w:r>
          <w:instrText xml:space="preserve"> PAGEREF _Toc66627676 \h </w:instrText>
        </w:r>
        <w:r>
          <w:fldChar w:fldCharType="separate"/>
        </w:r>
        <w:r>
          <w:t>3</w:t>
        </w:r>
        <w:r>
          <w:fldChar w:fldCharType="end"/>
        </w:r>
      </w:hyperlink>
    </w:p>
    <w:p>
      <w:pPr>
        <w:pStyle w:val="TOC2"/>
        <w:tabs>
          <w:tab w:val="right" w:leader="dot" w:pos="8296"/>
        </w:tabs>
      </w:pPr>
      <w:hyperlink w:anchor="_Toc66627677" w:history="1">
        <w:r>
          <w:rPr>
            <w:rStyle w:val="Hyperlink"/>
            <w:rFonts w:ascii="宋体" w:hAnsi="宋体"/>
          </w:rPr>
          <w:t>1.2</w:t>
        </w:r>
        <w:r>
          <w:rPr>
            <w:rStyle w:val="Hyperlink"/>
            <w:rFonts w:ascii="宋体" w:hAnsi="宋体" w:hint="eastAsia"/>
          </w:rPr>
          <w:t xml:space="preserve"> 愿景描述</w:t>
        </w:r>
        <w:r>
          <w:tab/>
        </w:r>
        <w:r>
          <w:fldChar w:fldCharType="begin"/>
        </w:r>
        <w:r>
          <w:instrText xml:space="preserve"> PAGEREF _Toc66627677 \h </w:instrText>
        </w:r>
        <w:r>
          <w:fldChar w:fldCharType="separate"/>
        </w:r>
        <w:r>
          <w:t>4</w:t>
        </w:r>
        <w:r>
          <w:fldChar w:fldCharType="end"/>
        </w:r>
      </w:hyperlink>
    </w:p>
    <w:p>
      <w:pPr>
        <w:pStyle w:val="TOC3"/>
        <w:tabs>
          <w:tab w:val="right" w:leader="dot" w:pos="8296"/>
        </w:tabs>
      </w:pPr>
      <w:hyperlink w:anchor="_Toc66627678" w:history="1">
        <w:r>
          <w:rPr>
            <w:rStyle w:val="Hyperlink"/>
            <w:rFonts w:ascii="宋体" w:hAnsi="宋体"/>
          </w:rPr>
          <w:t>1.2.1</w:t>
        </w:r>
        <w:r>
          <w:rPr>
            <w:rStyle w:val="Hyperlink"/>
            <w:rFonts w:ascii="宋体" w:hAnsi="宋体" w:hint="eastAsia"/>
          </w:rPr>
          <w:t xml:space="preserve"> 愿景</w:t>
        </w:r>
        <w:r>
          <w:rPr>
            <w:rStyle w:val="Hyperlink"/>
            <w:rFonts w:ascii="宋体" w:hAnsi="宋体" w:hint="eastAsia"/>
            <w:lang w:eastAsia="zh-CN"/>
          </w:rPr>
          <w:t>合适的内容</w:t>
        </w:r>
        <w:r>
          <w:tab/>
        </w:r>
        <w:r>
          <w:fldChar w:fldCharType="begin"/>
        </w:r>
        <w:r>
          <w:instrText xml:space="preserve"> PAGEREF _Toc66627678 \h </w:instrText>
        </w:r>
        <w:r>
          <w:fldChar w:fldCharType="separate"/>
        </w:r>
        <w:r>
          <w:t>4</w:t>
        </w:r>
        <w:r>
          <w:fldChar w:fldCharType="end"/>
        </w:r>
      </w:hyperlink>
    </w:p>
    <w:p>
      <w:pPr>
        <w:pStyle w:val="TOC3"/>
        <w:tabs>
          <w:tab w:val="right" w:leader="dot" w:pos="8296"/>
        </w:tabs>
      </w:pPr>
      <w:hyperlink w:anchor="_Toc66627679" w:history="1">
        <w:r>
          <w:rPr>
            <w:rStyle w:val="Hyperlink"/>
            <w:rFonts w:ascii="宋体" w:hAnsi="宋体"/>
          </w:rPr>
          <w:t>1.2.2</w:t>
        </w:r>
        <w:r>
          <w:rPr>
            <w:rStyle w:val="Hyperlink"/>
            <w:rFonts w:ascii="宋体" w:hAnsi="宋体" w:hint="eastAsia"/>
          </w:rPr>
          <w:t xml:space="preserve"> 达到目标所需条件与现有状况的比较</w:t>
        </w:r>
        <w:r>
          <w:tab/>
        </w:r>
        <w:r>
          <w:fldChar w:fldCharType="begin"/>
        </w:r>
        <w:r>
          <w:instrText xml:space="preserve"> PAGEREF _Toc66627679 \h </w:instrText>
        </w:r>
        <w:r>
          <w:fldChar w:fldCharType="separate"/>
        </w:r>
        <w:r>
          <w:t>4</w:t>
        </w:r>
        <w:r>
          <w:fldChar w:fldCharType="end"/>
        </w:r>
      </w:hyperlink>
    </w:p>
    <w:p>
      <w:pPr>
        <w:pStyle w:val="TOC3"/>
        <w:tabs>
          <w:tab w:val="right" w:leader="dot" w:pos="8296"/>
        </w:tabs>
      </w:pPr>
      <w:hyperlink w:anchor="_Toc66627680" w:history="1">
        <w:r>
          <w:rPr>
            <w:rStyle w:val="Hyperlink"/>
            <w:rFonts w:ascii="宋体" w:hAnsi="宋体"/>
          </w:rPr>
          <w:t>1.2.3</w:t>
        </w:r>
        <w:r>
          <w:rPr>
            <w:rStyle w:val="Hyperlink"/>
            <w:rFonts w:ascii="宋体" w:hAnsi="宋体" w:hint="eastAsia"/>
          </w:rPr>
          <w:t xml:space="preserve"> 发展步骤建议</w:t>
        </w:r>
        <w:r>
          <w:tab/>
        </w:r>
        <w:r>
          <w:fldChar w:fldCharType="begin"/>
        </w:r>
        <w:r>
          <w:instrText xml:space="preserve"> PAGEREF _Toc66627680 \h </w:instrText>
        </w:r>
        <w:r>
          <w:fldChar w:fldCharType="separate"/>
        </w:r>
        <w:r>
          <w:t>5</w:t>
        </w:r>
        <w:r>
          <w:fldChar w:fldCharType="end"/>
        </w:r>
      </w:hyperlink>
    </w:p>
    <w:p>
      <w:pPr>
        <w:pStyle w:val="TOC2"/>
        <w:tabs>
          <w:tab w:val="right" w:leader="dot" w:pos="8296"/>
        </w:tabs>
      </w:pPr>
      <w:hyperlink w:anchor="_Toc66627681" w:history="1">
        <w:r>
          <w:rPr>
            <w:rStyle w:val="Hyperlink"/>
            <w:rFonts w:ascii="宋体" w:hAnsi="宋体"/>
          </w:rPr>
          <w:t>1.3</w:t>
        </w:r>
        <w:r>
          <w:rPr>
            <w:rStyle w:val="Hyperlink"/>
            <w:rFonts w:ascii="宋体" w:hAnsi="宋体" w:hint="eastAsia"/>
          </w:rPr>
          <w:t xml:space="preserve"> 国际国内环境分析</w:t>
        </w:r>
        <w:r>
          <w:tab/>
        </w:r>
        <w:r>
          <w:fldChar w:fldCharType="begin"/>
        </w:r>
        <w:r>
          <w:instrText xml:space="preserve"> PAGEREF _Toc66627681 \h </w:instrText>
        </w:r>
        <w:r>
          <w:fldChar w:fldCharType="separate"/>
        </w:r>
        <w:r>
          <w:t>5</w:t>
        </w:r>
        <w:r>
          <w:fldChar w:fldCharType="end"/>
        </w:r>
      </w:hyperlink>
    </w:p>
    <w:p>
      <w:pPr>
        <w:pStyle w:val="TOC3"/>
        <w:tabs>
          <w:tab w:val="right" w:leader="dot" w:pos="8296"/>
        </w:tabs>
      </w:pPr>
      <w:hyperlink w:anchor="_Toc66627682" w:history="1">
        <w:r>
          <w:rPr>
            <w:rStyle w:val="Hyperlink"/>
            <w:rFonts w:ascii="宋体" w:hAnsi="宋体"/>
          </w:rPr>
          <w:t>1.3.1</w:t>
        </w:r>
        <w:r>
          <w:rPr>
            <w:rStyle w:val="Hyperlink"/>
            <w:rFonts w:ascii="宋体" w:hAnsi="宋体" w:hint="eastAsia"/>
          </w:rPr>
          <w:t xml:space="preserve"> 国际环境分析</w:t>
        </w:r>
        <w:r>
          <w:tab/>
        </w:r>
        <w:r>
          <w:fldChar w:fldCharType="begin"/>
        </w:r>
        <w:r>
          <w:instrText xml:space="preserve"> PAGEREF _Toc66627682 \h </w:instrText>
        </w:r>
        <w:r>
          <w:fldChar w:fldCharType="separate"/>
        </w:r>
        <w:r>
          <w:t>5</w:t>
        </w:r>
        <w:r>
          <w:fldChar w:fldCharType="end"/>
        </w:r>
      </w:hyperlink>
    </w:p>
    <w:p>
      <w:pPr>
        <w:pStyle w:val="TOC3"/>
        <w:tabs>
          <w:tab w:val="right" w:leader="dot" w:pos="8296"/>
        </w:tabs>
      </w:pPr>
      <w:hyperlink w:anchor="_Toc66627683" w:history="1">
        <w:r>
          <w:rPr>
            <w:rStyle w:val="Hyperlink"/>
            <w:rFonts w:ascii="宋体" w:hAnsi="宋体"/>
          </w:rPr>
          <w:t>1.3.2</w:t>
        </w:r>
        <w:r>
          <w:rPr>
            <w:rStyle w:val="Hyperlink"/>
            <w:rFonts w:ascii="宋体" w:hAnsi="宋体" w:hint="eastAsia"/>
          </w:rPr>
          <w:t xml:space="preserve"> 国内环境分析</w:t>
        </w:r>
        <w:r>
          <w:tab/>
        </w:r>
        <w:r>
          <w:fldChar w:fldCharType="begin"/>
        </w:r>
        <w:r>
          <w:instrText xml:space="preserve"> PAGEREF _Toc66627683 \h </w:instrText>
        </w:r>
        <w:r>
          <w:fldChar w:fldCharType="separate"/>
        </w:r>
        <w:r>
          <w:t>6</w:t>
        </w:r>
        <w:r>
          <w:fldChar w:fldCharType="end"/>
        </w:r>
      </w:hyperlink>
    </w:p>
    <w:p>
      <w:pPr>
        <w:pStyle w:val="TOC2"/>
        <w:tabs>
          <w:tab w:val="right" w:leader="dot" w:pos="8296"/>
        </w:tabs>
      </w:pPr>
      <w:hyperlink w:anchor="_Toc66627684" w:history="1">
        <w:r>
          <w:rPr>
            <w:rStyle w:val="Hyperlink"/>
            <w:rFonts w:ascii="宋体" w:hAnsi="宋体"/>
          </w:rPr>
          <w:t>1.4</w:t>
        </w:r>
        <w:r>
          <w:rPr>
            <w:rStyle w:val="Hyperlink"/>
            <w:rFonts w:ascii="宋体" w:hAnsi="宋体" w:hint="eastAsia"/>
          </w:rPr>
          <w:t xml:space="preserve"> 各个业务模块的战略定位</w:t>
        </w:r>
        <w:r>
          <w:tab/>
        </w:r>
        <w:r>
          <w:fldChar w:fldCharType="begin"/>
        </w:r>
        <w:r>
          <w:instrText xml:space="preserve"> PAGEREF _Toc66627684 \h </w:instrText>
        </w:r>
        <w:r>
          <w:fldChar w:fldCharType="separate"/>
        </w:r>
        <w:r>
          <w:t>6</w:t>
        </w:r>
        <w:r>
          <w:fldChar w:fldCharType="end"/>
        </w:r>
      </w:hyperlink>
    </w:p>
    <w:p>
      <w:pPr>
        <w:pStyle w:val="TOC3"/>
        <w:tabs>
          <w:tab w:val="right" w:leader="dot" w:pos="8296"/>
        </w:tabs>
      </w:pPr>
      <w:hyperlink w:anchor="_Toc66627685" w:history="1">
        <w:r>
          <w:rPr>
            <w:rStyle w:val="Hyperlink"/>
            <w:rFonts w:ascii="宋体" w:hAnsi="宋体"/>
          </w:rPr>
          <w:t>1.4.1</w:t>
        </w:r>
        <w:r>
          <w:rPr>
            <w:rStyle w:val="Hyperlink"/>
            <w:rFonts w:ascii="宋体" w:hAnsi="宋体" w:hint="eastAsia"/>
          </w:rPr>
          <w:t xml:space="preserve"> 钢铁生产行业</w:t>
        </w:r>
        <w:r>
          <w:tab/>
        </w:r>
        <w:r>
          <w:fldChar w:fldCharType="begin"/>
        </w:r>
        <w:r>
          <w:instrText xml:space="preserve"> PAGEREF _Toc66627685 \h </w:instrText>
        </w:r>
        <w:r>
          <w:fldChar w:fldCharType="separate"/>
        </w:r>
        <w:r>
          <w:t>9</w:t>
        </w:r>
        <w:r>
          <w:fldChar w:fldCharType="end"/>
        </w:r>
      </w:hyperlink>
    </w:p>
    <w:p>
      <w:pPr>
        <w:pStyle w:val="TOC3"/>
        <w:tabs>
          <w:tab w:val="right" w:leader="dot" w:pos="8296"/>
        </w:tabs>
      </w:pPr>
      <w:hyperlink w:anchor="_Toc66627686" w:history="1">
        <w:r>
          <w:rPr>
            <w:rStyle w:val="Hyperlink"/>
            <w:rFonts w:ascii="宋体" w:hAnsi="宋体"/>
          </w:rPr>
          <w:t>1.4.2</w:t>
        </w:r>
        <w:r>
          <w:rPr>
            <w:rStyle w:val="Hyperlink"/>
            <w:rFonts w:ascii="宋体" w:hAnsi="宋体" w:hint="eastAsia"/>
          </w:rPr>
          <w:t xml:space="preserve"> 铁矿采掘行业</w:t>
        </w:r>
        <w:r>
          <w:tab/>
        </w:r>
        <w:r>
          <w:fldChar w:fldCharType="begin"/>
        </w:r>
        <w:r>
          <w:instrText xml:space="preserve"> PAGEREF _Toc66627686 \h </w:instrText>
        </w:r>
        <w:r>
          <w:fldChar w:fldCharType="separate"/>
        </w:r>
        <w:r>
          <w:t>13</w:t>
        </w:r>
        <w:r>
          <w:fldChar w:fldCharType="end"/>
        </w:r>
      </w:hyperlink>
    </w:p>
    <w:p>
      <w:pPr>
        <w:pStyle w:val="TOC3"/>
        <w:tabs>
          <w:tab w:val="right" w:leader="dot" w:pos="8296"/>
        </w:tabs>
      </w:pPr>
      <w:hyperlink w:anchor="_Toc66627687" w:history="1">
        <w:r>
          <w:rPr>
            <w:rStyle w:val="Hyperlink"/>
            <w:rFonts w:ascii="宋体" w:hAnsi="宋体"/>
          </w:rPr>
          <w:t>1.4.3</w:t>
        </w:r>
        <w:r>
          <w:rPr>
            <w:rStyle w:val="Hyperlink"/>
            <w:rFonts w:ascii="宋体" w:hAnsi="宋体" w:hint="eastAsia"/>
          </w:rPr>
          <w:t xml:space="preserve"> 煤炭采掘行业</w:t>
        </w:r>
        <w:r>
          <w:tab/>
        </w:r>
        <w:r>
          <w:fldChar w:fldCharType="begin"/>
        </w:r>
        <w:r>
          <w:instrText xml:space="preserve"> PAGEREF _Toc66627687 \h </w:instrText>
        </w:r>
        <w:r>
          <w:fldChar w:fldCharType="separate"/>
        </w:r>
        <w:r>
          <w:t>15</w:t>
        </w:r>
        <w:r>
          <w:fldChar w:fldCharType="end"/>
        </w:r>
      </w:hyperlink>
    </w:p>
    <w:p>
      <w:pPr>
        <w:pStyle w:val="TOC3"/>
        <w:tabs>
          <w:tab w:val="right" w:leader="dot" w:pos="8296"/>
        </w:tabs>
      </w:pPr>
      <w:hyperlink w:anchor="_Toc66627688" w:history="1">
        <w:r>
          <w:rPr>
            <w:rStyle w:val="Hyperlink"/>
            <w:rFonts w:ascii="宋体" w:hAnsi="宋体"/>
          </w:rPr>
          <w:t>1.4.4</w:t>
        </w:r>
        <w:r>
          <w:rPr>
            <w:rStyle w:val="Hyperlink"/>
            <w:rFonts w:ascii="宋体" w:hAnsi="宋体" w:hint="eastAsia"/>
          </w:rPr>
          <w:t xml:space="preserve"> 焦煤采掘行业</w:t>
        </w:r>
        <w:r>
          <w:tab/>
        </w:r>
        <w:r>
          <w:fldChar w:fldCharType="begin"/>
        </w:r>
        <w:r>
          <w:instrText xml:space="preserve"> PAGEREF _Toc66627688 \h </w:instrText>
        </w:r>
        <w:r>
          <w:fldChar w:fldCharType="separate"/>
        </w:r>
        <w:r>
          <w:t>17</w:t>
        </w:r>
        <w:r>
          <w:fldChar w:fldCharType="end"/>
        </w:r>
      </w:hyperlink>
    </w:p>
    <w:p>
      <w:pPr>
        <w:pStyle w:val="TOC3"/>
        <w:tabs>
          <w:tab w:val="right" w:leader="dot" w:pos="8296"/>
        </w:tabs>
      </w:pPr>
      <w:hyperlink w:anchor="_Toc66627689" w:history="1">
        <w:r>
          <w:rPr>
            <w:rStyle w:val="Hyperlink"/>
            <w:rFonts w:ascii="宋体" w:hAnsi="宋体"/>
          </w:rPr>
          <w:t>1.4.5</w:t>
        </w:r>
        <w:r>
          <w:rPr>
            <w:rStyle w:val="Hyperlink"/>
            <w:rFonts w:ascii="宋体" w:hAnsi="宋体" w:hint="eastAsia"/>
          </w:rPr>
          <w:t xml:space="preserve"> 石油行业</w:t>
        </w:r>
        <w:r>
          <w:tab/>
        </w:r>
        <w:r>
          <w:fldChar w:fldCharType="begin"/>
        </w:r>
        <w:r>
          <w:instrText xml:space="preserve"> PAGEREF _Toc66627689 \h </w:instrText>
        </w:r>
        <w:r>
          <w:fldChar w:fldCharType="separate"/>
        </w:r>
        <w:r>
          <w:t>18</w:t>
        </w:r>
        <w:r>
          <w:fldChar w:fldCharType="end"/>
        </w:r>
      </w:hyperlink>
    </w:p>
    <w:p>
      <w:pPr>
        <w:pStyle w:val="TOC3"/>
        <w:tabs>
          <w:tab w:val="right" w:leader="dot" w:pos="8296"/>
        </w:tabs>
      </w:pPr>
      <w:hyperlink w:anchor="_Toc66627690" w:history="1">
        <w:r>
          <w:rPr>
            <w:rStyle w:val="Hyperlink"/>
            <w:rFonts w:ascii="宋体" w:hAnsi="宋体"/>
          </w:rPr>
          <w:t>1.4.6</w:t>
        </w:r>
        <w:r>
          <w:rPr>
            <w:rStyle w:val="Hyperlink"/>
            <w:rFonts w:ascii="宋体" w:hAnsi="宋体" w:hint="eastAsia"/>
          </w:rPr>
          <w:t xml:space="preserve"> 电力行业</w:t>
        </w:r>
        <w:r>
          <w:tab/>
        </w:r>
        <w:r>
          <w:fldChar w:fldCharType="begin"/>
        </w:r>
        <w:r>
          <w:instrText xml:space="preserve"> PAGEREF _Toc66627690 \h </w:instrText>
        </w:r>
        <w:r>
          <w:fldChar w:fldCharType="separate"/>
        </w:r>
        <w:r>
          <w:t>21</w:t>
        </w:r>
        <w:r>
          <w:fldChar w:fldCharType="end"/>
        </w:r>
      </w:hyperlink>
    </w:p>
    <w:p>
      <w:pPr>
        <w:pStyle w:val="TOC3"/>
        <w:tabs>
          <w:tab w:val="right" w:leader="dot" w:pos="8296"/>
        </w:tabs>
      </w:pPr>
      <w:hyperlink w:anchor="_Toc66627691" w:history="1">
        <w:r>
          <w:rPr>
            <w:rStyle w:val="Hyperlink"/>
            <w:rFonts w:ascii="宋体" w:hAnsi="宋体"/>
          </w:rPr>
          <w:t>1.4.7</w:t>
        </w:r>
        <w:r>
          <w:rPr>
            <w:rStyle w:val="Hyperlink"/>
            <w:rFonts w:ascii="宋体" w:hAnsi="宋体" w:hint="eastAsia"/>
          </w:rPr>
          <w:t xml:space="preserve"> 物流运输行业</w:t>
        </w:r>
        <w:r>
          <w:tab/>
        </w:r>
        <w:r>
          <w:fldChar w:fldCharType="begin"/>
        </w:r>
        <w:r>
          <w:instrText xml:space="preserve"> PAGEREF _Toc66627691 \h </w:instrText>
        </w:r>
        <w:r>
          <w:fldChar w:fldCharType="separate"/>
        </w:r>
        <w:r>
          <w:t>24</w:t>
        </w:r>
        <w:r>
          <w:fldChar w:fldCharType="end"/>
        </w:r>
      </w:hyperlink>
    </w:p>
    <w:p>
      <w:pPr>
        <w:pStyle w:val="TOC3"/>
        <w:tabs>
          <w:tab w:val="right" w:leader="dot" w:pos="8296"/>
        </w:tabs>
      </w:pPr>
      <w:hyperlink w:anchor="_Toc66627692" w:history="1">
        <w:r>
          <w:rPr>
            <w:rStyle w:val="Hyperlink"/>
            <w:rFonts w:ascii="宋体" w:hAnsi="宋体"/>
          </w:rPr>
          <w:t>1.4.8</w:t>
        </w:r>
        <w:r>
          <w:rPr>
            <w:rStyle w:val="Hyperlink"/>
            <w:rFonts w:ascii="宋体" w:hAnsi="宋体" w:hint="eastAsia"/>
          </w:rPr>
          <w:t xml:space="preserve"> 有色金属开采行业</w:t>
        </w:r>
        <w:r>
          <w:tab/>
        </w:r>
        <w:r>
          <w:fldChar w:fldCharType="begin"/>
        </w:r>
        <w:r>
          <w:instrText xml:space="preserve"> PAGEREF _Toc66627692 \h </w:instrText>
        </w:r>
        <w:r>
          <w:fldChar w:fldCharType="separate"/>
        </w:r>
        <w:r>
          <w:t>26</w:t>
        </w:r>
        <w:r>
          <w:fldChar w:fldCharType="end"/>
        </w:r>
      </w:hyperlink>
    </w:p>
    <w:p>
      <w:pPr>
        <w:pStyle w:val="TOC3"/>
        <w:tabs>
          <w:tab w:val="right" w:leader="dot" w:pos="8296"/>
        </w:tabs>
      </w:pPr>
      <w:hyperlink w:anchor="_Toc66627693" w:history="1">
        <w:r>
          <w:rPr>
            <w:rStyle w:val="Hyperlink"/>
            <w:rFonts w:ascii="宋体" w:hAnsi="宋体"/>
          </w:rPr>
          <w:t>1.4.9</w:t>
        </w:r>
        <w:r>
          <w:rPr>
            <w:rStyle w:val="Hyperlink"/>
            <w:rFonts w:ascii="宋体" w:hAnsi="宋体" w:hint="eastAsia"/>
          </w:rPr>
          <w:t xml:space="preserve"> 国际贸易行业</w:t>
        </w:r>
        <w:r>
          <w:tab/>
        </w:r>
        <w:r>
          <w:fldChar w:fldCharType="begin"/>
        </w:r>
        <w:r>
          <w:instrText xml:space="preserve"> PAGEREF _Toc66627693 \h </w:instrText>
        </w:r>
        <w:r>
          <w:fldChar w:fldCharType="separate"/>
        </w:r>
        <w:r>
          <w:t>28</w:t>
        </w:r>
        <w:r>
          <w:fldChar w:fldCharType="end"/>
        </w:r>
      </w:hyperlink>
    </w:p>
    <w:p>
      <w:pPr>
        <w:pStyle w:val="TOC1"/>
        <w:tabs>
          <w:tab w:val="left" w:pos="1050"/>
          <w:tab w:val="right" w:leader="dot" w:pos="8296"/>
        </w:tabs>
      </w:pPr>
      <w:hyperlink w:anchor="_Toc66627694" w:history="1">
        <w:r>
          <w:rPr>
            <w:rStyle w:val="Hyperlink"/>
            <w:rFonts w:ascii="宋体" w:hAnsi="宋体" w:hint="eastAsia"/>
          </w:rPr>
          <w:t>第二章</w:t>
        </w:r>
        <w:r>
          <w:tab/>
        </w:r>
        <w:r>
          <w:rPr>
            <w:rStyle w:val="Hyperlink"/>
            <w:rFonts w:ascii="宋体" w:hAnsi="宋体" w:hint="eastAsia"/>
          </w:rPr>
          <w:t>滦河国际投资公司战略规划</w:t>
        </w:r>
        <w:r>
          <w:tab/>
        </w:r>
        <w:r>
          <w:fldChar w:fldCharType="begin"/>
        </w:r>
        <w:r>
          <w:instrText xml:space="preserve"> PAGEREF _Toc66627694 \h </w:instrText>
        </w:r>
        <w:r>
          <w:fldChar w:fldCharType="separate"/>
        </w:r>
        <w:r>
          <w:t>30</w:t>
        </w:r>
        <w:r>
          <w:fldChar w:fldCharType="end"/>
        </w:r>
      </w:hyperlink>
    </w:p>
    <w:p>
      <w:pPr>
        <w:pStyle w:val="TOC2"/>
        <w:tabs>
          <w:tab w:val="right" w:leader="dot" w:pos="8296"/>
        </w:tabs>
      </w:pPr>
      <w:hyperlink w:anchor="_Toc66627695" w:history="1">
        <w:r>
          <w:rPr>
            <w:rStyle w:val="Hyperlink"/>
            <w:rFonts w:ascii="宋体" w:hAnsi="宋体"/>
          </w:rPr>
          <w:t>1.5</w:t>
        </w:r>
        <w:r>
          <w:rPr>
            <w:rStyle w:val="Hyperlink"/>
            <w:rFonts w:ascii="宋体" w:hAnsi="宋体" w:hint="eastAsia"/>
          </w:rPr>
          <w:t xml:space="preserve"> 战略愿景与定位</w:t>
        </w:r>
        <w:r>
          <w:tab/>
        </w:r>
        <w:r>
          <w:fldChar w:fldCharType="begin"/>
        </w:r>
        <w:r>
          <w:instrText xml:space="preserve"> PAGEREF _Toc66627695 \h </w:instrText>
        </w:r>
        <w:r>
          <w:fldChar w:fldCharType="separate"/>
        </w:r>
        <w:r>
          <w:t>30</w:t>
        </w:r>
        <w:r>
          <w:fldChar w:fldCharType="end"/>
        </w:r>
      </w:hyperlink>
    </w:p>
    <w:p>
      <w:pPr>
        <w:pStyle w:val="TOC2"/>
        <w:tabs>
          <w:tab w:val="right" w:leader="dot" w:pos="8296"/>
        </w:tabs>
      </w:pPr>
      <w:hyperlink w:anchor="_Toc66627696" w:history="1">
        <w:r>
          <w:rPr>
            <w:rStyle w:val="Hyperlink"/>
            <w:rFonts w:ascii="宋体" w:hAnsi="宋体"/>
          </w:rPr>
          <w:t>1.6</w:t>
        </w:r>
        <w:r>
          <w:rPr>
            <w:rStyle w:val="Hyperlink"/>
            <w:rFonts w:ascii="宋体" w:hAnsi="宋体" w:hint="eastAsia"/>
          </w:rPr>
          <w:t xml:space="preserve"> 战略发展步骤</w:t>
        </w:r>
        <w:r>
          <w:tab/>
        </w:r>
        <w:r>
          <w:fldChar w:fldCharType="begin"/>
        </w:r>
        <w:r>
          <w:instrText xml:space="preserve"> PAGEREF _Toc66627696 \h </w:instrText>
        </w:r>
        <w:r>
          <w:fldChar w:fldCharType="separate"/>
        </w:r>
        <w:r>
          <w:t>30</w:t>
        </w:r>
        <w:r>
          <w:fldChar w:fldCharType="end"/>
        </w:r>
      </w:hyperlink>
    </w:p>
    <w:p>
      <w:pPr>
        <w:pStyle w:val="TOC2"/>
        <w:tabs>
          <w:tab w:val="right" w:leader="dot" w:pos="8296"/>
        </w:tabs>
      </w:pPr>
      <w:hyperlink w:anchor="_Toc66627697" w:history="1">
        <w:r>
          <w:rPr>
            <w:rStyle w:val="Hyperlink"/>
            <w:rFonts w:ascii="宋体" w:hAnsi="宋体"/>
          </w:rPr>
          <w:t>1.7</w:t>
        </w:r>
        <w:r>
          <w:rPr>
            <w:rStyle w:val="Hyperlink"/>
            <w:rFonts w:ascii="宋体" w:hAnsi="宋体" w:hint="eastAsia"/>
          </w:rPr>
          <w:t xml:space="preserve"> 未来五年目标</w:t>
        </w:r>
        <w:r>
          <w:tab/>
        </w:r>
        <w:r>
          <w:fldChar w:fldCharType="begin"/>
        </w:r>
        <w:r>
          <w:instrText xml:space="preserve"> PAGEREF _Toc66627697 \h </w:instrText>
        </w:r>
        <w:r>
          <w:fldChar w:fldCharType="separate"/>
        </w:r>
        <w:r>
          <w:t>31</w:t>
        </w:r>
        <w:r>
          <w:fldChar w:fldCharType="end"/>
        </w:r>
      </w:hyperlink>
    </w:p>
    <w:p>
      <w:pPr>
        <w:pStyle w:val="TOC2"/>
        <w:tabs>
          <w:tab w:val="right" w:leader="dot" w:pos="8296"/>
        </w:tabs>
      </w:pPr>
      <w:hyperlink w:anchor="_Toc66627698" w:history="1">
        <w:r>
          <w:rPr>
            <w:rStyle w:val="Hyperlink"/>
            <w:rFonts w:ascii="宋体" w:hAnsi="宋体"/>
          </w:rPr>
          <w:t>1.8</w:t>
        </w:r>
        <w:r>
          <w:rPr>
            <w:rStyle w:val="Hyperlink"/>
            <w:rFonts w:ascii="宋体" w:hAnsi="宋体" w:hint="eastAsia"/>
          </w:rPr>
          <w:t xml:space="preserve"> 主要措施</w:t>
        </w:r>
        <w:r>
          <w:tab/>
        </w:r>
        <w:r>
          <w:fldChar w:fldCharType="begin"/>
        </w:r>
        <w:r>
          <w:instrText xml:space="preserve"> PAGEREF _Toc66627698 \h </w:instrText>
        </w:r>
        <w:r>
          <w:fldChar w:fldCharType="separate"/>
        </w:r>
        <w:r>
          <w:t>32</w:t>
        </w:r>
        <w:r>
          <w:fldChar w:fldCharType="end"/>
        </w:r>
      </w:hyperlink>
    </w:p>
    <w:p>
      <w:pPr>
        <w:pStyle w:val="TOC2"/>
        <w:tabs>
          <w:tab w:val="right" w:leader="dot" w:pos="8296"/>
        </w:tabs>
      </w:pPr>
      <w:hyperlink w:anchor="_Toc66627699" w:history="1">
        <w:r>
          <w:rPr>
            <w:rStyle w:val="Hyperlink"/>
            <w:rFonts w:ascii="宋体" w:hAnsi="宋体"/>
          </w:rPr>
          <w:t>1.9</w:t>
        </w:r>
        <w:r>
          <w:rPr>
            <w:rStyle w:val="Hyperlink"/>
            <w:rFonts w:ascii="宋体" w:hAnsi="宋体" w:hint="eastAsia"/>
          </w:rPr>
          <w:t xml:space="preserve"> 进行有效战略</w:t>
        </w:r>
        <w:r>
          <w:rPr>
            <w:rStyle w:val="Hyperlink"/>
            <w:rFonts w:ascii="宋体" w:hAnsi="宋体" w:hint="eastAsia"/>
            <w:lang w:eastAsia="zh-CN"/>
          </w:rPr>
          <w:t>管理管控</w:t>
        </w:r>
        <w:r>
          <w:rPr>
            <w:rStyle w:val="Hyperlink"/>
            <w:rFonts w:ascii="宋体" w:hAnsi="宋体" w:hint="eastAsia"/>
          </w:rPr>
          <w:t>的准则</w:t>
        </w:r>
        <w:r>
          <w:tab/>
        </w:r>
        <w:r>
          <w:fldChar w:fldCharType="begin"/>
        </w:r>
        <w:r>
          <w:instrText xml:space="preserve"> PAGEREF _Toc66627699 \h </w:instrText>
        </w:r>
        <w:r>
          <w:fldChar w:fldCharType="separate"/>
        </w:r>
        <w:r>
          <w:t>33</w:t>
        </w:r>
        <w:r>
          <w:fldChar w:fldCharType="end"/>
        </w:r>
      </w:hyperlink>
    </w:p>
    <w:p>
      <w:pPr>
        <w:pStyle w:val="Normal0"/>
        <w:rPr>
          <w:rFonts w:ascii="宋体" w:hAnsi="宋体" w:hint="eastAsia"/>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r>
        <w:rPr>
          <w:rFonts w:ascii="宋体" w:hAnsi="宋体"/>
        </w:rPr>
        <w:fldChar w:fldCharType="end"/>
      </w:r>
    </w:p>
    <w:p>
      <w:pPr>
        <w:pStyle w:val="MMTopic1"/>
        <w:numPr>
          <w:ilvl w:val="0"/>
          <w:numId w:val="2"/>
        </w:numPr>
        <w:spacing w:line="360" w:lineRule="auto"/>
        <w:jc w:val="center"/>
        <w:rPr>
          <w:rFonts w:ascii="宋体" w:hAnsi="宋体" w:hint="eastAsia"/>
        </w:rPr>
      </w:pPr>
      <w:bookmarkStart w:id="1" w:name="_Toc66627674"/>
      <w:r>
        <w:rPr>
          <w:rFonts w:ascii="宋体" w:hAnsi="宋体" w:hint="eastAsia"/>
        </w:rPr>
        <w:t>发展战略可行性分析</w:t>
      </w:r>
      <w:bookmarkEnd w:id="1"/>
    </w:p>
    <w:p>
      <w:pPr>
        <w:pStyle w:val="MMTopic2"/>
        <w:spacing w:line="360" w:lineRule="auto"/>
        <w:rPr>
          <w:rFonts w:ascii="宋体" w:eastAsia="宋体" w:hAnsi="宋体" w:hint="eastAsia"/>
        </w:rPr>
      </w:pPr>
      <w:bookmarkStart w:id="2" w:name="_Toc66627675"/>
      <w:r>
        <w:rPr>
          <w:rFonts w:ascii="宋体" w:eastAsia="宋体" w:hAnsi="宋体" w:hint="eastAsia"/>
        </w:rPr>
        <w:t>发展历程</w:t>
      </w:r>
      <w:bookmarkEnd w:id="2"/>
    </w:p>
    <w:p>
      <w:pPr>
        <w:pStyle w:val="Normal0"/>
        <w:spacing w:before="56" w:after="113" w:line="360" w:lineRule="auto"/>
        <w:ind w:firstLine="420"/>
        <w:rPr>
          <w:rFonts w:ascii="宋体" w:hAnsi="宋体" w:cs="Arial" w:hint="eastAsia"/>
          <w:sz w:val="24"/>
        </w:rPr>
      </w:pPr>
      <w:r>
        <w:rPr>
          <w:rFonts w:ascii="宋体" w:hAnsi="宋体" w:cs="Arial" w:hint="eastAsia"/>
          <w:sz w:val="24"/>
        </w:rPr>
        <w:t>经过10几年的发展，滦河集团已经从一个小型个体企业发展成为一个劳动密集型的产业集团公司，目前正面临着从劳动密集型产业向资本密集型产业过渡的关键阶段。在企业迅速发展的过程中，滦河集团逐步形成了自己的核心竞争力：敏锐的洞察力/预见能力。滦河集团的发展已经充分论证了这种核心竞争力的有效性。</w:t>
      </w:r>
    </w:p>
    <w:p>
      <w:pPr>
        <w:pStyle w:val="MMTopic3"/>
        <w:spacing w:line="360" w:lineRule="auto"/>
        <w:rPr>
          <w:rFonts w:ascii="宋体" w:hAnsi="宋体" w:hint="eastAsia"/>
        </w:rPr>
      </w:pPr>
      <w:bookmarkStart w:id="3" w:name="_Toc66627676"/>
      <w:r>
        <w:rPr>
          <w:rFonts w:ascii="宋体" w:hAnsi="宋体" w:hint="eastAsia"/>
        </w:rPr>
        <w:t>核心竞争力分析</w:t>
      </w:r>
      <w:bookmarkEnd w:id="3"/>
    </w:p>
    <w:p>
      <w:pPr>
        <w:pStyle w:val="Normal0"/>
        <w:spacing w:before="56" w:after="113" w:line="360" w:lineRule="auto"/>
        <w:ind w:firstLine="420"/>
        <w:rPr>
          <w:rFonts w:ascii="宋体" w:hAnsi="宋体" w:cs="Arial" w:hint="eastAsia"/>
          <w:sz w:val="24"/>
        </w:rPr>
      </w:pPr>
      <w:r>
        <w:rPr>
          <w:rFonts w:ascii="宋体" w:hAnsi="宋体" w:cs="Arial" w:hint="eastAsia"/>
          <w:sz w:val="24"/>
        </w:rPr>
        <w:t>分析滦河集团走过的历程，我们发现，滦河集团的核心竞争力实际是构建在高层决策者优秀的分析和推断能力基础之上的，优秀的</w:t>
      </w:r>
      <w:r>
        <w:rPr>
          <w:rFonts w:ascii="宋体" w:hAnsi="宋体" w:cs="Arial" w:hint="eastAsia"/>
          <w:sz w:val="24"/>
          <w:lang w:eastAsia="zh-CN"/>
        </w:rPr>
        <w:t>管理管控</w:t>
      </w:r>
      <w:r>
        <w:rPr>
          <w:rFonts w:ascii="宋体" w:hAnsi="宋体" w:cs="Arial" w:hint="eastAsia"/>
          <w:sz w:val="24"/>
        </w:rPr>
        <w:t>人员和基层工作人员充分的将这种分析和推断在工作中实现。这种核心竞争力是否能够保证公司的正确前进呢？为此，我们将从以下几个方面进行阐述和论证。</w:t>
      </w:r>
    </w:p>
    <w:p>
      <w:pPr>
        <w:pStyle w:val="Normal0"/>
        <w:spacing w:before="56" w:after="113" w:line="360" w:lineRule="auto"/>
        <w:ind w:firstLine="420"/>
        <w:rPr>
          <w:rFonts w:ascii="宋体" w:hAnsi="宋体" w:cs="Arial" w:hint="eastAsia"/>
          <w:sz w:val="24"/>
        </w:rPr>
      </w:pPr>
      <w:r>
        <w:rPr>
          <w:rFonts w:ascii="宋体" w:hAnsi="宋体" w:cs="Arial" w:hint="eastAsia"/>
          <w:sz w:val="24"/>
        </w:rPr>
        <w:t>首先，这种核心竞争力是否真的很优秀？滦河集团的发展事实已经告诉我们答案：滦河集团才能在短短的时间内发展成为排名全国优秀民企的前100名，不容辩驳的事实已经证实了这种核心竞争力的优秀。</w:t>
      </w:r>
    </w:p>
    <w:p>
      <w:pPr>
        <w:pStyle w:val="Normal0"/>
        <w:spacing w:before="56" w:after="113" w:line="360" w:lineRule="auto"/>
        <w:ind w:firstLine="420"/>
        <w:rPr>
          <w:rFonts w:ascii="宋体" w:hAnsi="宋体" w:cs="Arial" w:hint="eastAsia"/>
          <w:sz w:val="24"/>
        </w:rPr>
      </w:pPr>
      <w:r>
        <w:rPr>
          <w:rFonts w:ascii="宋体" w:hAnsi="宋体" w:cs="Arial" w:hint="eastAsia"/>
          <w:sz w:val="24"/>
        </w:rPr>
        <w:t>其次，这种核心竞争力是否能够持续？目前的这种核心竞争力是基于决策者个人或某几个人才能的基础之上的，为了保证这种能力的提升和持续，我们必须建立一套机制保证这种能力的延续和发展。</w:t>
      </w:r>
    </w:p>
    <w:p>
      <w:pPr>
        <w:pStyle w:val="Normal0"/>
        <w:spacing w:before="56" w:after="113" w:line="360" w:lineRule="auto"/>
        <w:ind w:firstLine="420"/>
        <w:rPr>
          <w:rFonts w:ascii="宋体" w:hAnsi="宋体" w:cs="Arial" w:hint="eastAsia"/>
          <w:sz w:val="24"/>
        </w:r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rPr>
          <w:rFonts w:ascii="宋体" w:hAnsi="宋体" w:cs="Arial" w:hint="eastAsia"/>
          <w:sz w:val="24"/>
        </w:rPr>
        <w:t>第三，这种核心竞争力是否与公司</w:t>
      </w:r>
      <w:r>
        <w:rPr>
          <w:rFonts w:ascii="宋体" w:hAnsi="宋体" w:cs="Arial" w:hint="eastAsia"/>
          <w:sz w:val="24"/>
          <w:lang w:eastAsia="zh-CN"/>
        </w:rPr>
        <w:t>管理管控</w:t>
      </w:r>
      <w:r>
        <w:rPr>
          <w:rFonts w:ascii="宋体" w:hAnsi="宋体" w:cs="Arial" w:hint="eastAsia"/>
          <w:sz w:val="24"/>
        </w:rPr>
        <w:t>方式为一体？增强目前的核心竞争力的主要途径是缩短决策链条、加快决策速度，这要求公司实行扁平状的组织结构，各个下属机构得到较大的授权。这种要求与滦河国际投资公司的整体</w:t>
      </w:r>
      <w:r>
        <w:rPr>
          <w:rFonts w:ascii="宋体" w:hAnsi="宋体" w:cs="Arial" w:hint="eastAsia"/>
          <w:sz w:val="24"/>
          <w:lang w:eastAsia="zh-CN"/>
        </w:rPr>
        <w:t>管理管控</w:t>
      </w:r>
      <w:r>
        <w:rPr>
          <w:rFonts w:ascii="宋体" w:hAnsi="宋体" w:cs="Arial" w:hint="eastAsia"/>
          <w:sz w:val="24"/>
        </w:rPr>
        <w:t>模式是相吻合的。</w:t>
      </w:r>
    </w:p>
    <w:p>
      <w:pPr>
        <w:pStyle w:val="MMTopic2"/>
        <w:spacing w:line="360" w:lineRule="auto"/>
        <w:rPr>
          <w:rFonts w:ascii="宋体" w:eastAsia="宋体" w:hAnsi="宋体" w:hint="eastAsia"/>
        </w:rPr>
      </w:pPr>
      <w:bookmarkStart w:id="4" w:name="_Toc66627677"/>
      <w:r>
        <w:rPr>
          <w:rFonts w:ascii="宋体" w:eastAsia="宋体" w:hAnsi="宋体" w:hint="eastAsia"/>
        </w:rPr>
        <w:t>愿景描述</w:t>
      </w:r>
      <w:bookmarkEnd w:id="4"/>
    </w:p>
    <w:p>
      <w:pPr>
        <w:pStyle w:val="MMTopic3"/>
        <w:spacing w:line="360" w:lineRule="auto"/>
        <w:rPr>
          <w:rFonts w:ascii="宋体" w:hAnsi="宋体" w:hint="eastAsia"/>
        </w:rPr>
      </w:pPr>
      <w:bookmarkStart w:id="5" w:name="_Toc66627678"/>
      <w:r>
        <w:rPr>
          <w:rFonts w:ascii="宋体" w:hAnsi="宋体" w:hint="eastAsia"/>
        </w:rPr>
        <w:t>愿景</w:t>
      </w:r>
      <w:bookmarkEnd w:id="5"/>
      <w:r>
        <w:rPr>
          <w:rFonts w:ascii="宋体" w:hAnsi="宋体" w:hint="eastAsia"/>
          <w:lang w:eastAsia="zh-CN"/>
        </w:rPr>
        <w:t>合适的内容</w:t>
      </w:r>
    </w:p>
    <w:p>
      <w:pPr>
        <w:pStyle w:val="Normal0"/>
        <w:spacing w:before="56" w:after="113" w:line="360" w:lineRule="auto"/>
        <w:ind w:firstLine="420"/>
        <w:rPr>
          <w:rFonts w:ascii="宋体" w:hAnsi="宋体" w:cs="Arial" w:hint="eastAsia"/>
          <w:sz w:val="24"/>
        </w:rPr>
      </w:pPr>
      <w:r>
        <w:rPr>
          <w:rFonts w:ascii="宋体" w:hAnsi="宋体" w:cs="Arial" w:hint="eastAsia"/>
          <w:sz w:val="24"/>
        </w:rPr>
        <w:t>滦河国际投资公司战略愿景：5年成为国内500强企业，10年进入国内200强，20年步入国内百强企业。</w:t>
      </w:r>
    </w:p>
    <w:p>
      <w:pPr>
        <w:pStyle w:val="Normal0"/>
        <w:spacing w:before="56" w:after="113" w:line="360" w:lineRule="auto"/>
        <w:ind w:firstLine="420"/>
        <w:rPr>
          <w:rFonts w:ascii="宋体" w:hAnsi="宋体" w:cs="Arial" w:hint="eastAsia"/>
          <w:sz w:val="24"/>
        </w:rPr>
      </w:pPr>
      <w:r>
        <w:rPr>
          <w:rFonts w:ascii="宋体" w:hAnsi="宋体" w:cs="Arial" w:hint="eastAsia"/>
          <w:sz w:val="24"/>
        </w:rPr>
        <w:t>滦河国际的战略定位是：成为一家资本运营型投资公司</w:t>
      </w:r>
    </w:p>
    <w:p>
      <w:pPr>
        <w:pStyle w:val="MMTopic3"/>
        <w:spacing w:line="360" w:lineRule="auto"/>
        <w:rPr>
          <w:rFonts w:ascii="宋体" w:hAnsi="宋体" w:hint="eastAsia"/>
        </w:rPr>
      </w:pPr>
      <w:bookmarkStart w:id="6" w:name="_Toc66627679"/>
      <w:r>
        <w:rPr>
          <w:rFonts w:ascii="宋体" w:hAnsi="宋体" w:hint="eastAsia"/>
        </w:rPr>
        <w:t>达到目标所需条件与现有状况的比较</w:t>
      </w:r>
      <w:bookmarkEnd w:id="6"/>
    </w:p>
    <w:p>
      <w:pPr>
        <w:pStyle w:val="Normal0"/>
        <w:spacing w:before="56" w:after="113" w:line="360" w:lineRule="auto"/>
        <w:ind w:firstLine="420"/>
        <w:rPr>
          <w:rFonts w:ascii="宋体" w:hAnsi="宋体" w:cs="Arial" w:hint="eastAsia"/>
          <w:sz w:val="24"/>
        </w:rPr>
      </w:pPr>
      <w:r>
        <w:rPr>
          <w:rFonts w:ascii="宋体" w:hAnsi="宋体" w:cs="Arial" w:hint="eastAsia"/>
          <w:sz w:val="24"/>
        </w:rPr>
        <w:t>要成为一家资本运营型投资公司，要具备融资能力、人力资源能力、信息收集与整理能力、企业运作与</w:t>
      </w:r>
      <w:r>
        <w:rPr>
          <w:rFonts w:ascii="宋体" w:hAnsi="宋体" w:cs="Arial" w:hint="eastAsia"/>
          <w:sz w:val="24"/>
          <w:lang w:eastAsia="zh-CN"/>
        </w:rPr>
        <w:t>管理管控</w:t>
      </w:r>
      <w:r>
        <w:rPr>
          <w:rFonts w:ascii="宋体" w:hAnsi="宋体" w:cs="Arial" w:hint="eastAsia"/>
          <w:sz w:val="24"/>
        </w:rPr>
        <w:t>能力等，下面我们将从这四个方面进行分析。</w:t>
      </w:r>
    </w:p>
    <w:p>
      <w:pPr>
        <w:pStyle w:val="Normal0"/>
        <w:spacing w:before="56" w:after="113" w:line="360" w:lineRule="auto"/>
        <w:ind w:firstLine="420"/>
        <w:rPr>
          <w:rFonts w:ascii="宋体" w:hAnsi="宋体" w:cs="Arial" w:hint="eastAsia"/>
          <w:sz w:val="24"/>
        </w:rPr>
      </w:pPr>
      <w:r>
        <w:rPr>
          <w:rFonts w:ascii="宋体" w:hAnsi="宋体" w:cs="Arial" w:hint="eastAsia"/>
          <w:sz w:val="24"/>
        </w:rPr>
        <w:t>第一，融资能力。从融资渠道上看，目前滦河集团的融资渠道集中在销售预收款、银行贷款等有限方面，融资渠道相对比较单一，换言之即是融资风险相对较大；但是滦河国际目前已经开始拓展融资渠道，增加融资数额的工作。以上分析可以看出，滦河集团目前的融资能力相对较低。</w:t>
      </w:r>
    </w:p>
    <w:p>
      <w:pPr>
        <w:pStyle w:val="Normal0"/>
        <w:spacing w:before="56" w:after="113" w:line="360" w:lineRule="auto"/>
        <w:ind w:firstLine="420"/>
        <w:rPr>
          <w:rFonts w:ascii="宋体" w:hAnsi="宋体" w:cs="Arial" w:hint="eastAsia"/>
          <w:sz w:val="24"/>
        </w:rPr>
      </w:pPr>
      <w:r>
        <w:rPr>
          <w:rFonts w:ascii="宋体" w:hAnsi="宋体" w:cs="Arial" w:hint="eastAsia"/>
          <w:sz w:val="24"/>
        </w:rPr>
        <w:t>第二，人力资源能力。目前公司高层</w:t>
      </w:r>
      <w:r>
        <w:rPr>
          <w:rFonts w:ascii="宋体" w:hAnsi="宋体" w:cs="Arial" w:hint="eastAsia"/>
          <w:sz w:val="24"/>
          <w:lang w:eastAsia="zh-CN"/>
        </w:rPr>
        <w:t>管理管控</w:t>
      </w:r>
      <w:r>
        <w:rPr>
          <w:rFonts w:ascii="宋体" w:hAnsi="宋体" w:cs="Arial" w:hint="eastAsia"/>
          <w:sz w:val="24"/>
        </w:rPr>
        <w:t>人员中拥有投资工作经验的几乎没有，包含公司目前其他人员，有投资工作经验的人员几乎没有。由于人才的开发 与储备并不是短期内能够完成的工作，所以，目前的人力资源能力在相当长的一段时间之内会相对较低。</w:t>
      </w:r>
    </w:p>
    <w:p>
      <w:pPr>
        <w:pStyle w:val="Normal0"/>
        <w:spacing w:before="56" w:after="113" w:line="360" w:lineRule="auto"/>
        <w:ind w:firstLine="420"/>
        <w:rPr>
          <w:rFonts w:ascii="宋体" w:hAnsi="宋体" w:cs="Arial" w:hint="eastAsia"/>
          <w:sz w:val="24"/>
        </w:rPr>
      </w:pPr>
      <w:r>
        <w:rPr>
          <w:rFonts w:ascii="宋体" w:hAnsi="宋体" w:cs="Arial" w:hint="eastAsia"/>
          <w:sz w:val="24"/>
        </w:rPr>
        <w:t>第三，信息采集与分析能力。目前公司尚没有自己的ERP系统，不能够实现点对点的</w:t>
      </w:r>
      <w:r>
        <w:rPr>
          <w:rFonts w:ascii="宋体" w:hAnsi="宋体" w:cs="Arial" w:hint="eastAsia"/>
          <w:sz w:val="24"/>
          <w:lang w:eastAsia="zh-CN"/>
        </w:rPr>
        <w:t>管理管控</w:t>
      </w:r>
      <w:r>
        <w:rPr>
          <w:rFonts w:ascii="宋体" w:hAnsi="宋体" w:cs="Arial" w:hint="eastAsia"/>
          <w:sz w:val="24"/>
        </w:rPr>
        <w:t>与控制，信息采集与分析能力的薄弱直接影响到投资机会的捕捉与把握，目前尚不具备这样的能力。</w:t>
      </w:r>
    </w:p>
    <w:p>
      <w:pPr>
        <w:pStyle w:val="Normal0"/>
        <w:spacing w:before="56" w:after="113" w:line="360" w:lineRule="auto"/>
        <w:ind w:firstLine="420"/>
        <w:rPr>
          <w:rFonts w:ascii="宋体" w:hAnsi="宋体" w:cs="Arial" w:hint="eastAsia"/>
          <w:sz w:val="24"/>
        </w:rPr>
      </w:pPr>
      <w:r>
        <w:rPr>
          <w:rFonts w:ascii="宋体" w:hAnsi="宋体" w:cs="Arial" w:hint="eastAsia"/>
          <w:sz w:val="24"/>
        </w:rPr>
        <w:t>第四，企业运作与</w:t>
      </w:r>
      <w:r>
        <w:rPr>
          <w:rFonts w:ascii="宋体" w:hAnsi="宋体" w:cs="Arial" w:hint="eastAsia"/>
          <w:sz w:val="24"/>
          <w:lang w:eastAsia="zh-CN"/>
        </w:rPr>
        <w:t>管理管控</w:t>
      </w:r>
      <w:r>
        <w:rPr>
          <w:rFonts w:ascii="宋体" w:hAnsi="宋体" w:cs="Arial" w:hint="eastAsia"/>
          <w:sz w:val="24"/>
        </w:rPr>
        <w:t>能力。资本运营型投资公司与生产型集团公司需要完全不同的</w:t>
      </w:r>
      <w:r>
        <w:rPr>
          <w:rFonts w:ascii="宋体" w:hAnsi="宋体" w:cs="Arial" w:hint="eastAsia"/>
          <w:sz w:val="24"/>
          <w:lang w:eastAsia="zh-CN"/>
        </w:rPr>
        <w:t>管理管控</w:t>
      </w:r>
      <w:r>
        <w:rPr>
          <w:rFonts w:ascii="宋体" w:hAnsi="宋体" w:cs="Arial" w:hint="eastAsia"/>
          <w:sz w:val="24"/>
        </w:rPr>
        <w:t>人员，目前公司的中高层</w:t>
      </w:r>
      <w:r>
        <w:rPr>
          <w:rFonts w:ascii="宋体" w:hAnsi="宋体" w:cs="Arial" w:hint="eastAsia"/>
          <w:sz w:val="24"/>
          <w:lang w:eastAsia="zh-CN"/>
        </w:rPr>
        <w:t>管理管控</w:t>
      </w:r>
      <w:r>
        <w:rPr>
          <w:rFonts w:ascii="宋体" w:hAnsi="宋体" w:cs="Arial" w:hint="eastAsia"/>
          <w:sz w:val="24"/>
        </w:rPr>
        <w:t>人员大部分并不具备这样的</w:t>
      </w:r>
      <w:r>
        <w:rPr>
          <w:rFonts w:ascii="宋体" w:hAnsi="宋体" w:cs="Arial" w:hint="eastAsia"/>
          <w:sz w:val="24"/>
          <w:lang w:eastAsia="zh-CN"/>
        </w:rPr>
        <w:t>管理管控</w:t>
      </w:r>
      <w:r>
        <w:rPr>
          <w:rFonts w:ascii="宋体" w:hAnsi="宋体" w:cs="Arial" w:hint="eastAsia"/>
          <w:sz w:val="24"/>
        </w:rPr>
        <w:t>能力。</w:t>
      </w:r>
    </w:p>
    <w:p>
      <w:pPr>
        <w:pStyle w:val="Normal0"/>
        <w:spacing w:before="56" w:after="113" w:line="360" w:lineRule="auto"/>
        <w:ind w:firstLine="420"/>
        <w:rPr>
          <w:rFonts w:ascii="宋体" w:hAnsi="宋体" w:cs="Arial" w:hint="eastAsia"/>
          <w:sz w:val="24"/>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cs="Arial" w:hint="eastAsia"/>
          <w:sz w:val="24"/>
        </w:rPr>
        <w:t>总的说来，滦河国际投资公司目前尚不具备直接成为一家投资公司的条件。</w:t>
      </w:r>
    </w:p>
    <w:p>
      <w:pPr>
        <w:pStyle w:val="MMTopic3"/>
        <w:spacing w:line="360" w:lineRule="auto"/>
        <w:rPr>
          <w:rFonts w:ascii="宋体" w:hAnsi="宋体" w:hint="eastAsia"/>
        </w:rPr>
      </w:pPr>
      <w:bookmarkStart w:id="7" w:name="_Toc66627680"/>
      <w:r>
        <w:rPr>
          <w:rFonts w:ascii="宋体" w:hAnsi="宋体" w:hint="eastAsia"/>
        </w:rPr>
        <w:t>发展步骤建议</w:t>
      </w:r>
      <w:bookmarkEnd w:id="7"/>
    </w:p>
    <w:p>
      <w:pPr>
        <w:pStyle w:val="Normal0"/>
        <w:spacing w:before="56" w:after="113" w:line="360" w:lineRule="auto"/>
        <w:ind w:firstLine="420"/>
        <w:rPr>
          <w:rFonts w:ascii="宋体" w:hAnsi="宋体" w:cs="Arial" w:hint="eastAsia"/>
          <w:sz w:val="24"/>
        </w:rPr>
      </w:pPr>
      <w:r>
        <w:rPr>
          <w:rFonts w:ascii="宋体" w:hAnsi="宋体" w:cs="Arial" w:hint="eastAsia"/>
          <w:sz w:val="24"/>
        </w:rPr>
        <w:t>根据滦河集团现状，北大纵横</w:t>
      </w:r>
      <w:r>
        <w:rPr>
          <w:rFonts w:ascii="宋体" w:hAnsi="宋体" w:cs="Arial" w:hint="eastAsia"/>
          <w:sz w:val="24"/>
          <w:lang w:eastAsia="zh-CN"/>
        </w:rPr>
        <w:t>相关项目</w:t>
      </w:r>
      <w:r>
        <w:rPr>
          <w:rFonts w:ascii="宋体" w:hAnsi="宋体" w:cs="Arial" w:hint="eastAsia"/>
          <w:sz w:val="24"/>
        </w:rPr>
        <w:t>小组认为滦河集团应经过三个阶段的发展才能最终成为一家真正意义上的以资本运作为核心的投资公司。</w:t>
      </w:r>
    </w:p>
    <w:p>
      <w:pPr>
        <w:pStyle w:val="Normal0"/>
        <w:spacing w:before="56" w:after="113" w:line="360" w:lineRule="auto"/>
        <w:ind w:firstLine="420"/>
        <w:rPr>
          <w:rFonts w:ascii="宋体" w:hAnsi="宋体" w:cs="Arial" w:hint="eastAsia"/>
          <w:sz w:val="24"/>
        </w:rPr>
      </w:pPr>
      <w:r>
        <w:rPr>
          <w:rFonts w:ascii="宋体" w:hAnsi="宋体" w:cs="Arial" w:hint="eastAsia"/>
          <w:sz w:val="24"/>
        </w:rPr>
        <w:t>首先，滦河集团应在现有的基础上扩大产业规模，提升产业层次，成为以矿产开发和钢铁生产为核心的实业集团公司；</w:t>
      </w:r>
    </w:p>
    <w:p>
      <w:pPr>
        <w:pStyle w:val="Normal0"/>
        <w:spacing w:before="56" w:after="113" w:line="360" w:lineRule="auto"/>
        <w:ind w:firstLine="420"/>
        <w:rPr>
          <w:rFonts w:ascii="宋体" w:hAnsi="宋体" w:cs="Arial" w:hint="eastAsia"/>
          <w:sz w:val="24"/>
        </w:rPr>
      </w:pPr>
      <w:r>
        <w:rPr>
          <w:rFonts w:ascii="宋体" w:hAnsi="宋体" w:cs="Arial" w:hint="eastAsia"/>
          <w:sz w:val="24"/>
        </w:rPr>
        <w:t>其次，围绕自由产业加大投资力度，使自有产业成为资本运作的对象，使公司成为一家以产业为核心的投资公司；</w:t>
      </w:r>
    </w:p>
    <w:p>
      <w:pPr>
        <w:pStyle w:val="Normal0"/>
        <w:spacing w:before="56" w:after="113" w:line="360" w:lineRule="auto"/>
        <w:ind w:firstLine="420"/>
        <w:rPr>
          <w:rFonts w:ascii="宋体" w:hAnsi="宋体" w:cs="Arial" w:hint="eastAsia"/>
          <w:sz w:val="24"/>
        </w:rPr>
      </w:pPr>
      <w:r>
        <w:rPr>
          <w:rFonts w:ascii="宋体" w:hAnsi="宋体" w:cs="Arial" w:hint="eastAsia"/>
          <w:sz w:val="24"/>
        </w:rPr>
        <w:t>第三，在积累了丰富的投资经验和投资公司运作经验之后，开始逐步进行多元化投资，最终成为一家真正意义上的以资本运作为核心的投资公司。</w:t>
      </w:r>
    </w:p>
    <w:p>
      <w:pPr>
        <w:pStyle w:val="Normal0"/>
        <w:spacing w:before="56" w:after="113" w:line="360" w:lineRule="auto"/>
        <w:ind w:firstLine="420"/>
        <w:rPr>
          <w:rFonts w:ascii="宋体" w:hAnsi="宋体" w:cs="Arial" w:hint="eastAsia"/>
          <w:sz w:val="24"/>
        </w:rPr>
      </w:pPr>
      <w:r>
        <w:rPr>
          <w:rFonts w:ascii="宋体" w:hAnsi="宋体" w:cs="Arial" w:hint="eastAsia"/>
          <w:sz w:val="24"/>
        </w:rPr>
        <w:t>总的来说，滦河集团应加强现有产业的延伸分别在原材料开采和国际贸易两个方面进行扩展，以投资促进产业的发展，以产业扩张带动投资业务发展。</w:t>
      </w:r>
    </w:p>
    <w:p>
      <w:pPr>
        <w:pStyle w:val="Normal0"/>
        <w:spacing w:before="56" w:after="113" w:line="360" w:lineRule="auto"/>
        <w:ind w:firstLine="420"/>
        <w:rPr>
          <w:rFonts w:ascii="宋体" w:hAnsi="宋体" w:cs="Arial" w:hint="eastAsia"/>
          <w:sz w:val="24"/>
        </w:rPr>
      </w:pPr>
      <w:r>
        <w:rPr>
          <w:rFonts w:ascii="宋体" w:hAnsi="宋体" w:cs="Arial" w:hint="eastAsia"/>
          <w:sz w:val="24"/>
        </w:rPr>
        <w:t>那么要成为一家以产业为核心的投资公司，我们应当对目前已有和已介入的产业如何定位呢？</w:t>
      </w:r>
    </w:p>
    <w:p>
      <w:pPr>
        <w:pStyle w:val="MMTopic2"/>
        <w:spacing w:line="360" w:lineRule="auto"/>
        <w:rPr>
          <w:rFonts w:ascii="宋体" w:eastAsia="宋体" w:hAnsi="宋体" w:hint="eastAsia"/>
        </w:rPr>
      </w:pPr>
      <w:bookmarkStart w:id="8" w:name="_Toc66627681"/>
      <w:r>
        <w:rPr>
          <w:rFonts w:ascii="宋体" w:eastAsia="宋体" w:hAnsi="宋体" w:hint="eastAsia"/>
        </w:rPr>
        <w:t>国际国内环境分析</w:t>
      </w:r>
      <w:bookmarkEnd w:id="8"/>
    </w:p>
    <w:p>
      <w:pPr>
        <w:pStyle w:val="MMTopic3"/>
        <w:spacing w:line="360" w:lineRule="auto"/>
        <w:rPr>
          <w:rFonts w:ascii="宋体" w:hAnsi="宋体" w:hint="eastAsia"/>
        </w:rPr>
      </w:pPr>
      <w:bookmarkStart w:id="9" w:name="_Toc66627682"/>
      <w:r>
        <w:rPr>
          <w:rFonts w:ascii="宋体" w:hAnsi="宋体" w:hint="eastAsia"/>
        </w:rPr>
        <w:t>国际环境分析</w:t>
      </w:r>
      <w:bookmarkEnd w:id="9"/>
    </w:p>
    <w:p>
      <w:pPr>
        <w:pStyle w:val="Normal0"/>
        <w:spacing w:before="56" w:after="113" w:line="360" w:lineRule="auto"/>
        <w:ind w:firstLine="420"/>
        <w:rPr>
          <w:rFonts w:ascii="宋体" w:hAnsi="宋体" w:cs="Arial" w:hint="eastAsia"/>
          <w:sz w:val="24"/>
        </w:rPr>
      </w:pPr>
      <w:r>
        <w:rPr>
          <w:rFonts w:ascii="宋体" w:hAnsi="宋体" w:cs="Arial" w:hint="eastAsia"/>
          <w:sz w:val="24"/>
        </w:rPr>
        <w:t>从国际范围来看，虽然地区性冲突不断，恐怖主义威胁时刻存在，但居有关权威机构预测，新一轮的世界经济增长即将到来。2004年全球经济增长率将由3％上升为4％，美国经济呈现强劲复苏，欧盟经济以有望实现温和增长，日本经济踏上复苏之路，亚洲经济将继续呈现加速增长的态势，美国的调查研究机构认为，此次增长为中长期增长，至少将持续6－8年。</w:t>
      </w:r>
    </w:p>
    <w:p>
      <w:pPr>
        <w:pStyle w:val="Normal0"/>
        <w:spacing w:before="56" w:after="113" w:line="360" w:lineRule="auto"/>
        <w:ind w:firstLine="420"/>
        <w:rPr>
          <w:rFonts w:ascii="宋体" w:hAnsi="宋体" w:cs="Arial" w:hint="eastAsia"/>
          <w:sz w:val="24"/>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pStyle w:val="Normal0"/>
        <w:spacing w:before="56" w:after="113" w:line="360" w:lineRule="auto"/>
        <w:ind w:firstLine="420"/>
        <w:rPr>
          <w:rFonts w:ascii="宋体" w:hAnsi="宋体" w:cs="Arial" w:hint="eastAsia"/>
          <w:sz w:val="24"/>
        </w:rPr>
      </w:pPr>
      <w:r>
        <w:rPr>
          <w:rFonts w:ascii="宋体" w:hAnsi="宋体" w:cs="Arial" w:hint="eastAsia"/>
          <w:sz w:val="24"/>
        </w:rPr>
        <w:t>从世界范围内的矛盾冲突来看，目前世界的主要矛盾是西方文明与伊斯兰文明的冲突，原有的种族矛盾、民族矛盾已经退居次要地位。在这种情况下，以印尼为代表的亲伊斯兰国家的投资环境有了明显的变化：此类国家或地区与西方国家的冲突明显增强，国民普遍对西方投资呈现拒绝态度，这是我们进入此类国家和地区的最佳机会。</w:t>
      </w:r>
    </w:p>
    <w:p>
      <w:pPr>
        <w:pStyle w:val="Normal0"/>
        <w:spacing w:before="56" w:after="113" w:line="360" w:lineRule="auto"/>
        <w:ind w:firstLine="420"/>
        <w:rPr>
          <w:rFonts w:ascii="宋体" w:hAnsi="宋体" w:cs="Arial" w:hint="eastAsia"/>
          <w:sz w:val="24"/>
        </w:rPr>
      </w:pPr>
      <w:r>
        <w:rPr>
          <w:rFonts w:ascii="宋体" w:hAnsi="宋体" w:cs="Arial" w:hint="eastAsia"/>
          <w:sz w:val="24"/>
        </w:rPr>
        <w:t>从投资方向上来看，印尼、越南、蒙古等欠发达但矿产资源丰富的国家或地区正积极引进资金对其资源进行开发。滦河国际作为钢铁生产性企业集团，其原燃料瓶颈将最终在这些国家和地区被打破。而且，充分利用国际资源不但能为滦河国际带来成本的降低，而且国际贸易行为能够顺利开展，并在世界范围内收集整理信息，将为滦河国际创造新的经济增长点。</w:t>
      </w:r>
    </w:p>
    <w:p>
      <w:pPr>
        <w:pStyle w:val="MMTopic3"/>
        <w:spacing w:line="360" w:lineRule="auto"/>
        <w:rPr>
          <w:rFonts w:ascii="宋体" w:hAnsi="宋体" w:hint="eastAsia"/>
        </w:rPr>
      </w:pPr>
      <w:bookmarkStart w:id="10" w:name="_Toc66627683"/>
      <w:r>
        <w:rPr>
          <w:rFonts w:ascii="宋体" w:hAnsi="宋体" w:hint="eastAsia"/>
        </w:rPr>
        <w:t>国内环境分析</w:t>
      </w:r>
      <w:bookmarkEnd w:id="10"/>
    </w:p>
    <w:p>
      <w:pPr>
        <w:pStyle w:val="Normal0"/>
        <w:spacing w:before="56" w:after="113" w:line="360" w:lineRule="auto"/>
        <w:ind w:firstLine="420"/>
        <w:rPr>
          <w:rFonts w:ascii="宋体" w:hAnsi="宋体" w:cs="Arial" w:hint="eastAsia"/>
          <w:sz w:val="24"/>
        </w:rPr>
      </w:pPr>
      <w:r>
        <w:rPr>
          <w:rFonts w:ascii="宋体" w:hAnsi="宋体" w:cs="Arial" w:hint="eastAsia"/>
          <w:sz w:val="24"/>
        </w:rPr>
        <w:t>虽然有各种问题出现，但国内经济总体上在持续快速发展，GDP增长率将维持在7％以上，完贸进出口总额增长将在8％以上，全社会固定资产投资将增长12％以上。这种良好的增长态势将为包括滦河国际在内的所有企业提供飞速发展的机遇与舞台。</w:t>
      </w:r>
    </w:p>
    <w:p>
      <w:pPr>
        <w:pStyle w:val="Normal0"/>
        <w:spacing w:before="56" w:after="113" w:line="360" w:lineRule="auto"/>
        <w:ind w:firstLine="420"/>
        <w:rPr>
          <w:rFonts w:ascii="宋体" w:hAnsi="宋体" w:cs="Arial" w:hint="eastAsia"/>
          <w:sz w:val="24"/>
        </w:rPr>
      </w:pPr>
      <w:r>
        <w:rPr>
          <w:rFonts w:ascii="宋体" w:hAnsi="宋体" w:cs="Arial" w:hint="eastAsia"/>
          <w:sz w:val="24"/>
        </w:rPr>
        <w:t>目前国家发展战略中，“西部大开发”和“振兴东北”两大主题构成了国内投资的主旋律。西部和东北作为国内经济较部发达地区，市场规则尚在建立之中，此时进入将有可能获得超额利润；其次，西部和东北蕴藏着大量能源，在世界范围内的能源危机即将（已经）到来之际，这些能源的开采将会成为焦点之一；第三，西部和东北地区基础建设相对比较薄弱，钢铁等基础材料的使用将有较大幅度的提升，对滦河国际而言，这显示着历史性的发展机遇。</w:t>
      </w:r>
    </w:p>
    <w:p>
      <w:pPr>
        <w:pStyle w:val="Normal0"/>
        <w:spacing w:before="56" w:after="113" w:line="360" w:lineRule="auto"/>
        <w:ind w:firstLine="420"/>
        <w:rPr>
          <w:rFonts w:ascii="宋体" w:hAnsi="宋体" w:cs="Arial" w:hint="eastAsia"/>
          <w:sz w:val="24"/>
        </w:rPr>
      </w:pPr>
      <w:r>
        <w:rPr>
          <w:rFonts w:ascii="宋体" w:hAnsi="宋体" w:cs="Arial" w:hint="eastAsia"/>
          <w:sz w:val="24"/>
        </w:rPr>
        <w:t>从国家经济结构来看，我国经济已经进入了新一轮以重化工业和城市化为主导的增长时期，并形成了以汽车、房地产、装备制造业为主的高增长的产业群；国外制造业正加快向我国转移，中国正在成为“世界制造中心”，钢铁建材产品的需求呈现稳步增长的态势，为滦河国际的发展提供了宝贵的市场环境和发展机遇。</w:t>
      </w:r>
    </w:p>
    <w:p>
      <w:pPr>
        <w:pStyle w:val="MMTopic2"/>
        <w:spacing w:line="360" w:lineRule="auto"/>
        <w:rPr>
          <w:rFonts w:ascii="宋体" w:eastAsia="宋体" w:hAnsi="宋体" w:hint="eastAsia"/>
        </w:rPr>
      </w:pPr>
      <w:bookmarkStart w:id="11" w:name="_Toc66627684"/>
      <w:r>
        <w:rPr>
          <w:rFonts w:ascii="宋体" w:eastAsia="宋体" w:hAnsi="宋体" w:hint="eastAsia"/>
        </w:rPr>
        <w:t>各个业务模块的战略定位</w:t>
      </w:r>
      <w:bookmarkEnd w:id="11"/>
    </w:p>
    <w:p>
      <w:pPr>
        <w:pStyle w:val="Normal0"/>
        <w:spacing w:before="56" w:after="113" w:line="360" w:lineRule="auto"/>
        <w:ind w:firstLine="420"/>
        <w:rPr>
          <w:rFonts w:ascii="宋体" w:hAnsi="宋体" w:cs="Arial" w:hint="eastAsia"/>
          <w:sz w:val="24"/>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pStyle w:val="Normal0"/>
        <w:spacing w:before="56" w:after="113" w:line="360" w:lineRule="auto"/>
        <w:ind w:firstLine="420"/>
        <w:rPr>
          <w:rFonts w:ascii="宋体" w:hAnsi="宋体" w:cs="Arial" w:hint="eastAsia"/>
          <w:sz w:val="24"/>
        </w:rPr>
      </w:pPr>
      <w:r>
        <w:rPr>
          <w:rFonts w:ascii="宋体" w:hAnsi="宋体" w:cs="Arial"/>
          <w:sz w:val="24"/>
        </w:rPr>
        <w:t>去年宏观经济中表现最突出的指标是投资和工业增加值，而这些指标的快速增长伴随的是钢铁、石化、电力、汽车、有色金属等几大基础行业的迅猛增长，2004年这些行业是否还能维持高增长或者是否会出现投资过热而回落，是投资者最为关注的问题。</w:t>
      </w:r>
    </w:p>
    <w:p>
      <w:pPr>
        <w:pStyle w:val="Normal0"/>
        <w:spacing w:before="56" w:after="113" w:line="360" w:lineRule="auto"/>
        <w:ind w:firstLine="420"/>
        <w:rPr>
          <w:rFonts w:ascii="宋体" w:hAnsi="宋体" w:cs="Arial" w:hint="eastAsia"/>
          <w:b/>
        </w:rPr>
      </w:pPr>
      <w:r>
        <w:rPr>
          <w:rFonts w:ascii="宋体" w:hAnsi="宋体" w:cs="Arial"/>
          <w:b/>
        </w:rPr>
        <w:t>钢铁</w:t>
      </w:r>
      <w:r>
        <w:rPr>
          <w:rFonts w:ascii="宋体" w:hAnsi="宋体" w:cs="Arial" w:hint="eastAsia"/>
          <w:b/>
        </w:rPr>
        <w:t>，</w:t>
      </w:r>
      <w:r>
        <w:rPr>
          <w:rFonts w:ascii="宋体" w:hAnsi="宋体" w:cs="Arial"/>
          <w:b/>
        </w:rPr>
        <w:t>准确把握行业周期</w:t>
      </w:r>
    </w:p>
    <w:p>
      <w:pPr>
        <w:pStyle w:val="Normal0"/>
        <w:spacing w:before="56" w:after="113" w:line="360" w:lineRule="auto"/>
        <w:ind w:firstLine="420"/>
        <w:rPr>
          <w:rFonts w:ascii="宋体" w:hAnsi="宋体" w:cs="Arial" w:hint="eastAsia"/>
          <w:sz w:val="24"/>
        </w:rPr>
      </w:pPr>
      <w:r>
        <w:rPr>
          <w:rFonts w:ascii="宋体" w:hAnsi="宋体" w:cs="Arial"/>
          <w:sz w:val="24"/>
        </w:rPr>
        <w:t>钢铁价格2003年的大幅上涨吸引了大量的投资，这些投资会在今明两年逐渐开始产出，竞争格局的改变究竟会使钢铁业走向何处，中国钢铁工业协会副秘书长戚向东认为，判断钢铁业的发展态势的前提是经济周期的运行阶段。</w:t>
      </w:r>
    </w:p>
    <w:p>
      <w:pPr>
        <w:pStyle w:val="Normal0"/>
        <w:spacing w:before="56" w:after="113" w:line="360" w:lineRule="auto"/>
        <w:ind w:firstLine="420"/>
        <w:rPr>
          <w:rFonts w:ascii="宋体" w:hAnsi="宋体" w:cs="Arial" w:hint="eastAsia"/>
        </w:rPr>
      </w:pPr>
      <w:r>
        <w:rPr>
          <w:rFonts w:ascii="宋体" w:hAnsi="宋体" w:cs="Arial" w:hint="eastAsia"/>
        </w:rPr>
        <w:t>据</w:t>
      </w:r>
      <w:r>
        <w:rPr>
          <w:rFonts w:ascii="宋体" w:hAnsi="宋体" w:cs="Arial"/>
        </w:rPr>
        <w:t>介绍说，去年1-11月份冶金行业的固定资产投资同比增长104.1%，是全国各工业行业投资增幅最高的行业，对钢铁工业固定资产投资的高增长要做出全面深入地分析。统计资料显示，钢铁新一轮投资</w:t>
      </w:r>
      <w:hyperlink w:history="1">
        <w:r>
          <w:rPr>
            <w:rFonts w:cs="Arial"/>
          </w:rPr>
          <w:t>高潮</w:t>
        </w:r>
      </w:hyperlink>
      <w:r>
        <w:rPr>
          <w:rFonts w:ascii="宋体" w:hAnsi="宋体" w:cs="Arial"/>
        </w:rPr>
        <w:t>是从2000年开始的。但从1995年到2003年平均增长率为10%左右，略高于同期我国GDP增长2个百分点，然而，低于全社会固定资产投资的平均增长速度。因此，本轮钢铁投资快速增长，既带有恢复性增长的因素，也是我国经济持续快速增长拉动的结果。从投资状况分析，国有及国有控股企业仍是投资主体。在内资企业投资中，民营企业完成的投资只占8.5%。从</w:t>
      </w:r>
      <w:r>
        <w:rPr>
          <w:rFonts w:ascii="宋体" w:hAnsi="宋体" w:cs="Arial" w:hint="eastAsia"/>
          <w:lang w:eastAsia="zh-CN"/>
        </w:rPr>
        <w:t>相关项目</w:t>
      </w:r>
      <w:r>
        <w:rPr>
          <w:rFonts w:ascii="宋体" w:hAnsi="宋体" w:cs="Arial"/>
        </w:rPr>
        <w:t>性质分析，扩建和改建</w:t>
      </w:r>
      <w:r>
        <w:rPr>
          <w:rFonts w:ascii="宋体" w:hAnsi="宋体" w:cs="Arial" w:hint="eastAsia"/>
          <w:lang w:eastAsia="zh-CN"/>
        </w:rPr>
        <w:t>相关项目</w:t>
      </w:r>
      <w:r>
        <w:rPr>
          <w:rFonts w:ascii="宋体" w:hAnsi="宋体" w:cs="Arial"/>
        </w:rPr>
        <w:t>成为投资主体。从资金来源分析，企业自筹资金成为主体。</w:t>
      </w:r>
    </w:p>
    <w:p>
      <w:pPr>
        <w:pStyle w:val="Normal0"/>
        <w:spacing w:before="56" w:after="113" w:line="360" w:lineRule="auto"/>
        <w:ind w:firstLine="420"/>
        <w:rPr>
          <w:rFonts w:ascii="宋体" w:hAnsi="宋体" w:cs="Arial" w:hint="eastAsia"/>
          <w:sz w:val="24"/>
        </w:rPr>
      </w:pPr>
      <w:r>
        <w:rPr>
          <w:rFonts w:ascii="宋体" w:hAnsi="宋体" w:cs="Arial" w:hint="eastAsia"/>
          <w:sz w:val="24"/>
        </w:rPr>
        <w:t>专家</w:t>
      </w:r>
      <w:r>
        <w:rPr>
          <w:rFonts w:ascii="宋体" w:hAnsi="宋体" w:cs="Arial"/>
          <w:sz w:val="24"/>
        </w:rPr>
        <w:t>认为，2004年钢铁市场有利因素多于不利因素，推动力量大于制约力量，发展预期向好。原因主要有全球经济复苏步伐加快；钢铁市场需求强劲；产能与消费均提高；由于铁矿石、电力、运输紧张的局面不会明显好转，钢铁生产所需原燃材料仍会高价位运行，钢铁生产成本继续上升，利润空间受到严重制约，使得总体价格水平将高位运行。</w:t>
      </w:r>
    </w:p>
    <w:p>
      <w:pPr>
        <w:pStyle w:val="Normal0"/>
        <w:spacing w:before="56" w:after="113" w:line="360" w:lineRule="auto"/>
        <w:ind w:firstLine="420"/>
        <w:rPr>
          <w:rFonts w:ascii="宋体" w:hAnsi="宋体" w:cs="Arial" w:hint="eastAsia"/>
          <w:b/>
        </w:rPr>
      </w:pPr>
      <w:r>
        <w:rPr>
          <w:rFonts w:ascii="宋体" w:hAnsi="宋体" w:cs="Arial"/>
          <w:b/>
        </w:rPr>
        <w:t>石油石化</w:t>
      </w:r>
      <w:r>
        <w:rPr>
          <w:rFonts w:ascii="宋体" w:hAnsi="宋体" w:cs="Arial" w:hint="eastAsia"/>
          <w:b/>
        </w:rPr>
        <w:t>，</w:t>
      </w:r>
      <w:r>
        <w:rPr>
          <w:rFonts w:ascii="宋体" w:hAnsi="宋体" w:cs="Arial"/>
          <w:b/>
        </w:rPr>
        <w:t>仍将保持15％以上的高增长</w:t>
      </w:r>
    </w:p>
    <w:p>
      <w:pPr>
        <w:pStyle w:val="Normal0"/>
        <w:spacing w:before="56" w:after="113" w:line="360" w:lineRule="auto"/>
        <w:ind w:firstLine="420"/>
        <w:rPr>
          <w:rFonts w:ascii="宋体" w:hAnsi="宋体" w:cs="Arial" w:hint="eastAsia"/>
          <w:sz w:val="24"/>
        </w:rPr>
      </w:pPr>
      <w:r>
        <w:rPr>
          <w:rFonts w:ascii="宋体" w:hAnsi="宋体" w:cs="Arial"/>
          <w:sz w:val="24"/>
        </w:rPr>
        <w:t>2001年年底走出谷底的石化行业在2003年达到上升周期中的增长高点，各项经济效益指标均创历史新高。有预测认为2005年将达到石化业这一周期的顶峰，那么石化业今年增长会更快还是放缓，中国石油和化学工业协会副秘书长孙伟善认为，今年石化业仍将保持高增长，增长幅度将达到15％。</w:t>
      </w:r>
    </w:p>
    <w:p>
      <w:pPr>
        <w:pStyle w:val="Normal0"/>
        <w:spacing w:before="56" w:after="113" w:line="360" w:lineRule="auto"/>
        <w:ind w:firstLine="420"/>
        <w:rPr>
          <w:rFonts w:ascii="宋体" w:hAnsi="宋体" w:cs="Arial" w:hint="eastAsia"/>
          <w:sz w:val="24"/>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宋体" w:hAnsi="宋体" w:cs="Arial" w:hint="eastAsia"/>
          <w:sz w:val="24"/>
        </w:rPr>
        <w:t>据</w:t>
      </w:r>
      <w:r>
        <w:rPr>
          <w:rFonts w:ascii="宋体" w:hAnsi="宋体" w:cs="Arial"/>
          <w:sz w:val="24"/>
        </w:rPr>
        <w:t>介绍说，2003年石化行业全行业取得高增长并创历史最好水平，原因主要是，国内经济的发展形成旺盛的市场需求；投资力度加大，产品结构改善；民营企业的快速发展给市场增加了有效供给，等等。</w:t>
      </w:r>
    </w:p>
    <w:p>
      <w:pPr>
        <w:pStyle w:val="Normal0"/>
        <w:spacing w:before="56" w:after="113" w:line="360" w:lineRule="auto"/>
        <w:ind w:firstLine="420"/>
        <w:rPr>
          <w:rFonts w:ascii="宋体" w:hAnsi="宋体" w:cs="Arial" w:hint="eastAsia"/>
          <w:sz w:val="24"/>
        </w:rPr>
      </w:pPr>
      <w:r>
        <w:rPr>
          <w:rFonts w:ascii="宋体" w:hAnsi="宋体" w:cs="Arial" w:hint="eastAsia"/>
          <w:sz w:val="24"/>
        </w:rPr>
        <w:t>专家</w:t>
      </w:r>
      <w:r>
        <w:rPr>
          <w:rFonts w:ascii="宋体" w:hAnsi="宋体" w:cs="Arial"/>
          <w:sz w:val="24"/>
        </w:rPr>
        <w:t>认为，2004年石化行业仍将保持15％以上的高增长，对原油和大部分油品的需求仍将增长，原油加工量将继续提高，国际原油价格将同比下降，并直接影响国内市场价格。预计化肥价格仍将保持较高水平。</w:t>
      </w:r>
    </w:p>
    <w:p>
      <w:pPr>
        <w:pStyle w:val="Normal0"/>
        <w:spacing w:before="56" w:after="113" w:line="360" w:lineRule="auto"/>
        <w:ind w:firstLine="420"/>
        <w:rPr>
          <w:rFonts w:ascii="宋体" w:hAnsi="宋体" w:cs="Arial" w:hint="eastAsia"/>
        </w:rPr>
      </w:pPr>
      <w:r>
        <w:rPr>
          <w:rFonts w:ascii="宋体" w:hAnsi="宋体" w:cs="Arial"/>
          <w:b/>
        </w:rPr>
        <w:t>汽车  利润仍将高速增长</w:t>
      </w:r>
    </w:p>
    <w:p>
      <w:pPr>
        <w:pStyle w:val="Normal0"/>
        <w:spacing w:before="56" w:after="113" w:line="360" w:lineRule="auto"/>
        <w:ind w:firstLine="420"/>
        <w:rPr>
          <w:rFonts w:ascii="宋体" w:hAnsi="宋体" w:cs="Arial" w:hint="eastAsia"/>
          <w:sz w:val="24"/>
        </w:rPr>
      </w:pPr>
      <w:r>
        <w:rPr>
          <w:rFonts w:ascii="宋体" w:hAnsi="宋体" w:cs="Arial"/>
          <w:sz w:val="24"/>
        </w:rPr>
        <w:t>非典期间汽车销量势头依然强劲的现象使投资者至今记忆犹新，而2005年完全兑现入世承诺也使中国汽车业的发展势头变得难以捉摸。中国汽车工业协会副秘书长姚杰提供了汽车业发展的概况。</w:t>
      </w:r>
    </w:p>
    <w:p>
      <w:pPr>
        <w:pStyle w:val="Normal0"/>
        <w:spacing w:before="56" w:after="113" w:line="360" w:lineRule="auto"/>
        <w:ind w:firstLine="420"/>
        <w:rPr>
          <w:rFonts w:ascii="宋体" w:hAnsi="宋体" w:cs="Arial" w:hint="eastAsia"/>
          <w:sz w:val="24"/>
        </w:rPr>
      </w:pPr>
      <w:r>
        <w:rPr>
          <w:rFonts w:ascii="宋体" w:hAnsi="宋体" w:cs="Arial" w:hint="eastAsia"/>
          <w:sz w:val="24"/>
        </w:rPr>
        <w:t>据</w:t>
      </w:r>
      <w:r>
        <w:rPr>
          <w:rFonts w:ascii="宋体" w:hAnsi="宋体" w:cs="Arial"/>
          <w:sz w:val="24"/>
        </w:rPr>
        <w:t>介绍说，目前汽车业已经形成了大家众所周知的一汽、东风和上汽等大型企业集团，国有汽车的市场占有率达到了95％以上。目前按照入市的承诺，汽车关税在逐年下调，2004年到2006年将下调到25％。</w:t>
      </w:r>
    </w:p>
    <w:p>
      <w:pPr>
        <w:pStyle w:val="Normal0"/>
        <w:spacing w:before="56" w:after="113" w:line="360" w:lineRule="auto"/>
        <w:ind w:firstLine="420"/>
        <w:rPr>
          <w:rFonts w:ascii="宋体" w:hAnsi="宋体" w:cs="Arial" w:hint="eastAsia"/>
          <w:sz w:val="24"/>
        </w:rPr>
      </w:pPr>
      <w:r>
        <w:rPr>
          <w:rFonts w:ascii="宋体" w:hAnsi="宋体" w:cs="Arial" w:hint="eastAsia"/>
          <w:sz w:val="24"/>
        </w:rPr>
        <w:t>专家</w:t>
      </w:r>
      <w:r>
        <w:rPr>
          <w:rFonts w:ascii="宋体" w:hAnsi="宋体" w:cs="Arial"/>
          <w:sz w:val="24"/>
        </w:rPr>
        <w:t>预测，2004年汽车的产量保守地说是肯定能突破500万辆。从1995年到2000年汽车增长相对比较缓慢，而2002年进入300万规模，2003年达到400万规模。2004年的轿车产量将突破260万辆，近3年轿车的增长比汽车总量的增长更为迅速。在加入世贸组织后，汽车价格已经降低了20％到30％。预测2004年全行业总销售收入将突破10000亿元，利润达将达到850亿到900亿元。从整个同行业来看，2004年将延续2003年的增长轨迹，利润的增长高于销售额增长的趋势仍然明显。</w:t>
      </w:r>
    </w:p>
    <w:p>
      <w:pPr>
        <w:pStyle w:val="Normal0"/>
        <w:spacing w:before="56" w:after="113" w:line="360" w:lineRule="auto"/>
        <w:ind w:firstLine="420"/>
        <w:rPr>
          <w:rFonts w:ascii="宋体" w:hAnsi="宋体" w:cs="Arial" w:hint="eastAsia"/>
          <w:b/>
        </w:rPr>
      </w:pPr>
      <w:r>
        <w:rPr>
          <w:rFonts w:ascii="宋体" w:hAnsi="宋体" w:cs="Arial"/>
          <w:b/>
        </w:rPr>
        <w:t>电力</w:t>
      </w:r>
      <w:r>
        <w:rPr>
          <w:rFonts w:ascii="宋体" w:hAnsi="宋体" w:cs="Arial" w:hint="eastAsia"/>
          <w:b/>
        </w:rPr>
        <w:t>，</w:t>
      </w:r>
      <w:r>
        <w:rPr>
          <w:rFonts w:ascii="宋体" w:hAnsi="宋体" w:cs="Arial"/>
          <w:b/>
        </w:rPr>
        <w:t>缺电情况仍将持续</w:t>
      </w:r>
    </w:p>
    <w:p>
      <w:pPr>
        <w:pStyle w:val="Normal0"/>
        <w:spacing w:before="56" w:after="113" w:line="360" w:lineRule="auto"/>
        <w:ind w:firstLine="420"/>
        <w:rPr>
          <w:rFonts w:ascii="宋体" w:hAnsi="宋体" w:cs="Arial" w:hint="eastAsia"/>
          <w:sz w:val="24"/>
        </w:rPr>
      </w:pPr>
      <w:r>
        <w:rPr>
          <w:rFonts w:ascii="宋体" w:hAnsi="宋体" w:cs="Arial"/>
          <w:sz w:val="24"/>
        </w:rPr>
        <w:t>2003年19个省市都曾经出现电荒，以电力为首的能源紧缺成为经济走势中的不确定因素。电力紧缺的情况今年会不会有所缓解，中国电力企业联合会秘书长王永干认为，缺点现象会有所缓解，但对电力的需求仍将快速增长。</w:t>
      </w:r>
    </w:p>
    <w:p>
      <w:pPr>
        <w:pStyle w:val="Normal0"/>
        <w:spacing w:before="56" w:after="113" w:line="360" w:lineRule="auto"/>
        <w:ind w:firstLine="420"/>
        <w:rPr>
          <w:rFonts w:ascii="宋体" w:hAnsi="宋体" w:cs="Arial" w:hint="eastAsia"/>
          <w:sz w:val="24"/>
        </w:rPr>
      </w:pPr>
      <w:r>
        <w:rPr>
          <w:rFonts w:ascii="宋体" w:hAnsi="宋体" w:cs="Arial" w:hint="eastAsia"/>
          <w:sz w:val="24"/>
        </w:rPr>
        <w:t>据</w:t>
      </w:r>
      <w:r>
        <w:rPr>
          <w:rFonts w:ascii="宋体" w:hAnsi="宋体" w:cs="Arial"/>
          <w:sz w:val="24"/>
        </w:rPr>
        <w:t>介绍，中国2003年全社会用电总量达到18910亿千瓦时，同比增长15.4％，是改革开放以来增长最快的一年，但总体来说全国缺电情况比2002年更为严重。</w:t>
      </w:r>
    </w:p>
    <w:p>
      <w:pPr>
        <w:pStyle w:val="Normal0"/>
        <w:spacing w:before="56" w:after="113" w:line="360" w:lineRule="auto"/>
        <w:ind w:firstLine="420"/>
        <w:rPr>
          <w:rFonts w:ascii="宋体" w:hAnsi="宋体" w:cs="Arial" w:hint="eastAsia"/>
          <w:sz w:val="24"/>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宋体" w:hAnsi="宋体" w:cs="Arial" w:hint="eastAsia"/>
          <w:sz w:val="24"/>
        </w:rPr>
        <w:t>专家</w:t>
      </w:r>
    </w:p>
    <w:p>
      <w:pPr>
        <w:pStyle w:val="Normal0"/>
        <w:spacing w:before="56" w:after="113" w:line="360" w:lineRule="auto"/>
        <w:ind w:firstLine="420"/>
        <w:rPr>
          <w:rFonts w:ascii="宋体" w:hAnsi="宋体" w:cs="Arial" w:hint="eastAsia"/>
          <w:sz w:val="24"/>
        </w:rPr>
      </w:pPr>
      <w:r>
        <w:rPr>
          <w:rFonts w:ascii="宋体" w:hAnsi="宋体" w:cs="Arial"/>
          <w:sz w:val="24"/>
        </w:rPr>
        <w:t>认为，预计2004年的钢铁等黑金对电力需求同比增长22.2％。有色金属对电力的需求今年的增长将回落到10％以上。预计2004年石化行业消费的电量将同比增长9.8％。预计今年建材用电量将有望增长10％以上。基于此，估计今年全国用电增长在11％至13％。</w:t>
      </w:r>
    </w:p>
    <w:p>
      <w:pPr>
        <w:pStyle w:val="Normal0"/>
        <w:spacing w:before="56" w:after="113" w:line="360" w:lineRule="auto"/>
        <w:ind w:firstLine="420"/>
        <w:rPr>
          <w:rFonts w:ascii="宋体" w:hAnsi="宋体" w:cs="Arial" w:hint="eastAsia"/>
          <w:b/>
        </w:rPr>
      </w:pPr>
      <w:r>
        <w:rPr>
          <w:rFonts w:ascii="宋体" w:hAnsi="宋体" w:cs="Arial"/>
          <w:b/>
        </w:rPr>
        <w:t>有色金属 仍有投资潜力</w:t>
      </w:r>
    </w:p>
    <w:p>
      <w:pPr>
        <w:pStyle w:val="Normal0"/>
        <w:spacing w:before="56" w:after="113" w:line="360" w:lineRule="auto"/>
        <w:ind w:firstLine="420"/>
        <w:rPr>
          <w:rFonts w:ascii="宋体" w:hAnsi="宋体" w:cs="Arial" w:hint="eastAsia"/>
          <w:sz w:val="24"/>
        </w:rPr>
      </w:pPr>
      <w:r>
        <w:rPr>
          <w:rFonts w:ascii="宋体" w:hAnsi="宋体" w:cs="Arial"/>
          <w:sz w:val="24"/>
        </w:rPr>
        <w:t>有色行业上市公司可以说是2003年末证券市场最耀眼的明星，这颗明星能否在今年仍然闪亮耀眼，中色建设股份公司总经理王宏前阐述了他的观点。</w:t>
      </w:r>
    </w:p>
    <w:p>
      <w:pPr>
        <w:pStyle w:val="Normal0"/>
        <w:spacing w:before="56" w:after="113" w:line="360" w:lineRule="auto"/>
        <w:ind w:firstLine="420"/>
        <w:rPr>
          <w:rFonts w:ascii="宋体" w:hAnsi="宋体" w:cs="Arial" w:hint="eastAsia"/>
          <w:sz w:val="24"/>
        </w:rPr>
      </w:pPr>
      <w:r>
        <w:rPr>
          <w:rFonts w:ascii="宋体" w:hAnsi="宋体" w:cs="Arial" w:hint="eastAsia"/>
          <w:sz w:val="24"/>
        </w:rPr>
        <w:t>据</w:t>
      </w:r>
      <w:r>
        <w:rPr>
          <w:rFonts w:ascii="宋体" w:hAnsi="宋体" w:cs="Arial"/>
          <w:sz w:val="24"/>
        </w:rPr>
        <w:t>说，有色金属行业在经历了8至9年的低谷后，已经进入明显的复苏周期，目前处于向波峰上升的阶段。有色金属行业是典型的周期性和资源型行业。目前，中国有色企业开始强调对资源的控制，个别有前瞻性的企业已经开始形成了对海外资源的控制优势。</w:t>
      </w:r>
    </w:p>
    <w:p>
      <w:pPr>
        <w:pStyle w:val="Normal0"/>
        <w:spacing w:before="56" w:after="113" w:line="360" w:lineRule="auto"/>
        <w:ind w:firstLine="420"/>
        <w:rPr>
          <w:rFonts w:ascii="宋体" w:hAnsi="宋体" w:cs="Arial" w:hint="eastAsia"/>
          <w:sz w:val="24"/>
        </w:rPr>
      </w:pPr>
      <w:r>
        <w:rPr>
          <w:rFonts w:ascii="宋体" w:hAnsi="宋体" w:cs="Arial" w:hint="eastAsia"/>
          <w:sz w:val="24"/>
        </w:rPr>
        <w:t>专家</w:t>
      </w:r>
      <w:r>
        <w:rPr>
          <w:rFonts w:ascii="宋体" w:hAnsi="宋体" w:cs="Arial"/>
          <w:sz w:val="24"/>
        </w:rPr>
        <w:t>认为，2003年中国有色金属工业的经济效益显著改善主要得益于国内外有色金属产品价格的回升，但是有色金属工业制约瓶颈的影响因素不但没有消除，反而更加凸现。原料、电力交通运输等制约因素，对我国有色金属工业健康、协调的发展影响越来越大。</w:t>
      </w:r>
    </w:p>
    <w:p>
      <w:pPr>
        <w:pStyle w:val="Normal0"/>
        <w:spacing w:before="56" w:after="113" w:line="360" w:lineRule="auto"/>
        <w:ind w:firstLine="420"/>
        <w:rPr>
          <w:rFonts w:ascii="宋体" w:hAnsi="宋体" w:cs="Arial"/>
          <w:sz w:val="24"/>
        </w:rPr>
      </w:pPr>
      <w:r>
        <w:rPr>
          <w:rFonts w:ascii="宋体" w:hAnsi="宋体" w:cs="Arial"/>
          <w:sz w:val="24"/>
        </w:rPr>
        <w:t>对于2004年有色金属行业的走势，</w:t>
      </w:r>
      <w:r>
        <w:rPr>
          <w:rFonts w:ascii="宋体" w:hAnsi="宋体" w:cs="Arial" w:hint="eastAsia"/>
          <w:sz w:val="24"/>
        </w:rPr>
        <w:t>专家</w:t>
      </w:r>
      <w:r>
        <w:rPr>
          <w:rFonts w:ascii="宋体" w:hAnsi="宋体" w:cs="Arial"/>
          <w:sz w:val="24"/>
        </w:rPr>
        <w:t>预测，有色金属行业增速应为15％。如果受物价上涨的影响，可能会更高。其中电解铝产量增加15％左右，电解铝总产值提高17％和18％。电解铝产量有多大，要看市场的需求，目前并没有过热。此轮全球有色金属价格的全面上涨，是美元下跌、美日经济复苏、中国基建投资大幅增长的三重因素同时影响造成的，能够持续多久还没有定论。国内具有实力的有色金属工业企业应进一步加强联合，形成统一对外的格局，争取原材料进口的有利地位，增强国际竞争力。</w:t>
      </w:r>
    </w:p>
    <w:p>
      <w:pPr>
        <w:pStyle w:val="Normal0"/>
        <w:spacing w:before="56" w:after="113" w:line="360" w:lineRule="auto"/>
        <w:ind w:firstLine="420"/>
        <w:rPr>
          <w:rFonts w:ascii="宋体" w:hAnsi="宋体" w:cs="Arial" w:hint="eastAsia"/>
          <w:sz w:val="24"/>
        </w:rPr>
      </w:pPr>
      <w:r>
        <w:rPr>
          <w:rFonts w:ascii="宋体" w:hAnsi="宋体" w:cs="Arial" w:hint="eastAsia"/>
          <w:sz w:val="24"/>
        </w:rPr>
        <w:t>滦河集团目前是以钢铁生产产业为核心产业进行发展，但是，伴随着原材料开采产业的进入和国际贸易的应运而生，我们面临着这三大产业的战略选择和战略定位及其他投资方向的问题。</w:t>
      </w:r>
    </w:p>
    <w:p>
      <w:pPr>
        <w:pStyle w:val="MMTopic3"/>
        <w:spacing w:line="360" w:lineRule="auto"/>
        <w:rPr>
          <w:rFonts w:ascii="宋体" w:hAnsi="宋体" w:hint="eastAsia"/>
        </w:rPr>
      </w:pPr>
      <w:bookmarkStart w:id="12" w:name="_Toc66627685"/>
      <w:r>
        <w:rPr>
          <w:rFonts w:ascii="宋体" w:hAnsi="宋体" w:hint="eastAsia"/>
        </w:rPr>
        <w:t>钢铁生产行业</w:t>
      </w:r>
      <w:bookmarkEnd w:id="12"/>
    </w:p>
    <w:p>
      <w:pPr>
        <w:pStyle w:val="Normal0"/>
        <w:spacing w:before="56" w:after="113" w:line="360" w:lineRule="auto"/>
        <w:ind w:firstLine="420"/>
        <w:rPr>
          <w:rFonts w:ascii="宋体" w:hAnsi="宋体" w:cs="Arial" w:hint="eastAsia"/>
          <w:sz w:val="24"/>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pStyle w:val="Normal0"/>
        <w:spacing w:before="56" w:after="113" w:line="360" w:lineRule="auto"/>
        <w:ind w:firstLine="420"/>
        <w:rPr>
          <w:rFonts w:ascii="宋体" w:hAnsi="宋体" w:cs="Arial" w:hint="eastAsia"/>
          <w:sz w:val="24"/>
        </w:rPr>
      </w:pPr>
      <w:r>
        <w:rPr>
          <w:rFonts w:ascii="宋体" w:hAnsi="宋体" w:cs="Arial" w:hint="eastAsia"/>
          <w:sz w:val="24"/>
        </w:rPr>
        <w:t>钢铁产业是滦河集团目前的业务主体，在多年的发展过程中，滦河集团已经拥有了××个钢铁生产企业，成为一家年产钢材200万吨的以上、营业收入21.7亿元以上的大型民营企业集团。</w:t>
      </w:r>
    </w:p>
    <w:p>
      <w:pPr>
        <w:pStyle w:val="Normal0"/>
        <w:spacing w:before="56" w:after="113" w:line="360" w:lineRule="auto"/>
        <w:ind w:firstLine="420"/>
        <w:rPr>
          <w:rFonts w:ascii="宋体" w:hAnsi="宋体" w:cs="Arial" w:hint="eastAsia"/>
          <w:sz w:val="24"/>
        </w:rPr>
      </w:pPr>
      <w:r>
        <w:rPr>
          <w:rFonts w:ascii="宋体" w:hAnsi="宋体" w:cs="Arial" w:hint="eastAsia"/>
          <w:sz w:val="24"/>
        </w:rPr>
        <w:t>下面，我们将从钢铁行业的发展变化前景和滦河集团SWOT分析两个方面来阐述钢铁产业在滦河集团的战略定位。</w:t>
      </w:r>
    </w:p>
    <w:p>
      <w:pPr>
        <w:pStyle w:val="Normal0"/>
        <w:spacing w:before="56" w:after="113" w:line="360" w:lineRule="auto"/>
        <w:ind w:firstLine="420"/>
        <w:rPr>
          <w:rFonts w:ascii="宋体" w:hAnsi="宋体" w:cs="Arial" w:hint="eastAsia"/>
          <w:sz w:val="24"/>
        </w:rPr>
      </w:pPr>
      <w:r>
        <w:rPr>
          <w:rFonts w:ascii="宋体" w:hAnsi="宋体" w:cs="Arial" w:hint="eastAsia"/>
          <w:sz w:val="24"/>
        </w:rPr>
        <w:t>首先，从整个钢铁行业来看，2003年发生了重大变化，</w:t>
      </w:r>
      <w:r>
        <w:rPr>
          <w:rFonts w:ascii="宋体" w:hAnsi="宋体" w:cs="宋体" w:hint="eastAsia"/>
          <w:sz w:val="24"/>
        </w:rPr>
        <w:t>２００３年我国钢产量达到了２．２亿吨，钢材产量达到２．４亿吨。２００３年上半年钢铁行业完成投资同比增长１３３．８％，全年达到了１３００亿元，均达到了历史最高水平。另外，全国的钢铁产业在建</w:t>
      </w:r>
      <w:r>
        <w:rPr>
          <w:rFonts w:ascii="宋体" w:hAnsi="宋体" w:cs="宋体" w:hint="eastAsia"/>
          <w:sz w:val="24"/>
          <w:lang w:eastAsia="zh-CN"/>
        </w:rPr>
        <w:t>相关项目</w:t>
      </w:r>
      <w:r>
        <w:rPr>
          <w:rFonts w:ascii="宋体" w:hAnsi="宋体" w:cs="宋体" w:hint="eastAsia"/>
          <w:sz w:val="24"/>
        </w:rPr>
        <w:t>超过１亿吨，如果没有大的波动，我国钢产量将在２００５年超过３亿吨。２００３年我国钢铁消费量达到了２．６７亿吨，使得国内钢铁产量虽达到了历史最高水平，却依然无法满足国内需求，当年进口钢材达到３７１７万吨，同样达到历史新高。</w:t>
      </w:r>
    </w:p>
    <w:p>
      <w:pPr>
        <w:pStyle w:val="Normal0"/>
        <w:spacing w:before="56" w:after="113" w:line="360" w:lineRule="auto"/>
        <w:ind w:firstLine="420"/>
        <w:rPr>
          <w:rFonts w:ascii="宋体" w:hAnsi="宋体" w:cs="Arial" w:hint="eastAsia"/>
          <w:sz w:val="24"/>
        </w:rPr>
      </w:pPr>
      <w:r>
        <w:rPr>
          <w:rFonts w:ascii="宋体" w:hAnsi="宋体" w:cs="宋体" w:hint="eastAsia"/>
          <w:sz w:val="24"/>
        </w:rPr>
        <w:t>从钢材结构看，钢材品种结构的瓶颈仍未缓解，还有加剧之势。小钢厂仍在大规模扩张，而随着下游家电、汽车行业的高速发展，高技术含量、高附加值的冷轧薄板、冷轧硅钢片等品种明显供不应求，进口持续增加。初级产品生产投资过度，加剧了钢材供求的结构性矛盾。其原因则是小规模、冷轧前端钢铁生产进入的投资和技术门槛相对较低。</w:t>
      </w:r>
    </w:p>
    <w:p>
      <w:pPr>
        <w:pStyle w:val="Normal0"/>
        <w:spacing w:before="56" w:after="113" w:line="360" w:lineRule="auto"/>
        <w:ind w:firstLine="420"/>
        <w:rPr>
          <w:rFonts w:ascii="宋体" w:hAnsi="宋体" w:cs="宋体" w:hint="eastAsia"/>
          <w:sz w:val="24"/>
        </w:rPr>
      </w:pPr>
      <w:r>
        <w:rPr>
          <w:rFonts w:ascii="宋体" w:hAnsi="宋体" w:cs="宋体" w:hint="eastAsia"/>
          <w:sz w:val="24"/>
        </w:rPr>
        <w:t>从供求总量看，过度竞争作为成为必然。据专家估计，目前在建的</w:t>
      </w:r>
      <w:r>
        <w:rPr>
          <w:rFonts w:ascii="宋体" w:hAnsi="宋体" w:cs="宋体" w:hint="eastAsia"/>
          <w:sz w:val="24"/>
          <w:lang w:eastAsia="zh-CN"/>
        </w:rPr>
        <w:t>相关项目</w:t>
      </w:r>
      <w:r>
        <w:rPr>
          <w:rFonts w:ascii="宋体" w:hAnsi="宋体" w:cs="宋体" w:hint="eastAsia"/>
          <w:sz w:val="24"/>
        </w:rPr>
        <w:t>大约有1.2亿吨，预计到2005年，全国钢的生产能力将达到3.33亿吨，也就是说，中国钢产量从2亿吨到3亿吨只需3年时间，而同期的钢材需求只有2.5－2.6亿吨。投资过快导致的国内市场供大于求，如果没有国际市场的吸纳，要么有20％的生产能力闲置，要么有6700万吨钢成为过剩钢材进入市场，过度竞争引致资源浪费、价格下降、利润下滑。从目前市场情况看，部分钢材品种的社会库存已经对市场形成一定压力，部分品种出现价格回调。在2008年左右，将有一批企业陆续被淘汰，或被兼并重组、或破产，2010年以后，中国建筑钢材生产行业将逐渐走向供需平衡，产能略有过剩。</w:t>
      </w:r>
    </w:p>
    <w:p>
      <w:pPr>
        <w:pStyle w:val="Normal0"/>
        <w:spacing w:before="56" w:after="113" w:line="360" w:lineRule="auto"/>
        <w:ind w:firstLine="420"/>
        <w:rPr>
          <w:rFonts w:ascii="宋体" w:hAnsi="宋体" w:cs="Arial" w:hint="eastAsia"/>
          <w:sz w:val="24"/>
        </w:rPr>
      </w:pPr>
      <w:r>
        <w:rPr>
          <w:rFonts w:ascii="宋体" w:hAnsi="宋体" w:cs="Arial" w:hint="eastAsia"/>
          <w:sz w:val="24"/>
        </w:rPr>
        <w:t>下图是钢铁行业增长率的变化图</w:t>
      </w:r>
    </w:p>
    <w:p>
      <w:pPr>
        <w:pStyle w:val="Normal0"/>
        <w:spacing w:before="56" w:after="113" w:line="360" w:lineRule="auto"/>
        <w:ind w:firstLine="420"/>
        <w:rPr>
          <w:rFonts w:ascii="宋体" w:hAnsi="宋体" w:cs="Arial" w:hint="eastAsia"/>
          <w:sz w:val="24"/>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宋体" w:hAnsi="宋体" w:cs="Arial" w:hint="eastAsia"/>
          <w:sz w:val="24"/>
        </w:rPr>
        <w:pict>
          <v:shapetype id="_x0000_t202" coordsize="21600,21600" o:spt="202" path="m,l,21600r21600,l21600,xe">
            <v:stroke joinstyle="miter"/>
            <v:path gradientshapeok="t" o:connecttype="rect"/>
          </v:shapetype>
          <v:shape id="_x0000_s1025" o:spid="_x0000_s1025" type="#_x0000_t202" style="width:27pt;height:103.2pt;margin-top:7.7pt;margin-left:1in;mso-height-relative:page;mso-width-relative:page;position:absolute;z-index:251659264" coordsize="21600,21600" stroked="f">
            <v:stroke joinstyle="miter"/>
            <v:textbox>
              <w:txbxContent>
                <w:p>
                  <w:pPr>
                    <w:pStyle w:val="Normal0"/>
                    <w:rPr>
                      <w:rFonts w:hint="eastAsia"/>
                    </w:rPr>
                  </w:pPr>
                  <w:r>
                    <w:rPr>
                      <w:rFonts w:hint="eastAsia"/>
                    </w:rPr>
                    <w:t>钢铁行业增长率</w:t>
                  </w:r>
                </w:p>
              </w:txbxContent>
            </v:textbox>
          </v:shape>
        </w:pict>
      </w:r>
      <w:r>
        <w:rPr>
          <w:rFonts w:ascii="宋体" w:hAnsi="宋体" w:cs="Arial" w:hint="eastAsia"/>
          <w:sz w:val="24"/>
        </w:rPr>
        <w:pict>
          <v:group id="_x0000_s1026" o:spid="_x0000_s1026" style="width:297pt;height:195pt;margin-top:7.7pt;margin-left:45pt;mso-height-relative:page;mso-width-relative:page;position:absolute;z-index:251658240" coordorigin="2340,11736" coordsize="5940,3900">
            <v:line id="_x0000_s1027" o:spid="_x0000_s1027" style="flip:y;position:absolute" from="3600,11736" to="3600,15636" coordsize="21600,21600">
              <v:stroke endarrow="block"/>
            </v:line>
            <v:line id="_x0000_s1028" o:spid="_x0000_s1028" style="position:absolute" from="2340,14856" to="8280,14856" coordsize="21600,21600">
              <v:stroke endarrow="block"/>
            </v:line>
            <v:shape id="_x0000_s1029" o:spid="_x0000_s1029" style="width:4320;height:2366;left:3600;position:absolute;top:12490" coordsize="4140,2366" path="m,2366hbc450,1768,900,1170,1260,806hbc1620,442,1860,286,2160,182hbc2460,78,2730,,3060,182hbc3390,364,3960,1092,4140,1274hae" filled="f">
              <v:path arrowok="t"/>
            </v:shape>
            <v:line id="_x0000_s1030" o:spid="_x0000_s1030" style="flip:y;position:absolute" from="4860,13296" to="4860,14856" coordsize="21600,21600" stroked="t">
              <v:stroke dashstyle="1 1"/>
            </v:line>
            <v:line id="_x0000_s1031" o:spid="_x0000_s1031" style="position:absolute" from="6480,12516" to="6480,14856" coordsize="21600,21600" stroked="t">
              <v:stroke dashstyle="1 1"/>
            </v:line>
            <v:line id="_x0000_s1032" o:spid="_x0000_s1032" style="position:absolute" from="5580,12828" to="5580,14856" coordsize="21600,21600" stroked="t">
              <v:stroke dashstyle="1 1"/>
            </v:line>
          </v:group>
        </w:pict>
      </w:r>
    </w:p>
    <w:p>
      <w:pPr>
        <w:pStyle w:val="Normal0"/>
        <w:spacing w:before="56" w:after="113" w:line="360" w:lineRule="auto"/>
        <w:ind w:firstLine="420"/>
        <w:rPr>
          <w:rFonts w:ascii="宋体" w:hAnsi="宋体" w:cs="Arial" w:hint="eastAsia"/>
          <w:sz w:val="24"/>
        </w:rPr>
      </w:pPr>
      <w:r>
        <w:rPr>
          <w:rFonts w:ascii="宋体" w:hAnsi="宋体" w:cs="Arial" w:hint="eastAsia"/>
          <w:sz w:val="24"/>
        </w:rPr>
        <w:pict>
          <v:shape id="_x0000_s1033" o:spid="_x0000_s1033" type="#_x0000_t202" style="width:45pt;height:23.4pt;margin-top:9.85pt;margin-left:252pt;mso-height-relative:page;mso-width-relative:page;position:absolute;z-index:251662336" coordsize="21600,21600" stroked="f">
            <v:stroke joinstyle="miter"/>
            <v:textbox>
              <w:txbxContent>
                <w:p>
                  <w:pPr>
                    <w:pStyle w:val="Normal0"/>
                    <w:rPr>
                      <w:sz w:val="18"/>
                      <w:szCs w:val="18"/>
                    </w:rPr>
                  </w:pPr>
                  <w:r>
                    <w:rPr>
                      <w:rFonts w:ascii="宋体" w:hAnsi="宋体" w:hint="eastAsia"/>
                      <w:sz w:val="18"/>
                      <w:szCs w:val="18"/>
                    </w:rPr>
                    <w:t>2010年</w:t>
                  </w:r>
                </w:p>
              </w:txbxContent>
            </v:textbox>
          </v:shape>
        </w:pict>
      </w:r>
      <w:r>
        <w:rPr>
          <w:rFonts w:ascii="宋体" w:hAnsi="宋体" w:cs="Arial" w:hint="eastAsia"/>
          <w:sz w:val="24"/>
        </w:rPr>
        <w:pict>
          <v:shape id="_x0000_s1034" o:spid="_x0000_s1034" type="#_x0000_t202" style="width:45pt;height:23.4pt;margin-top:17.65pt;margin-left:171pt;mso-height-relative:page;mso-width-relative:page;position:absolute;z-index:251661312" coordsize="21600,21600" stroked="f">
            <v:stroke joinstyle="miter"/>
            <v:textbox>
              <w:txbxContent>
                <w:p>
                  <w:pPr>
                    <w:pStyle w:val="Normal0"/>
                    <w:rPr>
                      <w:sz w:val="18"/>
                      <w:szCs w:val="18"/>
                    </w:rPr>
                  </w:pPr>
                  <w:r>
                    <w:rPr>
                      <w:rFonts w:ascii="宋体" w:hAnsi="宋体" w:hint="eastAsia"/>
                      <w:sz w:val="18"/>
                      <w:szCs w:val="18"/>
                    </w:rPr>
                    <w:t>2008年</w:t>
                  </w:r>
                </w:p>
              </w:txbxContent>
            </v:textbox>
          </v:shape>
        </w:pict>
      </w:r>
    </w:p>
    <w:p>
      <w:pPr>
        <w:pStyle w:val="Normal0"/>
        <w:spacing w:before="56" w:after="113" w:line="360" w:lineRule="auto"/>
        <w:ind w:firstLine="420"/>
        <w:rPr>
          <w:rFonts w:ascii="宋体" w:hAnsi="宋体" w:cs="Arial" w:hint="eastAsia"/>
          <w:sz w:val="24"/>
        </w:rPr>
      </w:pPr>
    </w:p>
    <w:p>
      <w:pPr>
        <w:pStyle w:val="Normal0"/>
        <w:spacing w:before="56" w:after="113" w:line="360" w:lineRule="auto"/>
        <w:ind w:firstLine="420"/>
        <w:rPr>
          <w:rFonts w:ascii="宋体" w:hAnsi="宋体" w:cs="Arial" w:hint="eastAsia"/>
          <w:sz w:val="24"/>
        </w:rPr>
      </w:pPr>
      <w:r>
        <w:rPr>
          <w:rFonts w:ascii="宋体" w:hAnsi="宋体" w:cs="Arial" w:hint="eastAsia"/>
          <w:sz w:val="24"/>
        </w:rPr>
        <w:pict>
          <v:shape id="_x0000_s1035" o:spid="_x0000_s1035" type="#_x0000_t202" style="width:45pt;height:23.4pt;margin-top:6.35pt;margin-left:126pt;mso-height-relative:page;mso-width-relative:page;position:absolute;z-index:251660288" coordsize="21600,21600" stroked="f">
            <v:stroke joinstyle="miter"/>
            <v:textbox>
              <w:txbxContent>
                <w:p>
                  <w:pPr>
                    <w:pStyle w:val="Normal0"/>
                    <w:rPr>
                      <w:sz w:val="18"/>
                      <w:szCs w:val="18"/>
                    </w:rPr>
                  </w:pPr>
                  <w:r>
                    <w:rPr>
                      <w:rFonts w:ascii="宋体" w:hAnsi="宋体" w:hint="eastAsia"/>
                      <w:sz w:val="18"/>
                      <w:szCs w:val="18"/>
                    </w:rPr>
                    <w:t>2005年</w:t>
                  </w:r>
                </w:p>
              </w:txbxContent>
            </v:textbox>
          </v:shape>
        </w:pict>
      </w:r>
    </w:p>
    <w:p>
      <w:pPr>
        <w:pStyle w:val="Normal0"/>
        <w:spacing w:before="56" w:after="113" w:line="360" w:lineRule="auto"/>
        <w:ind w:firstLine="420"/>
        <w:rPr>
          <w:rFonts w:ascii="宋体" w:hAnsi="宋体" w:cs="Arial" w:hint="eastAsia"/>
          <w:sz w:val="24"/>
        </w:rPr>
      </w:pPr>
    </w:p>
    <w:p>
      <w:pPr>
        <w:pStyle w:val="Normal0"/>
        <w:spacing w:before="56" w:after="113" w:line="360" w:lineRule="auto"/>
        <w:ind w:firstLine="420"/>
        <w:rPr>
          <w:rFonts w:ascii="宋体" w:hAnsi="宋体" w:cs="Arial" w:hint="eastAsia"/>
          <w:sz w:val="24"/>
        </w:rPr>
      </w:pPr>
    </w:p>
    <w:p>
      <w:pPr>
        <w:pStyle w:val="Normal0"/>
        <w:spacing w:before="56" w:after="113" w:line="360" w:lineRule="auto"/>
        <w:ind w:firstLine="420"/>
        <w:rPr>
          <w:rFonts w:ascii="宋体" w:hAnsi="宋体" w:cs="Arial" w:hint="eastAsia"/>
          <w:sz w:val="24"/>
        </w:rPr>
      </w:pPr>
    </w:p>
    <w:p>
      <w:pPr>
        <w:pStyle w:val="Normal0"/>
        <w:spacing w:before="56" w:after="113" w:line="360" w:lineRule="auto"/>
        <w:ind w:firstLine="420"/>
        <w:rPr>
          <w:rFonts w:ascii="宋体" w:hAnsi="宋体" w:cs="Arial" w:hint="eastAsia"/>
          <w:sz w:val="24"/>
        </w:rPr>
      </w:pPr>
      <w:r>
        <w:rPr>
          <w:rFonts w:ascii="宋体" w:hAnsi="宋体" w:cs="Arial" w:hint="eastAsia"/>
          <w:sz w:val="24"/>
        </w:rPr>
        <w:t>综合以上</w:t>
      </w:r>
      <w:r>
        <w:rPr>
          <w:rFonts w:ascii="宋体" w:hAnsi="宋体" w:cs="Arial" w:hint="eastAsia"/>
          <w:sz w:val="24"/>
          <w:lang w:eastAsia="zh-CN"/>
        </w:rPr>
        <w:t>合适的内容</w:t>
      </w:r>
      <w:r>
        <w:rPr>
          <w:rFonts w:ascii="宋体" w:hAnsi="宋体" w:cs="Arial" w:hint="eastAsia"/>
          <w:sz w:val="24"/>
        </w:rPr>
        <w:t>，我们对于钢铁行业的投资风险做了分析和判断如下：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48"/>
        <w:gridCol w:w="1260"/>
        <w:gridCol w:w="1260"/>
        <w:gridCol w:w="1260"/>
        <w:gridCol w:w="1489"/>
        <w:gridCol w:w="170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风险程度</w:t>
            </w:r>
          </w:p>
        </w:tc>
        <w:tc>
          <w:tcPr>
            <w:tcW w:w="1260" w:type="dxa"/>
          </w:tcPr>
          <w:p>
            <w:pPr>
              <w:pStyle w:val="Normal0"/>
              <w:spacing w:line="360" w:lineRule="auto"/>
              <w:rPr>
                <w:rFonts w:ascii="宋体" w:hAnsi="宋体" w:hint="eastAsia"/>
              </w:rPr>
            </w:pPr>
            <w:r>
              <w:rPr>
                <w:rFonts w:ascii="宋体" w:hAnsi="宋体" w:hint="eastAsia"/>
              </w:rPr>
              <w:t>政策风险</w:t>
            </w:r>
          </w:p>
        </w:tc>
        <w:tc>
          <w:tcPr>
            <w:tcW w:w="1260" w:type="dxa"/>
          </w:tcPr>
          <w:p>
            <w:pPr>
              <w:pStyle w:val="Normal0"/>
              <w:spacing w:line="360" w:lineRule="auto"/>
              <w:rPr>
                <w:rFonts w:ascii="宋体" w:hAnsi="宋体" w:hint="eastAsia"/>
              </w:rPr>
            </w:pPr>
            <w:r>
              <w:rPr>
                <w:rFonts w:ascii="宋体" w:hAnsi="宋体" w:hint="eastAsia"/>
              </w:rPr>
              <w:t>经营风险</w:t>
            </w:r>
          </w:p>
        </w:tc>
        <w:tc>
          <w:tcPr>
            <w:tcW w:w="1260" w:type="dxa"/>
          </w:tcPr>
          <w:p>
            <w:pPr>
              <w:pStyle w:val="Normal0"/>
              <w:spacing w:line="360" w:lineRule="auto"/>
              <w:rPr>
                <w:rFonts w:ascii="宋体" w:hAnsi="宋体" w:hint="eastAsia"/>
              </w:rPr>
            </w:pPr>
            <w:r>
              <w:rPr>
                <w:rFonts w:ascii="宋体" w:hAnsi="宋体" w:hint="eastAsia"/>
              </w:rPr>
              <w:t>技术风险</w:t>
            </w:r>
          </w:p>
        </w:tc>
        <w:tc>
          <w:tcPr>
            <w:tcW w:w="1489" w:type="dxa"/>
          </w:tcPr>
          <w:p>
            <w:pPr>
              <w:pStyle w:val="Normal0"/>
              <w:spacing w:line="360" w:lineRule="auto"/>
              <w:rPr>
                <w:rFonts w:ascii="宋体" w:hAnsi="宋体" w:hint="eastAsia"/>
              </w:rPr>
            </w:pPr>
            <w:r>
              <w:rPr>
                <w:rFonts w:ascii="宋体" w:hAnsi="宋体" w:hint="eastAsia"/>
              </w:rPr>
              <w:t>人才风险</w:t>
            </w:r>
          </w:p>
        </w:tc>
        <w:tc>
          <w:tcPr>
            <w:tcW w:w="1705" w:type="dxa"/>
          </w:tcPr>
          <w:p>
            <w:pPr>
              <w:pStyle w:val="Normal0"/>
              <w:spacing w:line="360" w:lineRule="auto"/>
              <w:rPr>
                <w:rFonts w:ascii="宋体" w:hAnsi="宋体" w:hint="eastAsia"/>
              </w:rPr>
            </w:pPr>
            <w:r>
              <w:rPr>
                <w:rFonts w:ascii="宋体" w:hAnsi="宋体" w:hint="eastAsia"/>
              </w:rPr>
              <w:t>进入/推出壁垒</w:t>
            </w:r>
          </w:p>
        </w:tc>
      </w:tr>
      <w:tr>
        <w:tblPrEx>
          <w:tblW w:w="0" w:type="auto"/>
          <w:tblInd w:w="0" w:type="dxa"/>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极大</w:t>
            </w: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489" w:type="dxa"/>
          </w:tcPr>
          <w:p>
            <w:pPr>
              <w:pStyle w:val="Normal0"/>
              <w:spacing w:line="360" w:lineRule="auto"/>
              <w:rPr>
                <w:rFonts w:ascii="宋体" w:hAnsi="宋体" w:hint="eastAsia"/>
                <w:b/>
                <w:bCs/>
                <w:sz w:val="24"/>
              </w:rPr>
            </w:pPr>
          </w:p>
        </w:tc>
        <w:tc>
          <w:tcPr>
            <w:tcW w:w="1705" w:type="dxa"/>
          </w:tcPr>
          <w:p>
            <w:pPr>
              <w:pStyle w:val="Normal0"/>
              <w:spacing w:line="360" w:lineRule="auto"/>
              <w:rPr>
                <w:rFonts w:ascii="宋体" w:hAnsi="宋体" w:hint="eastAsia"/>
                <w:b/>
                <w:bCs/>
                <w:sz w:val="24"/>
              </w:rPr>
            </w:pPr>
          </w:p>
        </w:tc>
      </w:tr>
      <w:tr>
        <w:tblPrEx>
          <w:tblW w:w="0" w:type="auto"/>
          <w:tblInd w:w="0" w:type="dxa"/>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较大</w:t>
            </w:r>
          </w:p>
        </w:tc>
        <w:tc>
          <w:tcPr>
            <w:tcW w:w="1260" w:type="dxa"/>
          </w:tcPr>
          <w:p>
            <w:pPr>
              <w:pStyle w:val="Normal0"/>
              <w:spacing w:line="360" w:lineRule="auto"/>
              <w:rPr>
                <w:rFonts w:ascii="宋体" w:hAnsi="宋体" w:hint="eastAsia"/>
                <w:b/>
                <w:bCs/>
                <w:sz w:val="24"/>
              </w:rPr>
            </w:pPr>
            <w:r>
              <w:rPr>
                <w:rFonts w:ascii="宋体" w:hAnsi="宋体" w:hint="eastAsia"/>
                <w:b/>
                <w:bCs/>
                <w:sz w:val="24"/>
              </w:rPr>
              <w:t>⊙</w:t>
            </w: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489" w:type="dxa"/>
          </w:tcPr>
          <w:p>
            <w:pPr>
              <w:pStyle w:val="Normal0"/>
              <w:spacing w:line="360" w:lineRule="auto"/>
              <w:rPr>
                <w:rFonts w:ascii="宋体" w:hAnsi="宋体" w:hint="eastAsia"/>
                <w:b/>
                <w:bCs/>
                <w:sz w:val="24"/>
              </w:rPr>
            </w:pPr>
          </w:p>
        </w:tc>
        <w:tc>
          <w:tcPr>
            <w:tcW w:w="1705" w:type="dxa"/>
          </w:tcPr>
          <w:p>
            <w:pPr>
              <w:pStyle w:val="Normal0"/>
              <w:spacing w:line="360" w:lineRule="auto"/>
              <w:rPr>
                <w:rFonts w:ascii="宋体" w:hAnsi="宋体" w:hint="eastAsia"/>
                <w:b/>
                <w:bCs/>
                <w:sz w:val="24"/>
              </w:rPr>
            </w:pPr>
          </w:p>
        </w:tc>
      </w:tr>
      <w:tr>
        <w:tblPrEx>
          <w:tblW w:w="0" w:type="auto"/>
          <w:tblInd w:w="0" w:type="dxa"/>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大</w:t>
            </w: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r>
              <w:rPr>
                <w:rFonts w:ascii="宋体" w:hAnsi="宋体" w:hint="eastAsia"/>
                <w:b/>
                <w:bCs/>
                <w:sz w:val="24"/>
              </w:rPr>
              <w:t>⊙</w:t>
            </w:r>
          </w:p>
        </w:tc>
        <w:tc>
          <w:tcPr>
            <w:tcW w:w="1260" w:type="dxa"/>
          </w:tcPr>
          <w:p>
            <w:pPr>
              <w:pStyle w:val="Normal0"/>
              <w:spacing w:line="360" w:lineRule="auto"/>
              <w:rPr>
                <w:rFonts w:ascii="宋体" w:hAnsi="宋体" w:hint="eastAsia"/>
                <w:b/>
                <w:bCs/>
                <w:sz w:val="24"/>
              </w:rPr>
            </w:pPr>
          </w:p>
        </w:tc>
        <w:tc>
          <w:tcPr>
            <w:tcW w:w="1489" w:type="dxa"/>
          </w:tcPr>
          <w:p>
            <w:pPr>
              <w:pStyle w:val="Normal0"/>
              <w:spacing w:line="360" w:lineRule="auto"/>
              <w:rPr>
                <w:rFonts w:ascii="宋体" w:hAnsi="宋体" w:hint="eastAsia"/>
                <w:b/>
                <w:bCs/>
                <w:sz w:val="24"/>
              </w:rPr>
            </w:pPr>
          </w:p>
        </w:tc>
        <w:tc>
          <w:tcPr>
            <w:tcW w:w="1705" w:type="dxa"/>
          </w:tcPr>
          <w:p>
            <w:pPr>
              <w:pStyle w:val="Normal0"/>
              <w:spacing w:line="360" w:lineRule="auto"/>
              <w:rPr>
                <w:rFonts w:ascii="宋体" w:hAnsi="宋体" w:hint="eastAsia"/>
                <w:b/>
                <w:bCs/>
                <w:sz w:val="24"/>
              </w:rPr>
            </w:pPr>
          </w:p>
        </w:tc>
      </w:tr>
      <w:tr>
        <w:tblPrEx>
          <w:tblW w:w="0" w:type="auto"/>
          <w:tblInd w:w="0" w:type="dxa"/>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小</w:t>
            </w: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489" w:type="dxa"/>
          </w:tcPr>
          <w:p>
            <w:pPr>
              <w:pStyle w:val="Normal0"/>
              <w:spacing w:line="360" w:lineRule="auto"/>
              <w:rPr>
                <w:rFonts w:ascii="宋体" w:hAnsi="宋体" w:hint="eastAsia"/>
                <w:b/>
                <w:bCs/>
                <w:sz w:val="24"/>
              </w:rPr>
            </w:pPr>
          </w:p>
        </w:tc>
        <w:tc>
          <w:tcPr>
            <w:tcW w:w="1705" w:type="dxa"/>
          </w:tcPr>
          <w:p>
            <w:pPr>
              <w:pStyle w:val="Normal0"/>
              <w:spacing w:line="360" w:lineRule="auto"/>
              <w:rPr>
                <w:rFonts w:ascii="宋体" w:hAnsi="宋体" w:hint="eastAsia"/>
                <w:b/>
                <w:bCs/>
                <w:sz w:val="24"/>
              </w:rPr>
            </w:pPr>
          </w:p>
        </w:tc>
      </w:tr>
      <w:tr>
        <w:tblPrEx>
          <w:tblW w:w="0" w:type="auto"/>
          <w:tblInd w:w="0" w:type="dxa"/>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较小</w:t>
            </w: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489" w:type="dxa"/>
          </w:tcPr>
          <w:p>
            <w:pPr>
              <w:pStyle w:val="Normal0"/>
              <w:spacing w:line="360" w:lineRule="auto"/>
              <w:rPr>
                <w:rFonts w:ascii="宋体" w:hAnsi="宋体" w:hint="eastAsia"/>
                <w:b/>
                <w:bCs/>
                <w:sz w:val="24"/>
              </w:rPr>
            </w:pPr>
            <w:r>
              <w:rPr>
                <w:rFonts w:ascii="宋体" w:hAnsi="宋体" w:hint="eastAsia"/>
                <w:b/>
                <w:bCs/>
                <w:sz w:val="24"/>
              </w:rPr>
              <w:t>⊙</w:t>
            </w:r>
          </w:p>
        </w:tc>
        <w:tc>
          <w:tcPr>
            <w:tcW w:w="1705" w:type="dxa"/>
          </w:tcPr>
          <w:p>
            <w:pPr>
              <w:pStyle w:val="Normal0"/>
              <w:spacing w:line="360" w:lineRule="auto"/>
              <w:rPr>
                <w:rFonts w:ascii="宋体" w:hAnsi="宋体" w:hint="eastAsia"/>
                <w:b/>
                <w:bCs/>
                <w:sz w:val="24"/>
              </w:rPr>
            </w:pPr>
            <w:r>
              <w:rPr>
                <w:rFonts w:ascii="宋体" w:hAnsi="宋体" w:hint="eastAsia"/>
                <w:b/>
                <w:bCs/>
                <w:sz w:val="24"/>
              </w:rPr>
              <w:t>⊙</w:t>
            </w:r>
          </w:p>
        </w:tc>
      </w:tr>
      <w:tr>
        <w:tblPrEx>
          <w:tblW w:w="0" w:type="auto"/>
          <w:tblInd w:w="0" w:type="dxa"/>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极小</w:t>
            </w: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r>
              <w:rPr>
                <w:rFonts w:ascii="宋体" w:hAnsi="宋体" w:hint="eastAsia"/>
                <w:b/>
                <w:bCs/>
                <w:sz w:val="24"/>
              </w:rPr>
              <w:t>⊙</w:t>
            </w:r>
          </w:p>
        </w:tc>
        <w:tc>
          <w:tcPr>
            <w:tcW w:w="1489" w:type="dxa"/>
          </w:tcPr>
          <w:p>
            <w:pPr>
              <w:pStyle w:val="Normal0"/>
              <w:spacing w:line="360" w:lineRule="auto"/>
              <w:rPr>
                <w:rFonts w:ascii="宋体" w:hAnsi="宋体" w:hint="eastAsia"/>
                <w:b/>
                <w:bCs/>
                <w:sz w:val="24"/>
              </w:rPr>
            </w:pPr>
          </w:p>
        </w:tc>
        <w:tc>
          <w:tcPr>
            <w:tcW w:w="1705" w:type="dxa"/>
          </w:tcPr>
          <w:p>
            <w:pPr>
              <w:pStyle w:val="Normal0"/>
              <w:spacing w:line="360" w:lineRule="auto"/>
              <w:rPr>
                <w:rFonts w:ascii="宋体" w:hAnsi="宋体" w:hint="eastAsia"/>
                <w:b/>
                <w:bCs/>
                <w:sz w:val="24"/>
              </w:rPr>
            </w:pPr>
          </w:p>
        </w:tc>
      </w:tr>
      <w:tr>
        <w:tblPrEx>
          <w:tblW w:w="0" w:type="auto"/>
          <w:tblInd w:w="0" w:type="dxa"/>
          <w:tblCellMar>
            <w:top w:w="0" w:type="dxa"/>
            <w:left w:w="108" w:type="dxa"/>
            <w:bottom w:w="0" w:type="dxa"/>
            <w:right w:w="108" w:type="dxa"/>
          </w:tblCellMar>
        </w:tblPrEx>
        <w:tc>
          <w:tcPr>
            <w:tcW w:w="1548" w:type="dxa"/>
          </w:tcPr>
          <w:p>
            <w:pPr>
              <w:pStyle w:val="Normal0"/>
              <w:spacing w:line="360" w:lineRule="auto"/>
              <w:rPr>
                <w:rFonts w:ascii="宋体" w:hAnsi="宋体" w:hint="eastAsia"/>
                <w:b/>
                <w:bCs/>
              </w:rPr>
            </w:pPr>
            <w:r>
              <w:rPr>
                <w:rFonts w:ascii="宋体" w:hAnsi="宋体" w:hint="eastAsia"/>
                <w:b/>
                <w:bCs/>
              </w:rPr>
              <w:t>无</w:t>
            </w: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260" w:type="dxa"/>
          </w:tcPr>
          <w:p>
            <w:pPr>
              <w:pStyle w:val="Normal0"/>
              <w:spacing w:line="360" w:lineRule="auto"/>
              <w:rPr>
                <w:rFonts w:ascii="宋体" w:hAnsi="宋体" w:hint="eastAsia"/>
                <w:b/>
                <w:bCs/>
                <w:sz w:val="24"/>
              </w:rPr>
            </w:pPr>
          </w:p>
        </w:tc>
        <w:tc>
          <w:tcPr>
            <w:tcW w:w="1489" w:type="dxa"/>
          </w:tcPr>
          <w:p>
            <w:pPr>
              <w:pStyle w:val="Normal0"/>
              <w:spacing w:line="360" w:lineRule="auto"/>
              <w:rPr>
                <w:rFonts w:ascii="宋体" w:hAnsi="宋体" w:hint="eastAsia"/>
                <w:b/>
                <w:bCs/>
                <w:sz w:val="24"/>
              </w:rPr>
            </w:pPr>
          </w:p>
        </w:tc>
        <w:tc>
          <w:tcPr>
            <w:tcW w:w="1705" w:type="dxa"/>
          </w:tcPr>
          <w:p>
            <w:pPr>
              <w:pStyle w:val="Normal0"/>
              <w:spacing w:line="360" w:lineRule="auto"/>
              <w:rPr>
                <w:rFonts w:ascii="宋体" w:hAnsi="宋体" w:hint="eastAsia"/>
                <w:b/>
                <w:bCs/>
                <w:sz w:val="24"/>
              </w:rPr>
            </w:pPr>
          </w:p>
        </w:tc>
      </w:tr>
    </w:tbl>
    <w:p>
      <w:pPr>
        <w:pStyle w:val="Normal0"/>
        <w:spacing w:before="56" w:after="113" w:line="360" w:lineRule="auto"/>
        <w:ind w:firstLine="420"/>
        <w:rPr>
          <w:rFonts w:ascii="宋体" w:hAnsi="宋体" w:cs="Arial" w:hint="eastAsia"/>
          <w:sz w:val="24"/>
        </w:rPr>
      </w:pPr>
      <w:r>
        <w:rPr>
          <w:rFonts w:ascii="宋体" w:hAnsi="宋体" w:cs="Arial" w:hint="eastAsia"/>
          <w:sz w:val="24"/>
        </w:rPr>
        <w:t>总的来说，钢铁行业将在不久的将来步入一个竞争激烈的时代。钢铁行业作为投资大、见效慢的劳动密集型行业，只有在达到一定规模时才能获得规模效益。在竞争逐渐激烈的情况下，钢铁行业必将面临着行业调整与企业兼并，没有竞争优势的中小企业将面临着淘汰和收购的危险。</w:t>
      </w:r>
    </w:p>
    <w:p>
      <w:pPr>
        <w:pStyle w:val="Normal0"/>
        <w:spacing w:before="56" w:after="113" w:line="360" w:lineRule="auto"/>
        <w:ind w:firstLine="420"/>
        <w:rPr>
          <w:rFonts w:ascii="宋体" w:hAnsi="宋体" w:cs="Arial" w:hint="eastAsia"/>
          <w:sz w:val="24"/>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宋体" w:hAnsi="宋体" w:cs="Arial" w:hint="eastAsia"/>
          <w:sz w:val="24"/>
        </w:rPr>
        <w:t>其次，我们将从滦河集团内部的优势、劣势和企业外部的机会和威胁（SWOT分析)</w:t>
      </w:r>
    </w:p>
    <w:tbl>
      <w:tblPr>
        <w:tblStyle w:val="TableNormal"/>
        <w:tblW w:w="0" w:type="auto"/>
        <w:tblInd w:w="90" w:type="dxa"/>
        <w:tblLayout w:type="fixed"/>
        <w:tblCellMar>
          <w:top w:w="0" w:type="dxa"/>
          <w:left w:w="90" w:type="dxa"/>
          <w:bottom w:w="0" w:type="dxa"/>
          <w:right w:w="90" w:type="dxa"/>
        </w:tblCellMar>
      </w:tblPr>
      <w:tblGrid>
        <w:gridCol w:w="639"/>
        <w:gridCol w:w="3450"/>
        <w:gridCol w:w="4214"/>
      </w:tblGrid>
      <w:tr>
        <w:tblPrEx>
          <w:tblW w:w="0" w:type="auto"/>
          <w:tblInd w:w="90" w:type="dxa"/>
          <w:tblLayout w:type="fixed"/>
          <w:tblCellMar>
            <w:top w:w="0" w:type="dxa"/>
            <w:left w:w="90" w:type="dxa"/>
            <w:bottom w:w="0" w:type="dxa"/>
            <w:right w:w="90" w:type="dxa"/>
          </w:tblCellMar>
        </w:tblPrEx>
        <w:trPr>
          <w:trHeight w:val="3495"/>
        </w:trPr>
        <w:tc>
          <w:tcPr>
            <w:tcW w:w="639"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Arial" w:hint="eastAsia"/>
              </w:rPr>
              <w:t>内部</w:t>
            </w:r>
          </w:p>
        </w:tc>
        <w:tc>
          <w:tcPr>
            <w:tcW w:w="3450"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Arial" w:hint="eastAsia"/>
              </w:rPr>
              <w:t>优势（S）</w:t>
            </w:r>
          </w:p>
          <w:p>
            <w:pPr>
              <w:pStyle w:val="Normal0"/>
              <w:spacing w:before="56" w:after="113" w:line="360" w:lineRule="auto"/>
              <w:rPr>
                <w:rFonts w:ascii="宋体" w:hAnsi="宋体" w:cs="Arial" w:hint="eastAsia"/>
              </w:rPr>
            </w:pPr>
            <w:r>
              <w:rPr>
                <w:rFonts w:ascii="宋体" w:hAnsi="宋体" w:cs="Arial" w:hint="eastAsia"/>
              </w:rPr>
              <w:t>决策速度快</w:t>
            </w:r>
          </w:p>
          <w:p>
            <w:pPr>
              <w:pStyle w:val="Normal0"/>
              <w:spacing w:before="56" w:after="113" w:line="360" w:lineRule="auto"/>
              <w:rPr>
                <w:rFonts w:ascii="宋体" w:hAnsi="宋体" w:cs="Arial" w:hint="eastAsia"/>
              </w:rPr>
            </w:pPr>
            <w:r>
              <w:rPr>
                <w:rFonts w:ascii="宋体" w:hAnsi="宋体" w:cs="Arial" w:hint="eastAsia"/>
                <w:lang w:eastAsia="zh-CN"/>
              </w:rPr>
              <w:t>管理管控</w:t>
            </w:r>
            <w:r>
              <w:rPr>
                <w:rFonts w:ascii="宋体" w:hAnsi="宋体" w:cs="Arial" w:hint="eastAsia"/>
              </w:rPr>
              <w:t>人员、技术人员行业经验丰富</w:t>
            </w:r>
          </w:p>
          <w:p>
            <w:pPr>
              <w:pStyle w:val="Normal0"/>
              <w:spacing w:before="56" w:after="113" w:line="360" w:lineRule="auto"/>
              <w:rPr>
                <w:rFonts w:ascii="宋体" w:hAnsi="宋体" w:cs="Arial" w:hint="eastAsia"/>
              </w:rPr>
            </w:pPr>
            <w:r>
              <w:rPr>
                <w:rFonts w:ascii="宋体" w:hAnsi="宋体" w:cs="Arial" w:hint="eastAsia"/>
              </w:rPr>
              <w:t>地方性品牌优势</w:t>
            </w:r>
          </w:p>
          <w:p>
            <w:pPr>
              <w:pStyle w:val="Normal0"/>
              <w:spacing w:before="56" w:after="113" w:line="360" w:lineRule="auto"/>
              <w:rPr>
                <w:rFonts w:ascii="宋体" w:hAnsi="宋体" w:cs="Arial" w:hint="eastAsia"/>
              </w:rPr>
            </w:pPr>
            <w:r>
              <w:rPr>
                <w:rFonts w:ascii="宋体" w:hAnsi="宋体" w:cs="Arial" w:hint="eastAsia"/>
              </w:rPr>
              <w:t>地理位置优势</w:t>
            </w:r>
          </w:p>
          <w:p>
            <w:pPr>
              <w:pStyle w:val="Normal0"/>
              <w:spacing w:before="56" w:after="113" w:line="360" w:lineRule="auto"/>
              <w:rPr>
                <w:rFonts w:ascii="宋体" w:hAnsi="宋体" w:cs="Arial" w:hint="eastAsia"/>
              </w:rPr>
            </w:pPr>
            <w:r>
              <w:rPr>
                <w:rFonts w:ascii="宋体" w:hAnsi="宋体" w:cs="Arial" w:hint="eastAsia"/>
              </w:rPr>
              <w:t>地方政府支持优势</w:t>
            </w:r>
          </w:p>
          <w:p>
            <w:pPr>
              <w:pStyle w:val="Normal0"/>
              <w:spacing w:before="56" w:after="113" w:line="360" w:lineRule="auto"/>
              <w:rPr>
                <w:rFonts w:ascii="宋体" w:hAnsi="宋体" w:cs="Arial" w:hint="eastAsia"/>
              </w:rPr>
            </w:pPr>
            <w:r>
              <w:rPr>
                <w:rFonts w:ascii="宋体" w:hAnsi="宋体" w:cs="Arial" w:hint="eastAsia"/>
              </w:rPr>
              <w:t>“拥有自己的原材料基地”</w:t>
            </w:r>
          </w:p>
        </w:tc>
        <w:tc>
          <w:tcPr>
            <w:tcW w:w="4214"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Arial" w:hint="eastAsia"/>
              </w:rPr>
              <w:t>劣势（W）</w:t>
            </w:r>
          </w:p>
          <w:p>
            <w:pPr>
              <w:pStyle w:val="Normal0"/>
              <w:spacing w:before="56" w:after="113" w:line="360" w:lineRule="auto"/>
              <w:rPr>
                <w:rFonts w:ascii="宋体" w:hAnsi="宋体" w:cs="Arial" w:hint="eastAsia"/>
              </w:rPr>
            </w:pPr>
            <w:r>
              <w:rPr>
                <w:rFonts w:ascii="宋体" w:hAnsi="宋体" w:cs="Arial" w:hint="eastAsia"/>
              </w:rPr>
              <w:t>产品技术含量较低</w:t>
            </w:r>
          </w:p>
          <w:p>
            <w:pPr>
              <w:pStyle w:val="Normal0"/>
              <w:spacing w:before="56" w:after="113" w:line="360" w:lineRule="auto"/>
              <w:rPr>
                <w:rFonts w:ascii="宋体" w:hAnsi="宋体" w:cs="Arial" w:hint="eastAsia"/>
              </w:rPr>
            </w:pPr>
            <w:r>
              <w:rPr>
                <w:rFonts w:ascii="宋体" w:hAnsi="宋体" w:cs="Arial" w:hint="eastAsia"/>
              </w:rPr>
              <w:t>产品线狭窄</w:t>
            </w:r>
          </w:p>
          <w:p>
            <w:pPr>
              <w:pStyle w:val="Normal0"/>
              <w:spacing w:before="56" w:after="113" w:line="360" w:lineRule="auto"/>
              <w:rPr>
                <w:rFonts w:ascii="宋体" w:hAnsi="宋体" w:cs="Arial" w:hint="eastAsia"/>
              </w:rPr>
            </w:pPr>
            <w:r>
              <w:rPr>
                <w:rFonts w:ascii="宋体" w:hAnsi="宋体" w:cs="Arial" w:hint="eastAsia"/>
              </w:rPr>
              <w:t>生产设备相对É</w:t>
            </w:r>
          </w:p>
          <w:p>
            <w:pPr>
              <w:pStyle w:val="Normal0"/>
              <w:spacing w:before="56" w:after="113" w:line="360" w:lineRule="auto"/>
              <w:rPr>
                <w:rFonts w:ascii="宋体" w:hAnsi="宋体" w:cs="Arial" w:hint="eastAsia"/>
              </w:rPr>
            </w:pPr>
            <w:r>
              <w:rPr>
                <w:rFonts w:ascii="宋体" w:hAnsi="宋体" w:cs="Arial" w:hint="eastAsia"/>
              </w:rPr>
              <w:t>高级技术人才缺乏</w:t>
            </w:r>
          </w:p>
          <w:p>
            <w:pPr>
              <w:pStyle w:val="Normal0"/>
              <w:spacing w:before="56" w:after="113" w:line="360" w:lineRule="auto"/>
              <w:rPr>
                <w:rFonts w:ascii="宋体" w:hAnsi="宋体" w:cs="Arial" w:hint="eastAsia"/>
              </w:rPr>
            </w:pPr>
            <w:r>
              <w:rPr>
                <w:rFonts w:ascii="宋体" w:hAnsi="宋体" w:cs="Arial" w:hint="eastAsia"/>
              </w:rPr>
              <w:t>原材料供应受限</w:t>
            </w:r>
          </w:p>
          <w:p>
            <w:pPr>
              <w:pStyle w:val="Normal0"/>
              <w:spacing w:before="56" w:after="113" w:line="360" w:lineRule="auto"/>
              <w:rPr>
                <w:rFonts w:ascii="宋体" w:hAnsi="宋体" w:cs="Arial" w:hint="eastAsia"/>
              </w:rPr>
            </w:pPr>
            <w:r>
              <w:rPr>
                <w:rFonts w:ascii="宋体" w:hAnsi="宋体" w:cs="Arial" w:hint="eastAsia"/>
              </w:rPr>
              <w:t>生产规模较小</w:t>
            </w:r>
          </w:p>
          <w:p>
            <w:pPr>
              <w:pStyle w:val="Normal0"/>
              <w:spacing w:before="56" w:after="113" w:line="360" w:lineRule="auto"/>
              <w:rPr>
                <w:rFonts w:ascii="宋体" w:hAnsi="宋体" w:cs="Arial" w:hint="eastAsia"/>
              </w:rPr>
            </w:pPr>
            <w:r>
              <w:rPr>
                <w:rFonts w:ascii="宋体" w:hAnsi="宋体" w:cs="Arial" w:hint="eastAsia"/>
              </w:rPr>
              <w:t>融资能力较差</w:t>
            </w:r>
          </w:p>
        </w:tc>
      </w:tr>
      <w:tr>
        <w:tblPrEx>
          <w:tblW w:w="0" w:type="auto"/>
          <w:tblInd w:w="90" w:type="dxa"/>
          <w:tblLayout w:type="fixed"/>
          <w:tblCellMar>
            <w:top w:w="0" w:type="dxa"/>
            <w:left w:w="90" w:type="dxa"/>
            <w:bottom w:w="0" w:type="dxa"/>
            <w:right w:w="90" w:type="dxa"/>
          </w:tblCellMar>
        </w:tblPrEx>
        <w:trPr>
          <w:trHeight w:val="2950"/>
        </w:trPr>
        <w:tc>
          <w:tcPr>
            <w:tcW w:w="639"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Arial" w:hint="eastAsia"/>
              </w:rPr>
              <w:t>外部</w:t>
            </w:r>
          </w:p>
        </w:tc>
        <w:tc>
          <w:tcPr>
            <w:tcW w:w="3450"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Arial" w:hint="eastAsia"/>
              </w:rPr>
              <w:t>机会（O）</w:t>
            </w:r>
          </w:p>
          <w:p>
            <w:pPr>
              <w:pStyle w:val="Normal0"/>
              <w:spacing w:before="56" w:after="113" w:line="360" w:lineRule="auto"/>
              <w:rPr>
                <w:rFonts w:ascii="宋体" w:hAnsi="宋体" w:cs="Arial" w:hint="eastAsia"/>
              </w:rPr>
            </w:pPr>
            <w:r>
              <w:rPr>
                <w:rFonts w:ascii="宋体" w:hAnsi="宋体" w:cs="Arial" w:hint="eastAsia"/>
              </w:rPr>
              <w:t>市场处于供不应求</w:t>
            </w:r>
          </w:p>
          <w:p>
            <w:pPr>
              <w:pStyle w:val="Normal0"/>
              <w:spacing w:before="56" w:after="113" w:line="360" w:lineRule="auto"/>
              <w:rPr>
                <w:rFonts w:ascii="宋体" w:hAnsi="宋体" w:cs="Arial" w:hint="eastAsia"/>
              </w:rPr>
            </w:pPr>
            <w:r>
              <w:rPr>
                <w:rFonts w:ascii="宋体" w:hAnsi="宋体" w:cs="Arial" w:hint="eastAsia"/>
              </w:rPr>
              <w:t>地区人才储备较好</w:t>
            </w:r>
          </w:p>
          <w:p>
            <w:pPr>
              <w:pStyle w:val="Normal0"/>
              <w:spacing w:before="56" w:after="113" w:line="360" w:lineRule="auto"/>
              <w:rPr>
                <w:rFonts w:ascii="宋体" w:hAnsi="宋体" w:cs="Arial" w:hint="eastAsia"/>
              </w:rPr>
            </w:pPr>
            <w:r>
              <w:rPr>
                <w:rFonts w:ascii="宋体" w:hAnsi="宋体" w:cs="Arial" w:hint="eastAsia"/>
              </w:rPr>
              <w:t>与金融机构和地方政府，氐厦</w:t>
            </w:r>
          </w:p>
        </w:tc>
        <w:tc>
          <w:tcPr>
            <w:tcW w:w="4214"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Arial" w:hint="eastAsia"/>
              </w:rPr>
              <w:t>威胁（T）</w:t>
            </w:r>
          </w:p>
          <w:p>
            <w:pPr>
              <w:pStyle w:val="Normal0"/>
              <w:spacing w:before="56" w:after="113" w:line="360" w:lineRule="auto"/>
              <w:rPr>
                <w:rFonts w:ascii="宋体" w:hAnsi="宋体" w:cs="Arial" w:hint="eastAsia"/>
              </w:rPr>
            </w:pPr>
            <w:r>
              <w:rPr>
                <w:rFonts w:ascii="宋体" w:hAnsi="宋体" w:cs="Arial" w:hint="eastAsia"/>
              </w:rPr>
              <w:t>国内竞争对手不断提升</w:t>
            </w:r>
          </w:p>
          <w:p>
            <w:pPr>
              <w:pStyle w:val="Normal0"/>
              <w:spacing w:before="56" w:after="113" w:line="360" w:lineRule="auto"/>
              <w:rPr>
                <w:rFonts w:ascii="宋体" w:hAnsi="宋体" w:cs="Arial" w:hint="eastAsia"/>
              </w:rPr>
            </w:pPr>
            <w:r>
              <w:rPr>
                <w:rFonts w:ascii="宋体" w:hAnsi="宋体" w:cs="Arial" w:hint="eastAsia"/>
              </w:rPr>
              <w:t>国际竞争对手不断进入</w:t>
            </w:r>
          </w:p>
          <w:p>
            <w:pPr>
              <w:pStyle w:val="Normal0"/>
              <w:spacing w:before="56" w:after="113" w:line="360" w:lineRule="auto"/>
              <w:rPr>
                <w:rFonts w:ascii="宋体" w:hAnsi="宋体" w:cs="Arial" w:hint="eastAsia"/>
              </w:rPr>
            </w:pPr>
            <w:r>
              <w:rPr>
                <w:rFonts w:ascii="宋体" w:hAnsi="宋体" w:cs="Arial" w:hint="eastAsia"/>
              </w:rPr>
              <w:t>国家保护政策取消</w:t>
            </w:r>
          </w:p>
          <w:p>
            <w:pPr>
              <w:pStyle w:val="Normal0"/>
              <w:spacing w:before="56" w:after="113" w:line="360" w:lineRule="auto"/>
              <w:rPr>
                <w:rFonts w:ascii="宋体" w:hAnsi="宋体" w:cs="Arial" w:hint="eastAsia"/>
              </w:rPr>
            </w:pPr>
            <w:r>
              <w:rPr>
                <w:rFonts w:ascii="宋体" w:hAnsi="宋体" w:cs="Arial" w:hint="eastAsia"/>
              </w:rPr>
              <w:t>市场需求增长在本公司非优势产品上</w:t>
            </w:r>
          </w:p>
          <w:p>
            <w:pPr>
              <w:pStyle w:val="Normal0"/>
              <w:spacing w:before="56" w:after="113" w:line="360" w:lineRule="auto"/>
              <w:rPr>
                <w:rFonts w:ascii="宋体" w:hAnsi="宋体" w:cs="Arial" w:hint="eastAsia"/>
              </w:rPr>
            </w:pPr>
            <w:r>
              <w:rPr>
                <w:rFonts w:ascii="宋体" w:hAnsi="宋体" w:cs="Arial" w:hint="eastAsia"/>
              </w:rPr>
              <w:t>原材料竞争的加剧</w:t>
            </w:r>
          </w:p>
        </w:tc>
      </w:tr>
    </w:tbl>
    <w:p>
      <w:pPr>
        <w:pStyle w:val="Normal0"/>
        <w:spacing w:before="56" w:after="113" w:line="360" w:lineRule="auto"/>
        <w:ind w:firstLine="420"/>
        <w:rPr>
          <w:rFonts w:ascii="宋体" w:hAnsi="宋体" w:cs="Arial" w:hint="eastAsia"/>
          <w:sz w:val="24"/>
        </w:rPr>
      </w:pPr>
      <w:r>
        <w:rPr>
          <w:rFonts w:ascii="宋体" w:hAnsi="宋体" w:cs="Arial" w:hint="eastAsia"/>
          <w:sz w:val="24"/>
        </w:rPr>
        <w:t>通过SWOT分析我们可以看出，在目前的市场情况下，滦河集团的钢铁生产业务将继续保持较好的发展趋势，市场开拓将继续保持较好的态势。但是，随着国内竞争对手不断重组和兼并和国际竞争对手的迅速进入，在一段时间以后，滦河国际必将面临着严重的生存危机。</w:t>
      </w:r>
    </w:p>
    <w:p>
      <w:pPr>
        <w:pStyle w:val="Normal0"/>
        <w:spacing w:before="56" w:after="113" w:line="360" w:lineRule="auto"/>
        <w:ind w:firstLine="420"/>
        <w:rPr>
          <w:rFonts w:ascii="宋体" w:hAnsi="宋体" w:cs="Arial" w:hint="eastAsia"/>
          <w:b/>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宋体" w:hAnsi="宋体" w:cs="Arial" w:hint="eastAsia"/>
          <w:b/>
        </w:rPr>
        <w:t>受钢铁行业的规模效益特点、市场变化因素和滦河集团本身的条件所限，北大纵横</w:t>
      </w:r>
      <w:r>
        <w:rPr>
          <w:rFonts w:ascii="宋体" w:hAnsi="宋体" w:cs="Arial" w:hint="eastAsia"/>
          <w:b/>
          <w:lang w:eastAsia="zh-CN"/>
        </w:rPr>
        <w:t>相关项目</w:t>
      </w:r>
      <w:r>
        <w:rPr>
          <w:rFonts w:ascii="宋体" w:hAnsi="宋体" w:cs="Arial" w:hint="eastAsia"/>
          <w:b/>
        </w:rPr>
        <w:t>小组认为滦河集团不可能在短时间内生产规模依靠自身获得明显的可持续性的竞争优势，因此最终的战略选择应为：抓紧有力时机提高产能，但不能盲目扩大生产规模，同时选择适当的时机对河北事业部进行股份制改造，使河北事业部成为股份制集团企业，进而寻找战略合作伙伴，充分吸收外部资金，增强风险抵御能力和市场竞争能力，使其最终成为滦河国际投资公司的资本运作的对象。</w:t>
      </w:r>
    </w:p>
    <w:p>
      <w:pPr>
        <w:pStyle w:val="Normal0"/>
        <w:spacing w:before="56" w:after="113" w:line="360" w:lineRule="auto"/>
        <w:ind w:firstLine="420"/>
        <w:rPr>
          <w:rFonts w:ascii="宋体" w:hAnsi="宋体" w:cs="Arial" w:hint="eastAsia"/>
          <w:sz w:val="24"/>
        </w:rPr>
      </w:pPr>
      <w:r>
        <w:rPr>
          <w:rFonts w:ascii="宋体" w:hAnsi="宋体" w:cs="Arial" w:hint="eastAsia"/>
          <w:sz w:val="24"/>
        </w:rPr>
        <w:t>滦河集团对于钢铁业务应该采取以下措施：</w:t>
      </w:r>
    </w:p>
    <w:p>
      <w:pPr>
        <w:pStyle w:val="Normal0"/>
        <w:spacing w:before="56" w:after="113" w:line="360" w:lineRule="auto"/>
        <w:ind w:firstLine="420"/>
        <w:rPr>
          <w:rFonts w:ascii="宋体" w:hAnsi="宋体" w:cs="Arial" w:hint="eastAsia"/>
          <w:sz w:val="24"/>
        </w:rPr>
      </w:pPr>
      <w:r>
        <w:rPr>
          <w:rFonts w:ascii="宋体" w:hAnsi="宋体" w:cs="Arial" w:hint="eastAsia"/>
          <w:sz w:val="24"/>
        </w:rPr>
        <w:t>首先，在市场环境相对较好的条件下充分利用自身拥有原材料的优势，积极提高产能，改善产品结构，从产品上提高竞争力，从而以最快的速度获取更多的利润；</w:t>
      </w:r>
    </w:p>
    <w:p>
      <w:pPr>
        <w:pStyle w:val="Normal0"/>
        <w:spacing w:before="56" w:after="113" w:line="360" w:lineRule="auto"/>
        <w:ind w:firstLine="420"/>
        <w:rPr>
          <w:rFonts w:ascii="宋体" w:hAnsi="宋体" w:cs="Arial" w:hint="eastAsia"/>
          <w:sz w:val="24"/>
        </w:rPr>
      </w:pPr>
      <w:r>
        <w:rPr>
          <w:rFonts w:ascii="宋体" w:hAnsi="宋体" w:cs="Arial" w:hint="eastAsia"/>
          <w:sz w:val="24"/>
        </w:rPr>
        <w:t>其次，从组织上进行改造，在滦河国际投资公司理顺各种</w:t>
      </w:r>
      <w:r>
        <w:rPr>
          <w:rFonts w:ascii="宋体" w:hAnsi="宋体" w:cs="Arial" w:hint="eastAsia"/>
          <w:sz w:val="24"/>
          <w:lang w:eastAsia="zh-CN"/>
        </w:rPr>
        <w:t>管理管控</w:t>
      </w:r>
      <w:r>
        <w:rPr>
          <w:rFonts w:ascii="宋体" w:hAnsi="宋体" w:cs="Arial" w:hint="eastAsia"/>
          <w:sz w:val="24"/>
        </w:rPr>
        <w:t>关系和业务关系之后，选择将钢铁生产业务模块独立化，继而进行股份制改造，以股份制集团公司的形式加入到行业资源整合之中，总公司以投资公司的形式对其进行</w:t>
      </w:r>
      <w:r>
        <w:rPr>
          <w:rFonts w:ascii="宋体" w:hAnsi="宋体" w:cs="Arial" w:hint="eastAsia"/>
          <w:sz w:val="24"/>
          <w:lang w:eastAsia="zh-CN"/>
        </w:rPr>
        <w:t>管理管控</w:t>
      </w:r>
      <w:r>
        <w:rPr>
          <w:rFonts w:ascii="宋体" w:hAnsi="宋体" w:cs="Arial" w:hint="eastAsia"/>
          <w:sz w:val="24"/>
        </w:rPr>
        <w:t>与控制，使其最终成为滦河国际投资公司资本运作的对象；</w:t>
      </w:r>
    </w:p>
    <w:p>
      <w:pPr>
        <w:pStyle w:val="Normal0"/>
        <w:spacing w:before="56" w:after="113" w:line="360" w:lineRule="auto"/>
        <w:ind w:firstLine="420"/>
        <w:rPr>
          <w:rFonts w:ascii="宋体" w:hAnsi="宋体" w:cs="Arial" w:hint="eastAsia"/>
          <w:sz w:val="24"/>
        </w:rPr>
      </w:pPr>
      <w:r>
        <w:rPr>
          <w:rFonts w:ascii="宋体" w:hAnsi="宋体" w:cs="Arial" w:hint="eastAsia"/>
          <w:sz w:val="24"/>
        </w:rPr>
        <w:t>第三，积极寻找战略合作伙伴，充分利用双方优势对滦河集团进行再造。</w:t>
      </w:r>
    </w:p>
    <w:p>
      <w:pPr>
        <w:pStyle w:val="MMTopic3"/>
        <w:spacing w:line="360" w:lineRule="auto"/>
        <w:rPr>
          <w:rFonts w:ascii="宋体" w:hAnsi="宋体" w:hint="eastAsia"/>
        </w:rPr>
      </w:pPr>
      <w:bookmarkStart w:id="13" w:name="_Toc66627686"/>
      <w:r>
        <w:rPr>
          <w:rFonts w:ascii="宋体" w:hAnsi="宋体" w:hint="eastAsia"/>
        </w:rPr>
        <w:t>铁矿采掘行业</w:t>
      </w:r>
      <w:bookmarkEnd w:id="13"/>
    </w:p>
    <w:p>
      <w:pPr>
        <w:pStyle w:val="Normal0"/>
        <w:spacing w:before="56" w:after="113" w:line="360" w:lineRule="auto"/>
        <w:ind w:firstLine="420"/>
        <w:rPr>
          <w:rFonts w:ascii="宋体" w:hAnsi="宋体" w:cs="Arial" w:hint="eastAsia"/>
          <w:sz w:val="24"/>
        </w:rPr>
      </w:pPr>
      <w:r>
        <w:rPr>
          <w:rFonts w:ascii="宋体" w:hAnsi="宋体" w:cs="Arial" w:hint="eastAsia"/>
          <w:sz w:val="24"/>
        </w:rPr>
        <w:t>2003年的钢铁行业经过了突飞猛进的发展，在此过程中，原材料供应的瓶颈已经成为制约钢铁产业发展的关键因素之一。那么滦河集团应如何对原材料开采行业作出正确的战略选择呢？下面我们将从原材料行业和滦河集团本身进行分析。</w:t>
      </w:r>
    </w:p>
    <w:p>
      <w:pPr>
        <w:pStyle w:val="Normal0"/>
        <w:spacing w:before="56" w:after="113" w:line="360" w:lineRule="auto"/>
        <w:ind w:firstLine="420"/>
        <w:rPr>
          <w:rFonts w:ascii="宋体" w:hAnsi="宋体" w:cs="宋体" w:hint="eastAsia"/>
          <w:sz w:val="24"/>
        </w:rPr>
      </w:pPr>
      <w:r>
        <w:rPr>
          <w:rFonts w:ascii="宋体" w:hAnsi="宋体" w:cs="Arial" w:hint="eastAsia"/>
          <w:sz w:val="24"/>
        </w:rPr>
        <w:t>首先，从铁矿资源来看，目前国内铁矿石的资源储量有400多亿吨，可供开采的只有200多亿吨，而达到经济开采规模的只有80多亿吨，如按照年产铁矿石3亿吨计算，可供开采的时间不足30年。预计今年的总产量可达3.2亿吨，比2003年增加6000万吨，折合铁精矿可增加2857多万吨，从今年铁矿石（精矿）进口资源来看，印度今年可增产600万吨，力拓铁矿可增产1200万吨，BHP可增加600万吨，CVRD增加1400万吨，全球海运贸易共增加4500万吨，再随着澳大利亚和巴西两国扩大铁矿生产能力，预计2005年第四季度，铁矿石供应紧张的情况可以得到缓解。但是，</w:t>
      </w:r>
      <w:r>
        <w:rPr>
          <w:rFonts w:ascii="宋体" w:hAnsi="宋体" w:cs="宋体" w:hint="eastAsia"/>
          <w:sz w:val="24"/>
        </w:rPr>
        <w:t>到2010年，我国原铁矿产量将达到3.3亿吨，可支撑生铁产量1.054亿吨。这与届时我国钢铁产能达到3亿多吨后产生的需求极不匹配。而国际铁矿每年的自由贸易量约2.4亿吨，如果我国钢铁工业以目前速度发展，即使全世界每年销售的铁矿都提供给中国，也无法满足其巨大需求。</w:t>
      </w:r>
    </w:p>
    <w:p>
      <w:pPr>
        <w:pStyle w:val="Normal0"/>
        <w:spacing w:before="56" w:after="113" w:line="360" w:lineRule="auto"/>
        <w:ind w:firstLine="420"/>
        <w:rPr>
          <w:rFonts w:ascii="宋体" w:hAnsi="宋体" w:cs="宋体" w:hint="eastAsia"/>
          <w:sz w:val="24"/>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pStyle w:val="Normal0"/>
        <w:spacing w:before="56" w:after="113" w:line="360" w:lineRule="auto"/>
        <w:ind w:firstLine="420"/>
        <w:rPr>
          <w:rFonts w:ascii="宋体" w:hAnsi="宋体" w:cs="宋体" w:hint="eastAsia"/>
          <w:sz w:val="24"/>
        </w:rPr>
      </w:pPr>
      <w:r>
        <w:rPr>
          <w:rFonts w:ascii="宋体" w:hAnsi="宋体" w:cs="宋体" w:hint="eastAsia"/>
          <w:sz w:val="24"/>
        </w:rPr>
        <w:t>但是，我们同样应该看到，目前国内各大型钢铁生产企业也同时正在积极拓展铁矿资源，如武汉钢铁集团公司、马鞍山钢铁集团公司、江苏钢铁集团公司和唐山钢铁集团公司联合以合资方式获得必和必拓转租的JIMBLOR铁矿石矿40％的股份，总价值90亿美金，为期25年；再如包钢集团已经在蒙古境内对铁矿进行大力投资，所有这些国内大中型钢铁生产企业的铁矿石投资都会在近期对铁矿石的市场产生巨大影响。而且，伴随着钢铁行业资源整合的开始，大量的小型生产企业必将面临着被淘汰的危险，这也将很大的影响到铁矿石的实际需求量。</w:t>
      </w:r>
    </w:p>
    <w:p>
      <w:pPr>
        <w:pStyle w:val="Normal0"/>
        <w:spacing w:before="56" w:after="113" w:line="360" w:lineRule="auto"/>
        <w:ind w:firstLine="420"/>
        <w:rPr>
          <w:rFonts w:ascii="宋体" w:hAnsi="宋体" w:cs="宋体" w:hint="eastAsia"/>
          <w:sz w:val="24"/>
        </w:rPr>
      </w:pPr>
      <w:r>
        <w:rPr>
          <w:rFonts w:ascii="宋体" w:hAnsi="宋体" w:cs="宋体" w:hint="eastAsia"/>
          <w:sz w:val="24"/>
        </w:rPr>
        <w:t>综合上述，我们认为铁矿石供不应求的局面将在2年左右的时间趋于平衡，但长久来看，还是急剧投资价值的领域所在。</w:t>
      </w:r>
    </w:p>
    <w:p>
      <w:pPr>
        <w:pStyle w:val="Normal0"/>
        <w:spacing w:before="56" w:after="113" w:line="360" w:lineRule="auto"/>
        <w:ind w:firstLine="420"/>
        <w:rPr>
          <w:rFonts w:ascii="宋体" w:hAnsi="宋体" w:cs="Arial" w:hint="eastAsia"/>
          <w:sz w:val="24"/>
        </w:rPr>
      </w:pPr>
      <w:r>
        <w:rPr>
          <w:rFonts w:ascii="宋体" w:hAnsi="宋体" w:cs="宋体" w:hint="eastAsia"/>
          <w:sz w:val="24"/>
        </w:rPr>
        <w:t>其次，从滦河集团本身来看，作为公司的重要战略选择，已经在印尼投资了铁矿开采企业，我们将从企业内部的优势、劣势和外部的机会、成本对企业的这样战略选择进行分析（SWOT分析）。</w:t>
      </w:r>
    </w:p>
    <w:tbl>
      <w:tblPr>
        <w:tblStyle w:val="TableNormal"/>
        <w:tblW w:w="0" w:type="auto"/>
        <w:tblInd w:w="90" w:type="dxa"/>
        <w:tblLayout w:type="fixed"/>
        <w:tblCellMar>
          <w:top w:w="0" w:type="dxa"/>
          <w:left w:w="90" w:type="dxa"/>
          <w:bottom w:w="0" w:type="dxa"/>
          <w:right w:w="90" w:type="dxa"/>
        </w:tblCellMar>
      </w:tblPr>
      <w:tblGrid>
        <w:gridCol w:w="645"/>
        <w:gridCol w:w="4350"/>
        <w:gridCol w:w="3285"/>
      </w:tblGrid>
      <w:tr>
        <w:tblPrEx>
          <w:tblW w:w="0" w:type="auto"/>
          <w:tblInd w:w="90" w:type="dxa"/>
          <w:tblLayout w:type="fixed"/>
          <w:tblCellMar>
            <w:top w:w="0" w:type="dxa"/>
            <w:left w:w="90" w:type="dxa"/>
            <w:bottom w:w="0" w:type="dxa"/>
            <w:right w:w="90" w:type="dxa"/>
          </w:tblCellMar>
        </w:tblPrEx>
        <w:trPr>
          <w:trHeight w:val="2934"/>
        </w:trPr>
        <w:tc>
          <w:tcPr>
            <w:tcW w:w="645"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宋体" w:hint="eastAsia"/>
              </w:rPr>
              <w:t>内部</w:t>
            </w:r>
          </w:p>
        </w:tc>
        <w:tc>
          <w:tcPr>
            <w:tcW w:w="4350"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宋体" w:hint="eastAsia"/>
              </w:rPr>
              <w:t>优势（S）</w:t>
            </w:r>
          </w:p>
          <w:p>
            <w:pPr>
              <w:pStyle w:val="Normal0"/>
              <w:spacing w:before="56" w:after="113" w:line="360" w:lineRule="auto"/>
              <w:rPr>
                <w:rFonts w:ascii="宋体" w:hAnsi="宋体" w:cs="Arial" w:hint="eastAsia"/>
              </w:rPr>
            </w:pPr>
            <w:r>
              <w:rPr>
                <w:rFonts w:ascii="宋体" w:hAnsi="宋体" w:cs="Arial" w:hint="eastAsia"/>
              </w:rPr>
              <w:t>决策者敏锐的洞察力</w:t>
            </w:r>
          </w:p>
          <w:p>
            <w:pPr>
              <w:pStyle w:val="Normal0"/>
              <w:spacing w:before="56" w:after="113" w:line="360" w:lineRule="auto"/>
              <w:rPr>
                <w:rFonts w:ascii="宋体" w:hAnsi="宋体" w:cs="Arial" w:hint="eastAsia"/>
              </w:rPr>
            </w:pPr>
            <w:r>
              <w:rPr>
                <w:rFonts w:ascii="宋体" w:hAnsi="宋体" w:cs="Arial" w:hint="eastAsia"/>
              </w:rPr>
              <w:t>决策速度快</w:t>
            </w:r>
          </w:p>
          <w:p>
            <w:pPr>
              <w:pStyle w:val="Normal0"/>
              <w:spacing w:before="56" w:after="113" w:line="360" w:lineRule="auto"/>
              <w:rPr>
                <w:rFonts w:ascii="宋体" w:hAnsi="宋体" w:cs="Arial" w:hint="eastAsia"/>
              </w:rPr>
            </w:pPr>
            <w:r>
              <w:rPr>
                <w:rFonts w:ascii="宋体" w:hAnsi="宋体" w:cs="Arial" w:hint="eastAsia"/>
              </w:rPr>
              <w:t>信息采集渠道顺畅</w:t>
            </w:r>
          </w:p>
          <w:p>
            <w:pPr>
              <w:pStyle w:val="Normal0"/>
              <w:spacing w:before="56" w:after="113" w:line="360" w:lineRule="auto"/>
              <w:rPr>
                <w:rFonts w:ascii="宋体" w:hAnsi="宋体" w:cs="Arial" w:hint="eastAsia"/>
              </w:rPr>
            </w:pPr>
            <w:r>
              <w:rPr>
                <w:rFonts w:ascii="宋体" w:hAnsi="宋体" w:cs="Arial" w:hint="eastAsia"/>
              </w:rPr>
              <w:t>中高层</w:t>
            </w:r>
            <w:r>
              <w:rPr>
                <w:rFonts w:ascii="宋体" w:hAnsi="宋体" w:cs="Arial" w:hint="eastAsia"/>
                <w:lang w:eastAsia="zh-CN"/>
              </w:rPr>
              <w:t>管理管控</w:t>
            </w:r>
            <w:r>
              <w:rPr>
                <w:rFonts w:ascii="宋体" w:hAnsi="宋体" w:cs="Arial" w:hint="eastAsia"/>
              </w:rPr>
              <w:t>人员的相关行业经验</w:t>
            </w:r>
          </w:p>
        </w:tc>
        <w:tc>
          <w:tcPr>
            <w:tcW w:w="3285"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宋体" w:hint="eastAsia"/>
              </w:rPr>
              <w:t>劣势（W）</w:t>
            </w:r>
          </w:p>
          <w:p>
            <w:pPr>
              <w:pStyle w:val="Normal0"/>
              <w:spacing w:before="56" w:after="113" w:line="360" w:lineRule="auto"/>
              <w:rPr>
                <w:rFonts w:ascii="宋体" w:hAnsi="宋体" w:cs="Arial" w:hint="eastAsia"/>
              </w:rPr>
            </w:pPr>
            <w:r>
              <w:rPr>
                <w:rFonts w:ascii="宋体" w:hAnsi="宋体" w:cs="Arial" w:hint="eastAsia"/>
              </w:rPr>
              <w:t>原材料行业</w:t>
            </w:r>
            <w:r>
              <w:rPr>
                <w:rFonts w:ascii="宋体" w:hAnsi="宋体" w:cs="Arial" w:hint="eastAsia"/>
                <w:lang w:eastAsia="zh-CN"/>
              </w:rPr>
              <w:t>管理管控</w:t>
            </w:r>
            <w:r>
              <w:rPr>
                <w:rFonts w:ascii="宋体" w:hAnsi="宋体" w:cs="Arial" w:hint="eastAsia"/>
              </w:rPr>
              <w:t>运作经验少</w:t>
            </w:r>
          </w:p>
          <w:p>
            <w:pPr>
              <w:pStyle w:val="Normal0"/>
              <w:spacing w:before="56" w:after="113" w:line="360" w:lineRule="auto"/>
              <w:rPr>
                <w:rFonts w:ascii="宋体" w:hAnsi="宋体" w:cs="Arial" w:hint="eastAsia"/>
              </w:rPr>
            </w:pPr>
            <w:r>
              <w:rPr>
                <w:rFonts w:ascii="宋体" w:hAnsi="宋体" w:cs="Arial" w:hint="eastAsia"/>
              </w:rPr>
              <w:t>固有的区域性经营思路的局限性</w:t>
            </w:r>
          </w:p>
          <w:p>
            <w:pPr>
              <w:pStyle w:val="Normal0"/>
              <w:spacing w:before="56" w:after="113" w:line="360" w:lineRule="auto"/>
              <w:rPr>
                <w:rFonts w:ascii="宋体" w:hAnsi="宋体" w:cs="Arial" w:hint="eastAsia"/>
              </w:rPr>
            </w:pPr>
            <w:r>
              <w:rPr>
                <w:rFonts w:ascii="宋体" w:hAnsi="宋体" w:cs="Arial" w:hint="eastAsia"/>
              </w:rPr>
              <w:t>（国际）物流的控制能力较弱</w:t>
            </w:r>
          </w:p>
          <w:p>
            <w:pPr>
              <w:pStyle w:val="Normal0"/>
              <w:spacing w:before="56" w:after="113" w:line="360" w:lineRule="auto"/>
              <w:rPr>
                <w:rFonts w:ascii="宋体" w:hAnsi="宋体" w:cs="Arial" w:hint="eastAsia"/>
              </w:rPr>
            </w:pPr>
            <w:r>
              <w:rPr>
                <w:rFonts w:ascii="宋体" w:hAnsi="宋体" w:cs="Arial" w:hint="eastAsia"/>
              </w:rPr>
              <w:t>相关人才短缺</w:t>
            </w:r>
          </w:p>
        </w:tc>
      </w:tr>
      <w:tr>
        <w:tblPrEx>
          <w:tblW w:w="0" w:type="auto"/>
          <w:tblInd w:w="90" w:type="dxa"/>
          <w:tblLayout w:type="fixed"/>
          <w:tblCellMar>
            <w:top w:w="0" w:type="dxa"/>
            <w:left w:w="90" w:type="dxa"/>
            <w:bottom w:w="0" w:type="dxa"/>
            <w:right w:w="90" w:type="dxa"/>
          </w:tblCellMar>
        </w:tblPrEx>
        <w:trPr>
          <w:trHeight w:val="3442"/>
        </w:trPr>
        <w:tc>
          <w:tcPr>
            <w:tcW w:w="645"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宋体" w:hint="eastAsia"/>
              </w:rPr>
              <w:t>外部</w:t>
            </w:r>
          </w:p>
        </w:tc>
        <w:tc>
          <w:tcPr>
            <w:tcW w:w="4350"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宋体" w:hint="eastAsia"/>
              </w:rPr>
              <w:t>机会（O）</w:t>
            </w:r>
          </w:p>
          <w:p>
            <w:pPr>
              <w:pStyle w:val="Normal0"/>
              <w:spacing w:before="56" w:after="113" w:line="360" w:lineRule="auto"/>
              <w:rPr>
                <w:rFonts w:ascii="宋体" w:hAnsi="宋体" w:cs="Arial" w:hint="eastAsia"/>
              </w:rPr>
            </w:pPr>
            <w:r>
              <w:rPr>
                <w:rFonts w:ascii="宋体" w:hAnsi="宋体" w:cs="Arial" w:hint="eastAsia"/>
              </w:rPr>
              <w:t>长期的供不应求的市场形式</w:t>
            </w:r>
          </w:p>
          <w:p>
            <w:pPr>
              <w:pStyle w:val="Normal0"/>
              <w:spacing w:before="56" w:after="113" w:line="360" w:lineRule="auto"/>
              <w:rPr>
                <w:rFonts w:ascii="宋体" w:hAnsi="宋体" w:cs="Arial" w:hint="eastAsia"/>
              </w:rPr>
            </w:pPr>
            <w:r>
              <w:rPr>
                <w:rFonts w:ascii="宋体" w:hAnsi="宋体" w:cs="Arial" w:hint="eastAsia"/>
              </w:rPr>
              <w:t>欠发达且资源丰富国家或地区的政策优势</w:t>
            </w:r>
          </w:p>
          <w:p>
            <w:pPr>
              <w:pStyle w:val="Normal0"/>
              <w:spacing w:before="56" w:after="113" w:line="360" w:lineRule="auto"/>
              <w:rPr>
                <w:rFonts w:ascii="宋体" w:hAnsi="宋体" w:cs="Arial" w:hint="eastAsia"/>
              </w:rPr>
            </w:pPr>
            <w:r>
              <w:rPr>
                <w:rFonts w:ascii="宋体" w:hAnsi="宋体" w:cs="Arial" w:hint="eastAsia"/>
              </w:rPr>
              <w:t>国际形式有利</w:t>
            </w:r>
          </w:p>
          <w:p>
            <w:pPr>
              <w:pStyle w:val="Normal0"/>
              <w:spacing w:before="56" w:after="113" w:line="360" w:lineRule="auto"/>
              <w:rPr>
                <w:rFonts w:ascii="宋体" w:hAnsi="宋体" w:cs="Arial" w:hint="eastAsia"/>
              </w:rPr>
            </w:pPr>
            <w:r>
              <w:rPr>
                <w:rFonts w:ascii="宋体" w:hAnsi="宋体" w:cs="Arial" w:hint="eastAsia"/>
              </w:rPr>
              <w:t>原材料地区劳动力成本相对较低</w:t>
            </w:r>
          </w:p>
          <w:p>
            <w:pPr>
              <w:pStyle w:val="Normal0"/>
              <w:spacing w:before="56" w:after="113" w:line="360" w:lineRule="auto"/>
              <w:rPr>
                <w:rFonts w:ascii="宋体" w:hAnsi="宋体" w:cs="Arial" w:hint="eastAsia"/>
              </w:rPr>
            </w:pPr>
            <w:r>
              <w:rPr>
                <w:rFonts w:ascii="宋体" w:hAnsi="宋体" w:cs="Arial" w:hint="eastAsia"/>
              </w:rPr>
              <w:t>国际人才流动机制保证人才流入</w:t>
            </w:r>
          </w:p>
          <w:p>
            <w:pPr>
              <w:pStyle w:val="Normal0"/>
              <w:spacing w:before="56" w:after="113" w:line="360" w:lineRule="auto"/>
              <w:rPr>
                <w:rFonts w:ascii="宋体" w:hAnsi="宋体" w:cs="Arial" w:hint="eastAsia"/>
              </w:rPr>
            </w:pPr>
            <w:r>
              <w:rPr>
                <w:rFonts w:ascii="宋体" w:hAnsi="宋体" w:cs="Arial" w:hint="eastAsia"/>
              </w:rPr>
              <w:t>在印尼的铁矿垄断性占有带来其他方面机会</w:t>
            </w:r>
          </w:p>
        </w:tc>
        <w:tc>
          <w:tcPr>
            <w:tcW w:w="3285" w:type="dxa"/>
            <w:tcBorders>
              <w:top w:val="single" w:sz="4" w:space="0" w:color="auto"/>
              <w:left w:val="single" w:sz="4" w:space="0" w:color="auto"/>
              <w:bottom w:val="single" w:sz="4" w:space="0" w:color="auto"/>
              <w:right w:val="single" w:sz="4" w:space="0" w:color="auto"/>
            </w:tcBorders>
          </w:tcPr>
          <w:p>
            <w:pPr>
              <w:pStyle w:val="Normal0"/>
              <w:spacing w:before="56" w:after="113" w:line="360" w:lineRule="auto"/>
              <w:rPr>
                <w:rFonts w:ascii="宋体" w:hAnsi="宋体" w:cs="Arial" w:hint="eastAsia"/>
              </w:rPr>
            </w:pPr>
            <w:r>
              <w:rPr>
                <w:rFonts w:ascii="宋体" w:hAnsi="宋体" w:cs="宋体" w:hint="eastAsia"/>
              </w:rPr>
              <w:t>威胁（T）</w:t>
            </w:r>
          </w:p>
          <w:p>
            <w:pPr>
              <w:pStyle w:val="Normal0"/>
              <w:spacing w:before="56" w:after="113" w:line="360" w:lineRule="auto"/>
              <w:rPr>
                <w:rFonts w:ascii="宋体" w:hAnsi="宋体" w:cs="Arial" w:hint="eastAsia"/>
              </w:rPr>
            </w:pPr>
            <w:r>
              <w:rPr>
                <w:rFonts w:ascii="宋体" w:hAnsi="宋体" w:cs="Arial" w:hint="eastAsia"/>
              </w:rPr>
              <w:t>国际化资源竞争加快加剧</w:t>
            </w:r>
          </w:p>
          <w:p>
            <w:pPr>
              <w:pStyle w:val="Normal0"/>
              <w:spacing w:before="56" w:after="113" w:line="360" w:lineRule="auto"/>
              <w:rPr>
                <w:rFonts w:ascii="宋体" w:hAnsi="宋体" w:cs="Arial" w:hint="eastAsia"/>
              </w:rPr>
            </w:pPr>
            <w:r>
              <w:rPr>
                <w:rFonts w:ascii="宋体" w:hAnsi="宋体" w:cs="Arial" w:hint="eastAsia"/>
              </w:rPr>
              <w:t>矿产资源的稀缺</w:t>
            </w:r>
          </w:p>
          <w:p>
            <w:pPr>
              <w:pStyle w:val="Normal0"/>
              <w:spacing w:before="56" w:after="113" w:line="360" w:lineRule="auto"/>
              <w:rPr>
                <w:rFonts w:ascii="宋体" w:hAnsi="宋体" w:cs="Arial" w:hint="eastAsia"/>
              </w:rPr>
            </w:pPr>
            <w:r>
              <w:rPr>
                <w:rFonts w:ascii="宋体" w:hAnsi="宋体" w:cs="Arial" w:hint="eastAsia"/>
              </w:rPr>
              <w:t>相关地区政治形式动荡SWOT</w:t>
            </w:r>
          </w:p>
        </w:tc>
      </w:tr>
    </w:tbl>
    <w:p>
      <w:pPr>
        <w:pStyle w:val="Normal0"/>
        <w:spacing w:before="56" w:after="113" w:line="360" w:lineRule="auto"/>
        <w:ind w:firstLine="420"/>
        <w:rPr>
          <w:rFonts w:ascii="宋体" w:hAnsi="宋体" w:cs="Arial" w:hint="eastAsia"/>
          <w:sz w:val="24"/>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pStyle w:val="Normal0"/>
        <w:spacing w:before="56" w:after="113" w:line="360" w:lineRule="auto"/>
        <w:ind w:firstLine="420"/>
        <w:rPr>
          <w:rFonts w:ascii="宋体" w:hAnsi="宋体" w:cs="Arial" w:hint="eastAsia"/>
          <w:sz w:val="24"/>
        </w:rPr>
      </w:pPr>
      <w:r>
        <w:rPr>
          <w:rFonts w:ascii="宋体" w:hAnsi="宋体" w:cs="Arial" w:hint="eastAsia"/>
          <w:sz w:val="24"/>
        </w:rPr>
        <w:t>通过SWOT分析可以看出，滦河集团具备的优势正是其核心竞争力的体现，而其劣势则可以在提升自身水平的基础上进行扭转的。外部的机会保证了滦河集团进入原材料行业的成功性，而由于原材料行业应尽早尽快占有的特点又使外部的威胁在相当程度上恰恰是滦河集团的机会所在。</w:t>
      </w:r>
    </w:p>
    <w:p>
      <w:pPr>
        <w:pStyle w:val="Normal0"/>
        <w:spacing w:before="56" w:after="113" w:line="360" w:lineRule="auto"/>
        <w:ind w:firstLine="420"/>
        <w:rPr>
          <w:rFonts w:ascii="宋体" w:hAnsi="宋体" w:cs="Arial" w:hint="eastAsia"/>
          <w:sz w:val="24"/>
        </w:rPr>
      </w:pPr>
      <w:r>
        <w:rPr>
          <w:rFonts w:ascii="宋体" w:hAnsi="宋体" w:cs="Arial" w:hint="eastAsia"/>
          <w:sz w:val="24"/>
        </w:rPr>
        <w:t>但滦河国际对铁矿的投资不应盲目扩大，在近期应以满足自我需求为主，并应伴随着滦河国际对国内各种资源的整合和战略合作伙伴的不断延伸而扩大铁矿产量，这个阶段应该持续到2010年左右，到2010年之后，由于国内钢铁产量的飞速提高，必将引发新一轮的原材料危机，到时滦河国际已经积累了较为丰富的铁矿开采经验、技术和人员，2010年将成为滦河国际铁矿投资的回报高峰。在着眼于国内生产的同时，滦河国际应努力开展国际贸易，为铁矿的销售寻找新的渠道。</w:t>
      </w:r>
    </w:p>
    <w:p>
      <w:pPr>
        <w:pStyle w:val="Normal0"/>
        <w:spacing w:before="56" w:after="113" w:line="360" w:lineRule="auto"/>
        <w:ind w:firstLine="420"/>
        <w:rPr>
          <w:rFonts w:ascii="宋体" w:hAnsi="宋体" w:cs="Arial" w:hint="eastAsia"/>
          <w:b/>
        </w:rPr>
      </w:pPr>
      <w:r>
        <w:rPr>
          <w:rFonts w:ascii="宋体" w:hAnsi="宋体" w:cs="Arial" w:hint="eastAsia"/>
          <w:b/>
        </w:rPr>
        <w:t>从原材料行业本身特点和滦河集团自身情况来看，北大纵横</w:t>
      </w:r>
      <w:r>
        <w:rPr>
          <w:rFonts w:ascii="宋体" w:hAnsi="宋体" w:cs="Arial" w:hint="eastAsia"/>
          <w:b/>
          <w:lang w:eastAsia="zh-CN"/>
        </w:rPr>
        <w:t>相关项目</w:t>
      </w:r>
      <w:r>
        <w:rPr>
          <w:rFonts w:ascii="宋体" w:hAnsi="宋体" w:cs="Arial" w:hint="eastAsia"/>
          <w:b/>
        </w:rPr>
        <w:t>组认为滦河国际在铁矿采掘产业的战略选择应为：抓紧一切机会，尽早尽快开采铁矿资源，并利用地域分布特点，采集各种信息，促进国际贸易等相关产业的发展。</w:t>
      </w:r>
    </w:p>
    <w:p>
      <w:pPr>
        <w:pStyle w:val="Normal0"/>
        <w:spacing w:before="56" w:after="113" w:line="360" w:lineRule="auto"/>
        <w:ind w:firstLine="420"/>
        <w:rPr>
          <w:rFonts w:ascii="宋体" w:hAnsi="宋体" w:cs="Arial" w:hint="eastAsia"/>
          <w:sz w:val="24"/>
        </w:rPr>
      </w:pPr>
      <w:r>
        <w:rPr>
          <w:rFonts w:ascii="宋体" w:hAnsi="宋体" w:cs="Arial" w:hint="eastAsia"/>
          <w:sz w:val="24"/>
        </w:rPr>
        <w:t>铁矿产业的发展步骤应包括以下几个方面：</w:t>
      </w:r>
    </w:p>
    <w:p>
      <w:pPr>
        <w:pStyle w:val="Normal0"/>
        <w:spacing w:before="56" w:after="113" w:line="360" w:lineRule="auto"/>
        <w:ind w:firstLine="420"/>
        <w:rPr>
          <w:rFonts w:ascii="宋体" w:hAnsi="宋体" w:cs="Arial" w:hint="eastAsia"/>
          <w:sz w:val="24"/>
        </w:rPr>
      </w:pPr>
      <w:r>
        <w:rPr>
          <w:rFonts w:ascii="宋体" w:hAnsi="宋体" w:cs="Arial" w:hint="eastAsia"/>
          <w:sz w:val="24"/>
        </w:rPr>
        <w:t>首先，对在印尼已占有的铁矿尽快投产，积极提高产能，抓住市场时机，争取最大利润；</w:t>
      </w:r>
    </w:p>
    <w:p>
      <w:pPr>
        <w:pStyle w:val="Normal0"/>
        <w:spacing w:before="56" w:after="113" w:line="360" w:lineRule="auto"/>
        <w:ind w:firstLine="420"/>
        <w:rPr>
          <w:rFonts w:ascii="宋体" w:hAnsi="宋体" w:cs="Arial" w:hint="eastAsia"/>
          <w:sz w:val="24"/>
        </w:rPr>
      </w:pPr>
      <w:r>
        <w:rPr>
          <w:rFonts w:ascii="宋体" w:hAnsi="宋体" w:cs="Arial" w:hint="eastAsia"/>
          <w:sz w:val="24"/>
        </w:rPr>
        <w:t>第二，在国内生产规模扩大、产能提高的前提性爱，积极收集各种相关信息，在包括蒙古、越南、非洲、南美、新疆、内蒙、东北等欠发达国家或地区内加大矿产开发投资；</w:t>
      </w:r>
    </w:p>
    <w:p>
      <w:pPr>
        <w:pStyle w:val="Normal0"/>
        <w:spacing w:before="56" w:after="113" w:line="360" w:lineRule="auto"/>
        <w:ind w:firstLine="420"/>
        <w:rPr>
          <w:rFonts w:ascii="宋体" w:hAnsi="宋体" w:cs="Arial" w:hint="eastAsia"/>
          <w:sz w:val="24"/>
        </w:rPr>
      </w:pPr>
      <w:r>
        <w:rPr>
          <w:rFonts w:ascii="宋体" w:hAnsi="宋体" w:cs="Arial" w:hint="eastAsia"/>
          <w:sz w:val="24"/>
        </w:rPr>
        <w:t>第三，利用地域优势，积极采集信息，发展国际贸易；</w:t>
      </w:r>
    </w:p>
    <w:p>
      <w:pPr>
        <w:pStyle w:val="Normal0"/>
        <w:spacing w:before="56" w:after="113" w:line="360" w:lineRule="auto"/>
        <w:ind w:firstLine="420"/>
        <w:rPr>
          <w:rFonts w:ascii="宋体" w:hAnsi="宋体" w:cs="Arial" w:hint="eastAsia"/>
          <w:sz w:val="24"/>
        </w:rPr>
      </w:pPr>
      <w:r>
        <w:rPr>
          <w:rFonts w:ascii="宋体" w:hAnsi="宋体" w:cs="Arial" w:hint="eastAsia"/>
          <w:sz w:val="24"/>
        </w:rPr>
        <w:t>第四，选择适当时机进行股份制改造，使其成为滦河国际投资公司资本运作对象。</w:t>
      </w:r>
    </w:p>
    <w:p>
      <w:pPr>
        <w:pStyle w:val="MMTopic3"/>
        <w:tabs>
          <w:tab w:val="clear" w:pos="1418"/>
        </w:tabs>
        <w:spacing w:line="360" w:lineRule="auto"/>
        <w:rPr>
          <w:rFonts w:ascii="宋体" w:hAnsi="宋体" w:hint="eastAsia"/>
        </w:rPr>
      </w:pPr>
      <w:bookmarkStart w:id="14" w:name="_Toc66627687"/>
      <w:r>
        <w:rPr>
          <w:rFonts w:ascii="宋体" w:hAnsi="宋体" w:hint="eastAsia"/>
        </w:rPr>
        <w:t>煤炭采掘行业</w:t>
      </w:r>
      <w:bookmarkEnd w:id="14"/>
    </w:p>
    <w:p>
      <w:pPr>
        <w:pStyle w:val="Normal0"/>
        <w:spacing w:before="56" w:after="113" w:line="360" w:lineRule="auto"/>
        <w:ind w:firstLine="420"/>
        <w:rPr>
          <w:rFonts w:ascii="宋体" w:hAnsi="宋体" w:cs="宋体" w:hint="eastAsia"/>
          <w:sz w:val="24"/>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pStyle w:val="Normal0"/>
        <w:spacing w:before="56" w:after="113" w:line="360" w:lineRule="auto"/>
        <w:ind w:firstLine="420"/>
        <w:rPr>
          <w:rFonts w:ascii="宋体" w:hAnsi="宋体" w:cs="宋体" w:hint="eastAsia"/>
          <w:sz w:val="24"/>
        </w:rPr>
      </w:pPr>
      <w:r>
        <w:rPr>
          <w:rFonts w:ascii="宋体" w:hAnsi="宋体" w:cs="宋体"/>
          <w:sz w:val="24"/>
        </w:rPr>
        <w:t>随着世界经济的发展，煤炭的需求将不断增加。有关研究资料表明，今后20年，全球煤炭消费还将保持快速增长的态势。到2020年，国内煤炭需求在20亿吨以上。因此，今后几年乃至更长一段时期内，我国煤炭工业将有一个较大的发展。</w:t>
      </w:r>
      <w:r>
        <w:rPr>
          <w:rFonts w:ascii="宋体" w:hAnsi="宋体" w:cs="宋体" w:hint="eastAsia"/>
          <w:sz w:val="24"/>
        </w:rPr>
        <w:t>北大纵横</w:t>
      </w:r>
      <w:r>
        <w:rPr>
          <w:rFonts w:ascii="宋体" w:hAnsi="宋体" w:cs="宋体" w:hint="eastAsia"/>
          <w:sz w:val="24"/>
          <w:lang w:eastAsia="zh-CN"/>
        </w:rPr>
        <w:t>相关项目</w:t>
      </w:r>
      <w:r>
        <w:rPr>
          <w:rFonts w:ascii="宋体" w:hAnsi="宋体" w:cs="宋体" w:hint="eastAsia"/>
          <w:sz w:val="24"/>
        </w:rPr>
        <w:t>组对煤炭采掘行业和与滦河国际紧密相关的焦煤采掘作出了自己的分析与判断。</w:t>
      </w:r>
    </w:p>
    <w:p>
      <w:pPr>
        <w:pStyle w:val="Normal0"/>
        <w:spacing w:before="56" w:after="113" w:line="360" w:lineRule="auto"/>
        <w:ind w:firstLine="420"/>
        <w:rPr>
          <w:rFonts w:ascii="宋体" w:hAnsi="宋体" w:cs="宋体" w:hint="eastAsia"/>
          <w:sz w:val="24"/>
        </w:rPr>
      </w:pPr>
      <w:r>
        <w:rPr>
          <w:rFonts w:ascii="宋体" w:hAnsi="宋体" w:cs="宋体" w:hint="eastAsia"/>
          <w:sz w:val="24"/>
        </w:rPr>
        <w:t>首先，从原煤产量来看，最近几年原煤产量保持较快增长。</w:t>
      </w:r>
      <w:r>
        <w:rPr>
          <w:rFonts w:ascii="宋体" w:hAnsi="宋体" w:cs="宋体"/>
          <w:sz w:val="24"/>
        </w:rPr>
        <w:t>随着近几年经济的持续快速发展，我国煤炭生产总体保持了较快增长，原煤产量不断扩大。2000年，我国原煤产量9.98亿吨；2001年为11.61亿吨，比上年增产1.63亿吨，增长16.3%；2002年产量进一步增加到13.8亿吨，比上年增产2.19亿吨，增长18.9%；</w:t>
      </w:r>
      <w:r>
        <w:rPr>
          <w:rFonts w:ascii="宋体" w:hAnsi="宋体" w:cs="宋体" w:hint="eastAsia"/>
          <w:sz w:val="24"/>
        </w:rPr>
        <w:t>2003</w:t>
      </w:r>
      <w:r>
        <w:rPr>
          <w:rFonts w:ascii="宋体" w:hAnsi="宋体" w:cs="宋体"/>
          <w:sz w:val="24"/>
        </w:rPr>
        <w:t>年全年产量将接近16亿吨，比上年增产2.2亿吨左右</w:t>
      </w:r>
      <w:r>
        <w:rPr>
          <w:rFonts w:ascii="宋体" w:hAnsi="宋体" w:cs="宋体" w:hint="eastAsia"/>
          <w:sz w:val="24"/>
        </w:rPr>
        <w:t>，增产16%。</w:t>
      </w:r>
    </w:p>
    <w:p>
      <w:pPr>
        <w:pStyle w:val="Normal0"/>
        <w:spacing w:before="56" w:after="113" w:line="360" w:lineRule="auto"/>
        <w:ind w:firstLine="420"/>
        <w:rPr>
          <w:rFonts w:ascii="宋体" w:hAnsi="宋体" w:cs="宋体" w:hint="eastAsia"/>
          <w:sz w:val="24"/>
        </w:rPr>
      </w:pPr>
      <w:r>
        <w:rPr>
          <w:rFonts w:ascii="宋体" w:hAnsi="宋体" w:cs="宋体" w:hint="eastAsia"/>
          <w:sz w:val="24"/>
        </w:rPr>
        <w:t>其次，从供求关系上来看，供求在相当长的一段时间以内将保持一种均衡态势。2003年</w:t>
      </w:r>
      <w:r>
        <w:rPr>
          <w:rFonts w:ascii="宋体" w:hAnsi="宋体" w:cs="宋体"/>
          <w:sz w:val="24"/>
        </w:rPr>
        <w:t>全年煤炭消费量达到15.1亿吨，比2002年增加1.4亿吨煤的需求量。针对目前工业生产对煤炭的较高需求，国家、地方和乡镇煤矿都扩大了生产规模。</w:t>
      </w:r>
      <w:r>
        <w:rPr>
          <w:rFonts w:ascii="宋体" w:hAnsi="宋体" w:cs="宋体" w:hint="eastAsia"/>
          <w:sz w:val="24"/>
        </w:rPr>
        <w:t>2003年</w:t>
      </w:r>
      <w:r>
        <w:rPr>
          <w:rFonts w:ascii="宋体" w:hAnsi="宋体" w:cs="宋体"/>
          <w:sz w:val="24"/>
        </w:rPr>
        <w:t>全年原煤产量近16亿吨，扣除近9500万吨的出口，加上1000多万吨进口，可供国内消费的原煤总量为15.2亿吨，与全年15.1亿吨的煤炭消费量基本平衡</w:t>
      </w:r>
      <w:r>
        <w:rPr>
          <w:rFonts w:ascii="宋体" w:hAnsi="宋体" w:cs="宋体" w:hint="eastAsia"/>
          <w:sz w:val="24"/>
        </w:rPr>
        <w:t>，而且这种供需平衡状况在2004年将继续保持。</w:t>
      </w:r>
    </w:p>
    <w:p>
      <w:pPr>
        <w:pStyle w:val="Normal0"/>
        <w:spacing w:before="56" w:after="113" w:line="360" w:lineRule="auto"/>
        <w:ind w:firstLine="420"/>
        <w:rPr>
          <w:rFonts w:ascii="宋体" w:hAnsi="宋体" w:cs="宋体" w:hint="eastAsia"/>
          <w:sz w:val="24"/>
        </w:rPr>
      </w:pPr>
      <w:r>
        <w:rPr>
          <w:rFonts w:ascii="宋体" w:hAnsi="宋体" w:cs="宋体"/>
          <w:sz w:val="24"/>
        </w:rPr>
        <w:t>由于油品和煤炭两种商品的消费具有一定的可替代性，有条件或大型的能源消费企业必然对油品和煤炭的消费进行综合价格比较，如果油价持续大幅上涨，超过了其与煤炭的“合理比价”，就会抑制用户对油品的消费，向可替代的煤炭消费转移。每桶油价与每吨煤的价格比为1∶1.5，因此国际石油价格下降到每桶18美元之下，才会抑制对煤炭的需求。</w:t>
      </w:r>
      <w:r>
        <w:rPr>
          <w:rFonts w:ascii="宋体" w:hAnsi="宋体" w:cs="宋体" w:hint="eastAsia"/>
          <w:sz w:val="24"/>
        </w:rPr>
        <w:t>而通过近两年调控经验，国家通过宏观配额控制及国有大型企业的改制重组及产能的提升，有望实现煤炭产业在未来几年内的基本供需平衡。</w:t>
      </w:r>
    </w:p>
    <w:p>
      <w:pPr>
        <w:pStyle w:val="Normal0"/>
        <w:spacing w:before="56" w:after="113" w:line="360" w:lineRule="auto"/>
        <w:ind w:firstLine="420"/>
        <w:rPr>
          <w:rFonts w:ascii="宋体" w:hAnsi="宋体" w:cs="宋体" w:hint="eastAsia"/>
          <w:sz w:val="24"/>
        </w:rPr>
      </w:pPr>
      <w:r>
        <w:rPr>
          <w:rFonts w:ascii="宋体" w:hAnsi="宋体" w:cs="宋体" w:hint="eastAsia"/>
          <w:sz w:val="24"/>
        </w:rPr>
        <w:t>第三，从市场竞争环境上来看，今后煤炭市场将出现一种激烈竞争态势。首先，为了提高生产率，降低环境污染和安全事故等因素，</w:t>
      </w:r>
      <w:r>
        <w:rPr>
          <w:rFonts w:ascii="宋体" w:hAnsi="宋体" w:cs="宋体"/>
          <w:sz w:val="24"/>
        </w:rPr>
        <w:t>国家</w:t>
      </w:r>
      <w:r>
        <w:rPr>
          <w:rFonts w:ascii="宋体" w:hAnsi="宋体" w:cs="宋体" w:hint="eastAsia"/>
          <w:sz w:val="24"/>
        </w:rPr>
        <w:t>还会继续</w:t>
      </w:r>
      <w:r>
        <w:rPr>
          <w:rFonts w:ascii="宋体" w:hAnsi="宋体" w:cs="宋体"/>
          <w:sz w:val="24"/>
        </w:rPr>
        <w:t>对一些开采水平低、危及国有大矿生产安全的小煤矿进行限制，</w:t>
      </w:r>
      <w:r>
        <w:rPr>
          <w:rFonts w:ascii="宋体" w:hAnsi="宋体" w:cs="宋体" w:hint="eastAsia"/>
          <w:sz w:val="24"/>
        </w:rPr>
        <w:t>提升行业进入门槛，加大煤矿开发难易程度，从而保护国有大型煤矿企业及宏观供需基本平衡的同时</w:t>
      </w:r>
      <w:r>
        <w:rPr>
          <w:rFonts w:ascii="宋体" w:hAnsi="宋体" w:cs="宋体"/>
          <w:sz w:val="24"/>
        </w:rPr>
        <w:t>避免煤炭资源的浪费。</w:t>
      </w:r>
      <w:r>
        <w:rPr>
          <w:rFonts w:ascii="宋体" w:hAnsi="宋体" w:cs="宋体" w:hint="eastAsia"/>
          <w:sz w:val="24"/>
        </w:rPr>
        <w:t>同时，大中型国有企业利用自身的优势，已经开始了行业内的资源整合，国家</w:t>
      </w:r>
      <w:r>
        <w:rPr>
          <w:rFonts w:ascii="宋体" w:hAnsi="宋体" w:cs="宋体" w:hint="eastAsia"/>
          <w:sz w:val="24"/>
        </w:rPr>
        <w:br/>
      </w:r>
      <w:r>
        <w:rPr>
          <w:rFonts w:ascii="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https://d.book118.com/956022032124010053</w:t>
        </w:r>
      </w:hyperlink>
    </w:p>
    <w:p>
      <w:pPr>
        <w:pStyle w:val="Normal0"/>
        <w:spacing w:before="56" w:after="113" w:line="360" w:lineRule="auto"/>
        <w:ind w:firstLine="420"/>
        <w:rPr>
          <w:rFonts w:ascii="宋体" w:hAnsi="宋体" w:cs="宋体" w:hint="eastAsia"/>
          <w:sz w:val="24"/>
        </w:rPr>
      </w:pPr>
    </w:p>
    <w:sectPr>
      <w:headerReference w:type="default" r:id="rId36"/>
      <w:footerReference w:type="default" r:id="rId37"/>
      <w:type w:val="nextPage"/>
      <w:pgSz w:w="11906" w:h="16838"/>
      <w:pgMar w:top="1440" w:right="1800" w:bottom="1440" w:left="180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0086058"/>
    <w:multiLevelType w:val="multilevel"/>
    <w:tmpl w:val="60086058"/>
    <w:lvl w:ilvl="0">
      <w:start w:val="1"/>
      <w:numFmt w:val="chineseCountingThousand"/>
      <w:lvlText w:val="第%1章 "/>
      <w:lvlJc w:val="left"/>
      <w:pPr>
        <w:tabs>
          <w:tab w:val="left" w:pos="720"/>
        </w:tabs>
        <w:ind w:left="-510" w:firstLine="510"/>
      </w:pPr>
      <w:rPr>
        <w:rFonts w:eastAsia="宋体" w:hint="eastAsia"/>
        <w:b/>
        <w:i w:val="0"/>
        <w:sz w:val="44"/>
        <w:szCs w:val="4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6DC32F80"/>
    <w:multiLevelType w:val="multilevel"/>
    <w:tmpl w:val="6DC32F80"/>
    <w:lvl w:ilvl="0">
      <w:start w:val="1"/>
      <w:numFmt w:val="decimal"/>
      <w:pStyle w:val="MMTopic1"/>
      <w:suff w:val="space"/>
      <w:lvlText w:val="%1"/>
      <w:lvlJc w:val="left"/>
      <w:pPr>
        <w:tabs>
          <w:tab w:val="left" w:pos="425"/>
        </w:tabs>
        <w:ind w:left="0" w:firstLine="0"/>
      </w:pPr>
    </w:lvl>
    <w:lvl w:ilvl="1">
      <w:start w:val="1"/>
      <w:numFmt w:val="decimal"/>
      <w:pStyle w:val="MMTopic2"/>
      <w:suff w:val="space"/>
      <w:lvlText w:val="%1.%2"/>
      <w:lvlJc w:val="left"/>
      <w:pPr>
        <w:tabs>
          <w:tab w:val="left" w:pos="992"/>
        </w:tabs>
        <w:ind w:left="0" w:firstLine="0"/>
      </w:pPr>
    </w:lvl>
    <w:lvl w:ilvl="2">
      <w:start w:val="1"/>
      <w:numFmt w:val="decimal"/>
      <w:pStyle w:val="MMTopic3"/>
      <w:suff w:val="space"/>
      <w:lvlText w:val="%1.%2.%3"/>
      <w:lvlJc w:val="left"/>
      <w:pPr>
        <w:tabs>
          <w:tab w:val="left" w:pos="1418"/>
        </w:tabs>
        <w:ind w:left="0" w:firstLine="0"/>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5A3"/>
    <w:rsid w:val="00004FDC"/>
    <w:rsid w:val="00015F23"/>
    <w:rsid w:val="00036AF7"/>
    <w:rsid w:val="00067253"/>
    <w:rsid w:val="000730BB"/>
    <w:rsid w:val="00074D41"/>
    <w:rsid w:val="00076C76"/>
    <w:rsid w:val="000776B3"/>
    <w:rsid w:val="0008276F"/>
    <w:rsid w:val="000D70CF"/>
    <w:rsid w:val="00105BD2"/>
    <w:rsid w:val="00111E64"/>
    <w:rsid w:val="00144751"/>
    <w:rsid w:val="00145F7C"/>
    <w:rsid w:val="0014652B"/>
    <w:rsid w:val="001734A3"/>
    <w:rsid w:val="00181912"/>
    <w:rsid w:val="001A34B4"/>
    <w:rsid w:val="001B4977"/>
    <w:rsid w:val="001B6810"/>
    <w:rsid w:val="00222320"/>
    <w:rsid w:val="00243685"/>
    <w:rsid w:val="0025179D"/>
    <w:rsid w:val="00252B25"/>
    <w:rsid w:val="002530F6"/>
    <w:rsid w:val="002B369E"/>
    <w:rsid w:val="002C04D5"/>
    <w:rsid w:val="002E616D"/>
    <w:rsid w:val="003277A9"/>
    <w:rsid w:val="0033400B"/>
    <w:rsid w:val="00335565"/>
    <w:rsid w:val="00391BC8"/>
    <w:rsid w:val="00393B40"/>
    <w:rsid w:val="003C78BF"/>
    <w:rsid w:val="003D05FF"/>
    <w:rsid w:val="0040043C"/>
    <w:rsid w:val="00433E25"/>
    <w:rsid w:val="00436D6A"/>
    <w:rsid w:val="00447240"/>
    <w:rsid w:val="00462D9C"/>
    <w:rsid w:val="00470027"/>
    <w:rsid w:val="004945F7"/>
    <w:rsid w:val="004E349A"/>
    <w:rsid w:val="004E5ABD"/>
    <w:rsid w:val="00500997"/>
    <w:rsid w:val="005129B2"/>
    <w:rsid w:val="00524736"/>
    <w:rsid w:val="00533E1B"/>
    <w:rsid w:val="005356E6"/>
    <w:rsid w:val="005461B3"/>
    <w:rsid w:val="005702E6"/>
    <w:rsid w:val="00587227"/>
    <w:rsid w:val="005A46E1"/>
    <w:rsid w:val="005D044A"/>
    <w:rsid w:val="005F6C55"/>
    <w:rsid w:val="00656091"/>
    <w:rsid w:val="00665E4A"/>
    <w:rsid w:val="006C7E96"/>
    <w:rsid w:val="006D48C1"/>
    <w:rsid w:val="006D6E5F"/>
    <w:rsid w:val="006F10A9"/>
    <w:rsid w:val="00701BE0"/>
    <w:rsid w:val="00721A6B"/>
    <w:rsid w:val="00725306"/>
    <w:rsid w:val="00765368"/>
    <w:rsid w:val="00797190"/>
    <w:rsid w:val="00797723"/>
    <w:rsid w:val="007D1BB9"/>
    <w:rsid w:val="007D4FE6"/>
    <w:rsid w:val="007D5B8F"/>
    <w:rsid w:val="007F6A8B"/>
    <w:rsid w:val="008067BE"/>
    <w:rsid w:val="00820EBC"/>
    <w:rsid w:val="008403D3"/>
    <w:rsid w:val="008523EA"/>
    <w:rsid w:val="00895B2C"/>
    <w:rsid w:val="008B21CD"/>
    <w:rsid w:val="00937260"/>
    <w:rsid w:val="009774F4"/>
    <w:rsid w:val="0098218F"/>
    <w:rsid w:val="009A1127"/>
    <w:rsid w:val="009D38CF"/>
    <w:rsid w:val="009F79D9"/>
    <w:rsid w:val="00A0396D"/>
    <w:rsid w:val="00A47987"/>
    <w:rsid w:val="00A93F55"/>
    <w:rsid w:val="00AE6EE4"/>
    <w:rsid w:val="00B068BA"/>
    <w:rsid w:val="00B21AF8"/>
    <w:rsid w:val="00B32C96"/>
    <w:rsid w:val="00B339E0"/>
    <w:rsid w:val="00B52031"/>
    <w:rsid w:val="00B54168"/>
    <w:rsid w:val="00B62D21"/>
    <w:rsid w:val="00B64D8B"/>
    <w:rsid w:val="00B72835"/>
    <w:rsid w:val="00B77EBB"/>
    <w:rsid w:val="00BA5B5F"/>
    <w:rsid w:val="00BB6F53"/>
    <w:rsid w:val="00BE093B"/>
    <w:rsid w:val="00C11D62"/>
    <w:rsid w:val="00C1729B"/>
    <w:rsid w:val="00C309FB"/>
    <w:rsid w:val="00C3480A"/>
    <w:rsid w:val="00C56FA5"/>
    <w:rsid w:val="00C758DF"/>
    <w:rsid w:val="00C8389F"/>
    <w:rsid w:val="00CA41BC"/>
    <w:rsid w:val="00CD1DF4"/>
    <w:rsid w:val="00CD3726"/>
    <w:rsid w:val="00D16826"/>
    <w:rsid w:val="00D22655"/>
    <w:rsid w:val="00D95877"/>
    <w:rsid w:val="00DA4D70"/>
    <w:rsid w:val="00DC69DB"/>
    <w:rsid w:val="00E016BE"/>
    <w:rsid w:val="00E20DA5"/>
    <w:rsid w:val="00E21F2E"/>
    <w:rsid w:val="00E27184"/>
    <w:rsid w:val="00E30EC0"/>
    <w:rsid w:val="00E33854"/>
    <w:rsid w:val="00E35AC5"/>
    <w:rsid w:val="00E55DE2"/>
    <w:rsid w:val="00E63BA6"/>
    <w:rsid w:val="00E700CD"/>
    <w:rsid w:val="00E73211"/>
    <w:rsid w:val="00E81F2B"/>
    <w:rsid w:val="00EA1CAC"/>
    <w:rsid w:val="00EC13D0"/>
    <w:rsid w:val="00ED5475"/>
    <w:rsid w:val="00EE0EF0"/>
    <w:rsid w:val="00EF0D6E"/>
    <w:rsid w:val="00EF34AA"/>
    <w:rsid w:val="00F07536"/>
    <w:rsid w:val="00F316D7"/>
    <w:rsid w:val="00F43679"/>
    <w:rsid w:val="00F5162C"/>
    <w:rsid w:val="00F7722D"/>
    <w:rsid w:val="00FC0B45"/>
    <w:rsid w:val="00FC25C7"/>
    <w:rsid w:val="00FE406A"/>
    <w:rsid w:val="00FF3494"/>
    <w:rsid w:val="1B775F20"/>
    <w:rsid w:val="49B755B6"/>
    <w:rsid w:val="4B694753"/>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uiPriority="0" w:unhideWhenUsed="0"/>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0"/>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styleId="TOC3">
    <w:name w:val="toc 3"/>
    <w:basedOn w:val="Normal"/>
    <w:next w:val="Normal0"/>
    <w:autoRedefine/>
    <w:semiHidden/>
    <w:qFormat/>
    <w:pPr>
      <w:ind w:left="840" w:leftChars="400"/>
    </w:pPr>
    <w:rPr>
      <w:rFonts w:ascii="Times New Roman" w:hAnsi="Times New Roman"/>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rPr>
      <w:rFonts w:ascii="Times New Roman" w:hAnsi="Times New Roman"/>
      <w:szCs w:val="24"/>
    </w:rPr>
  </w:style>
  <w:style w:type="paragraph" w:styleId="TOC2">
    <w:name w:val="toc 2"/>
    <w:basedOn w:val="Normal"/>
    <w:next w:val="Normal0"/>
    <w:autoRedefine/>
    <w:semiHidden/>
    <w:pPr>
      <w:ind w:left="420" w:leftChars="200"/>
    </w:pPr>
    <w:rPr>
      <w:rFonts w:ascii="Times New Roman" w:hAnsi="Times New Roman"/>
      <w:szCs w:val="24"/>
    </w:rPr>
  </w:style>
  <w:style w:type="character" w:styleId="PageNumber">
    <w:name w:val="page number"/>
    <w:basedOn w:val="DefaultParagraphFont"/>
    <w:qFormat/>
  </w:style>
  <w:style w:type="character" w:styleId="Hyperlink">
    <w:name w:val="Hyperlink"/>
    <w:basedOn w:val="DefaultParagraphFont"/>
    <w:rPr>
      <w:color w:val="0000FF"/>
      <w:u w:val="single"/>
    </w:rPr>
  </w:style>
  <w:style w:type="paragraph" w:customStyle="1" w:styleId="MMTopic1">
    <w:name w:val="MM Topic 1"/>
    <w:basedOn w:val="Heading1"/>
    <w:qFormat/>
    <w:pPr>
      <w:numPr>
        <w:ilvl w:val="0"/>
        <w:numId w:val="1"/>
      </w:numPr>
    </w:pPr>
  </w:style>
  <w:style w:type="paragraph" w:customStyle="1" w:styleId="MMTopic2">
    <w:name w:val="MM Topic 2"/>
    <w:basedOn w:val="Heading2"/>
    <w:pPr>
      <w:numPr>
        <w:ilvl w:val="1"/>
        <w:numId w:val="1"/>
      </w:numPr>
      <w:tabs>
        <w:tab w:val="clear" w:pos="992"/>
      </w:tabs>
    </w:pPr>
  </w:style>
  <w:style w:type="paragraph" w:customStyle="1" w:styleId="MMTopic3">
    <w:name w:val="MM Topic 3"/>
    <w:basedOn w:val="Heading3"/>
    <w:pPr>
      <w:numPr>
        <w:ilvl w:val="2"/>
        <w:numId w:val="1"/>
      </w:numPr>
    </w:pPr>
  </w:style>
  <w:style w:type="paragraph" w:customStyle="1" w:styleId="MMEmpty">
    <w:name w:val="MM Empty"/>
    <w:basedOn w:val="Normal"/>
    <w:autoRedefine/>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956022032124010053" TargetMode="Externa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5"/>
    <customShpInfo spid="_x0000_s1027"/>
    <customShpInfo spid="_x0000_s1028"/>
    <customShpInfo spid="_x0000_s1029"/>
    <customShpInfo spid="_x0000_s1030"/>
    <customShpInfo spid="_x0000_s1031"/>
    <customShpInfo spid="_x0000_s1032"/>
    <customShpInfo spid="_x0000_s1026"/>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19</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B0A457D0BBC944839FDCF1FE5A942987_12</vt:lpwstr>
  </property>
  <property fmtid="{D5CDD505-2E9C-101B-9397-08002B2CF9AE}" pid="3" name="KSOProductBuildVer">
    <vt:lpwstr>2052-12.1.0.16388</vt:lpwstr>
  </property>
</Properties>
</file>