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2018-2023年云南特殊教育职业学院高职单招（数学／语文／英语）历年常考试题库含答案解析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下列《马伶传》的句子中最能体现作者主观创作意图的是（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B.倘三年犹不得，即犹不归尔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C.日侍昆山相国于朝房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D.见昆山犹之见分宜也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A.自然主义作家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B.法国批判现实主义大师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C.法国19世纪小说家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D.法国20世纪杰出的诗人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王安石《答司马谏议书》所采取的主要驳论角度是（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A.驳斥论点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B.驳斥论据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C.驳斥论证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D.驳斥态度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《短歌行》中化用《诗经·郑风·子衿》中的一句是（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A.何以解忧？唯有杜康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B.青青子衿，悠悠我心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C.山不厌高，水不厌深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《楚辞·九歌》共（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A.9首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B.10首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C.11首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D.12首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下列诗句中属于远景静态描写的是（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A.操吴戈兮披犀甲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B.车错毂兮短兵接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C.旌蔽日兮敌若云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D.矢交坠兮士争先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“听得道一声去也，松了金钏；遥望见十里长亭，减了玉肌”所用的修辞手法是（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333640" cy="12383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3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鲁迅短篇小说《风波》的结构线索是（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B.九斤老太的唠叨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C.七斤的苦闷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下列作品属于郭沫若所创作的一组是（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A.《女神》、《死水》、《屈原》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B.《女神》、《尝试集》、《猛虎集》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C.《北方》、《红烛》、《屈原》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D.《屈原》、《虎符》、《蔡文姬》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下列句子中，“其”表示期望、命令等语气的是（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https://d.book118.com/956023042233010052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956023042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