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01"/>
        <w:pageBreakBefore/>
      </w:pPr>
      <w:r>
        <w:rPr>
          <w:rFonts w:hint="eastAsia"/>
        </w:rPr>
        <w:t>一、建设项目基本情况</w:t>
      </w:r>
    </w:p>
    <w:tbl>
      <w:tblPr>
        <w:tblStyle w:val="TableNormal"/>
        <w:tblW w:w="5000" w:type="pct"/>
        <w:jc w:val="center"/>
        <w:tblInd w:w="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17"/>
        <w:gridCol w:w="2411"/>
        <w:gridCol w:w="2268"/>
        <w:gridCol w:w="2705"/>
      </w:tblGrid>
      <w:tr>
        <w:tblPrEx>
          <w:tblW w:w="5000" w:type="pct"/>
          <w:jc w:val="center"/>
          <w:tblInd w:w="1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建设项目名称</w:t>
            </w:r>
          </w:p>
        </w:tc>
        <w:tc>
          <w:tcPr>
            <w:tcW w:w="73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陕西正宏生物水溶性肥料技术改造项目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项目代码</w:t>
            </w:r>
          </w:p>
        </w:tc>
        <w:tc>
          <w:tcPr>
            <w:tcW w:w="7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>2105-610526-04-02-810822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建设单位联系人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/>
                <w:szCs w:val="21"/>
              </w:rPr>
              <w:t>联系方式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建设地点</w:t>
            </w:r>
          </w:p>
        </w:tc>
        <w:tc>
          <w:tcPr>
            <w:tcW w:w="7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陕西省渭南市蒲城县紫荆街道办事处三兴村五组村西10米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地理坐标</w:t>
            </w:r>
          </w:p>
        </w:tc>
        <w:tc>
          <w:tcPr>
            <w:tcW w:w="7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</w:t>
            </w:r>
            <w:r>
              <w:rPr>
                <w:rFonts w:ascii="Times New Roman" w:hAnsi="Times New Roman" w:hint="eastAsia"/>
                <w:szCs w:val="21"/>
                <w:u w:val="single"/>
              </w:rPr>
              <w:t>109</w:t>
            </w:r>
            <w:r>
              <w:rPr>
                <w:rFonts w:ascii="Times New Roman" w:hAnsi="Times New Roman"/>
                <w:szCs w:val="21"/>
              </w:rPr>
              <w:t>度</w:t>
            </w:r>
            <w:r>
              <w:rPr>
                <w:rFonts w:ascii="Times New Roman" w:hAnsi="Times New Roman" w:hint="eastAsia"/>
                <w:szCs w:val="21"/>
                <w:u w:val="single"/>
              </w:rPr>
              <w:t>38</w:t>
            </w:r>
            <w:r>
              <w:rPr>
                <w:rFonts w:ascii="Times New Roman" w:hAnsi="Times New Roman"/>
                <w:szCs w:val="21"/>
              </w:rPr>
              <w:t>分</w:t>
            </w:r>
            <w:r>
              <w:rPr>
                <w:rFonts w:ascii="Times New Roman" w:hAnsi="Times New Roman" w:hint="eastAsia"/>
                <w:szCs w:val="21"/>
                <w:u w:val="single"/>
              </w:rPr>
              <w:t>54.710</w:t>
            </w:r>
            <w:r>
              <w:rPr>
                <w:rFonts w:ascii="Times New Roman" w:hAnsi="Times New Roman"/>
                <w:szCs w:val="21"/>
              </w:rPr>
              <w:t>秒，</w:t>
            </w:r>
            <w:r>
              <w:rPr>
                <w:rFonts w:ascii="Times New Roman" w:hAnsi="Times New Roman"/>
                <w:szCs w:val="21"/>
                <w:u w:val="single"/>
              </w:rPr>
              <w:t>34</w:t>
            </w:r>
            <w:r>
              <w:rPr>
                <w:rFonts w:ascii="Times New Roman" w:hAnsi="Times New Roman"/>
                <w:szCs w:val="21"/>
              </w:rPr>
              <w:t>度</w:t>
            </w:r>
            <w:r>
              <w:rPr>
                <w:rFonts w:ascii="Times New Roman" w:hAnsi="Times New Roman" w:hint="eastAsia"/>
                <w:szCs w:val="21"/>
                <w:u w:val="single"/>
              </w:rPr>
              <w:t>55</w:t>
            </w:r>
            <w:r>
              <w:rPr>
                <w:rFonts w:ascii="Times New Roman" w:hAnsi="Times New Roman"/>
                <w:szCs w:val="21"/>
              </w:rPr>
              <w:t>分</w:t>
            </w:r>
            <w:r>
              <w:rPr>
                <w:rFonts w:ascii="Times New Roman" w:hAnsi="Times New Roman" w:hint="eastAsia"/>
                <w:szCs w:val="21"/>
                <w:u w:val="single"/>
              </w:rPr>
              <w:t>33.530</w:t>
            </w:r>
            <w:r>
              <w:rPr>
                <w:rFonts w:ascii="Times New Roman" w:hAnsi="Times New Roman"/>
                <w:szCs w:val="21"/>
              </w:rPr>
              <w:t>秒）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1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国民经济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行业类别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宋体"/>
                <w:szCs w:val="21"/>
              </w:rPr>
              <w:t>C262</w:t>
            </w:r>
            <w:r>
              <w:rPr>
                <w:rFonts w:ascii="Times New Roman" w:hAnsi="Times New Roman" w:cs="宋体" w:hint="eastAsia"/>
                <w:szCs w:val="21"/>
              </w:rPr>
              <w:t>4</w:t>
            </w:r>
            <w:r>
              <w:rPr>
                <w:rFonts w:ascii="Times New Roman" w:hAnsi="Times New Roman" w:cs="宋体"/>
                <w:szCs w:val="21"/>
              </w:rPr>
              <w:t>复混肥料制造</w:t>
            </w:r>
            <w:r>
              <w:rPr>
                <w:rFonts w:ascii="Times New Roman" w:hAnsi="Times New Roman" w:cs="宋体" w:hint="eastAsia"/>
                <w:szCs w:val="21"/>
              </w:rPr>
              <w:t>；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建设项目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pacing w:val="-6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行业类别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pStyle w:val="CommentText"/>
              <w:ind w:firstLine="0" w:firstLineChars="0"/>
              <w:rPr>
                <w:rFonts w:cs="宋体"/>
                <w:szCs w:val="21"/>
                <w:lang w:val="en-US" w:eastAsia="zh-CN"/>
              </w:rPr>
            </w:pPr>
            <w:r>
              <w:rPr>
                <w:rFonts w:cs="宋体" w:hint="eastAsia"/>
                <w:kern w:val="2"/>
                <w:sz w:val="21"/>
                <w:szCs w:val="21"/>
                <w:lang w:val="en-US" w:eastAsia="zh-CN"/>
              </w:rPr>
              <w:t>二十三、化学原料和化学制品制造业26；45肥料制造262：其他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19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建设性质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jc w:val="left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□</w:t>
            </w:r>
            <w:r>
              <w:rPr>
                <w:rFonts w:ascii="Times New Roman" w:hAnsi="Times New Roman" w:cs="宋体" w:hint="eastAsia"/>
                <w:szCs w:val="21"/>
              </w:rPr>
              <w:t>新建（迁建）</w:t>
            </w:r>
          </w:p>
          <w:p>
            <w:pPr>
              <w:jc w:val="left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□</w:t>
            </w:r>
            <w:r>
              <w:rPr>
                <w:rFonts w:ascii="Times New Roman" w:hAnsi="Times New Roman" w:cs="宋体" w:hint="eastAsia"/>
                <w:szCs w:val="21"/>
              </w:rPr>
              <w:t>改建</w:t>
            </w:r>
          </w:p>
          <w:p>
            <w:pPr>
              <w:jc w:val="left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□</w:t>
            </w:r>
            <w:r>
              <w:rPr>
                <w:rFonts w:ascii="Times New Roman" w:hAnsi="Times New Roman" w:cs="宋体" w:hint="eastAsia"/>
                <w:szCs w:val="21"/>
              </w:rPr>
              <w:t>扩建</w:t>
            </w:r>
          </w:p>
          <w:p>
            <w:pPr>
              <w:spacing w:line="440" w:lineRule="exact"/>
              <w:jc w:val="left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fldChar w:fldCharType="begin"/>
            </w:r>
            <w:r>
              <w:rPr>
                <w:rFonts w:ascii="Times New Roman" w:hAnsi="Times New Roman" w:cs="宋体" w:hint="eastAsia"/>
                <w:szCs w:val="21"/>
              </w:rPr>
              <w:instrText xml:space="preserve"> eq \o\ac(</w:instrText>
            </w:r>
            <w:r>
              <w:rPr>
                <w:rFonts w:ascii="Times New Roman" w:hAnsi="Times New Roman" w:cs="宋体" w:hint="eastAsia"/>
                <w:szCs w:val="21"/>
              </w:rPr>
              <w:instrText>□</w:instrText>
            </w:r>
            <w:r>
              <w:rPr>
                <w:rFonts w:ascii="Times New Roman" w:hAnsi="Times New Roman" w:cs="宋体" w:hint="eastAsia"/>
                <w:szCs w:val="21"/>
              </w:rPr>
              <w:instrText>,</w:instrText>
            </w:r>
            <w:r>
              <w:rPr>
                <w:rFonts w:ascii="Times New Roman" w:hAnsi="Times New Roman" w:cs="宋体" w:hint="eastAsia"/>
                <w:position w:val="2"/>
                <w:sz w:val="14"/>
                <w:szCs w:val="21"/>
              </w:rPr>
              <w:instrText>√</w:instrText>
            </w:r>
            <w:r>
              <w:rPr>
                <w:rFonts w:ascii="Times New Roman" w:hAnsi="Times New Roman" w:cs="宋体" w:hint="eastAsia"/>
                <w:szCs w:val="21"/>
              </w:rPr>
              <w:instrText>)</w:instrText>
            </w:r>
            <w:r>
              <w:rPr>
                <w:rFonts w:ascii="Times New Roman" w:hAnsi="Times New Roman" w:cs="宋体" w:hint="eastAsia"/>
                <w:szCs w:val="21"/>
              </w:rPr>
              <w:fldChar w:fldCharType="separate"/>
            </w:r>
            <w:r>
              <w:rPr>
                <w:rFonts w:ascii="Times New Roman" w:hAnsi="Times New Roman" w:cs="宋体" w:hint="eastAsia"/>
                <w:szCs w:val="21"/>
              </w:rPr>
              <w:fldChar w:fldCharType="end"/>
            </w:r>
            <w:r>
              <w:rPr>
                <w:rFonts w:ascii="Times New Roman" w:hAnsi="Times New Roman" w:cs="宋体" w:hint="eastAsia"/>
                <w:szCs w:val="21"/>
              </w:rPr>
              <w:t>技术改造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建设项目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申报情形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jc w:val="left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fldChar w:fldCharType="begin" w:dirty="1"/>
            </w:r>
            <w:r>
              <w:rPr>
                <w:rFonts w:ascii="Times New Roman" w:hAnsi="Times New Roman" w:cs="宋体" w:hint="eastAsia"/>
                <w:szCs w:val="21"/>
              </w:rPr>
              <w:instrText xml:space="preserve"> eq \o\ac(</w:instrText>
            </w:r>
            <w:r>
              <w:rPr>
                <w:rFonts w:ascii="Times New Roman" w:hAnsi="Times New Roman" w:cs="宋体" w:hint="eastAsia"/>
                <w:szCs w:val="21"/>
              </w:rPr>
              <w:instrText>□</w:instrText>
            </w:r>
            <w:r>
              <w:rPr>
                <w:rFonts w:ascii="Times New Roman" w:hAnsi="Times New Roman" w:cs="宋体" w:hint="eastAsia"/>
                <w:szCs w:val="21"/>
              </w:rPr>
              <w:instrText>,</w:instrText>
            </w:r>
            <w:r>
              <w:rPr>
                <w:rFonts w:ascii="Times New Roman" w:hAnsi="Times New Roman" w:cs="宋体" w:hint="eastAsia"/>
                <w:position w:val="2"/>
                <w:sz w:val="14"/>
                <w:szCs w:val="21"/>
              </w:rPr>
              <w:instrText>√</w:instrText>
            </w:r>
            <w:r>
              <w:rPr>
                <w:rFonts w:ascii="Times New Roman" w:hAnsi="Times New Roman" w:cs="宋体" w:hint="eastAsia"/>
                <w:szCs w:val="21"/>
              </w:rPr>
              <w:instrText>)</w:instrText>
            </w:r>
            <w:r>
              <w:rPr>
                <w:rFonts w:ascii="Times New Roman" w:hAnsi="Times New Roman" w:cs="宋体" w:hint="eastAsia"/>
                <w:szCs w:val="21"/>
              </w:rPr>
              <w:fldChar w:fldCharType="separate"/>
            </w:r>
            <w:r>
              <w:rPr>
                <w:rFonts w:ascii="Times New Roman" w:hAnsi="Times New Roman" w:cs="宋体" w:hint="eastAsia"/>
                <w:szCs w:val="21"/>
              </w:rPr>
              <w:fldChar w:fldCharType="end"/>
            </w:r>
            <w:r>
              <w:rPr>
                <w:rFonts w:ascii="Times New Roman" w:hAnsi="Times New Roman" w:cs="宋体" w:hint="eastAsia"/>
                <w:szCs w:val="21"/>
              </w:rPr>
              <w:t xml:space="preserve">首次申报项目             </w:t>
            </w:r>
          </w:p>
          <w:p>
            <w:pPr>
              <w:jc w:val="left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□</w:t>
            </w:r>
            <w:r>
              <w:rPr>
                <w:rFonts w:ascii="Times New Roman" w:hAnsi="Times New Roman" w:cs="宋体" w:hint="eastAsia"/>
                <w:szCs w:val="21"/>
              </w:rPr>
              <w:t>不予批准后再次申报项目</w:t>
            </w:r>
          </w:p>
          <w:p>
            <w:pPr>
              <w:jc w:val="left"/>
              <w:rPr>
                <w:rFonts w:ascii="Times New Roman" w:hAnsi="Times New Roman" w:cs="宋体" w:hint="eastAsia"/>
                <w:szCs w:val="21"/>
              </w:rPr>
            </w:pPr>
            <w:r>
              <w:rPr>
                <w:rFonts w:ascii="Wingdings 2" w:hAnsi="Wingdings 2" w:cs="宋体"/>
                <w:szCs w:val="21"/>
              </w:rPr>
              <w:sym w:font="Wingdings 2" w:char="F0A3"/>
            </w:r>
            <w:r>
              <w:rPr>
                <w:rFonts w:ascii="Times New Roman" w:hAnsi="Times New Roman" w:cs="宋体" w:hint="eastAsia"/>
                <w:szCs w:val="21"/>
              </w:rPr>
              <w:t xml:space="preserve">超五年重新审核项目     </w:t>
            </w:r>
          </w:p>
          <w:p>
            <w:pPr>
              <w:spacing w:line="440" w:lineRule="exact"/>
              <w:jc w:val="left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□</w:t>
            </w:r>
            <w:r>
              <w:rPr>
                <w:rFonts w:ascii="Times New Roman" w:hAnsi="Times New Roman" w:cs="宋体" w:hint="eastAsia"/>
                <w:szCs w:val="21"/>
              </w:rPr>
              <w:t>重大变动重新报批项目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51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项目审批（核准/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备案）部门（选填）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蒲城县行政审批服务局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项目审批（核准/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备案）文号（选填）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</w:rPr>
              <w:t>/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总投资（万元）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2050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环保投资（万元）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38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环保投资占比（%）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1.85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施工工期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3</w:t>
            </w:r>
            <w:r>
              <w:rPr>
                <w:rFonts w:ascii="Times New Roman" w:hAnsi="Times New Roman"/>
                <w:szCs w:val="21"/>
              </w:rPr>
              <w:t>个月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是否开工建设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Wingdings 2" w:hAnsi="Wingdings 2"/>
                <w:szCs w:val="21"/>
              </w:rPr>
              <w:sym w:font="Wingdings 2" w:char="F0A3"/>
            </w:r>
            <w:r>
              <w:rPr>
                <w:rFonts w:ascii="Times New Roman" w:hAnsi="Times New Roman" w:hint="eastAsia"/>
                <w:szCs w:val="21"/>
              </w:rPr>
              <w:t>否</w:t>
            </w:r>
          </w:p>
          <w:p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Wingdings 2" w:hAnsi="Wingdings 2"/>
                <w:szCs w:val="21"/>
              </w:rPr>
              <w:sym w:font="Wingdings 2" w:char="F0A3"/>
            </w:r>
            <w:r>
              <w:rPr>
                <w:rFonts w:ascii="Times New Roman" w:hAnsi="Times New Roman" w:hint="eastAsia"/>
                <w:szCs w:val="21"/>
              </w:rPr>
              <w:t>是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用地(用海)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面积(m</w:t>
            </w:r>
            <w:r>
              <w:rPr>
                <w:rFonts w:ascii="Times New Roman" w:hAnsi="Times New Roman" w:hint="eastAsia"/>
                <w:szCs w:val="21"/>
                <w:vertAlign w:val="superscript"/>
              </w:rPr>
              <w:t>2</w:t>
            </w:r>
            <w:r>
              <w:rPr>
                <w:rFonts w:ascii="Times New Roman" w:hAnsi="Times New Roman" w:hint="eastAsia"/>
                <w:szCs w:val="21"/>
              </w:rPr>
              <w:t>)</w:t>
            </w:r>
          </w:p>
        </w:tc>
        <w:tc>
          <w:tcPr>
            <w:tcW w:w="2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4666.7（新增占地）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8"/>
          <w:jc w:val="center"/>
        </w:trPr>
        <w:tc>
          <w:tcPr>
            <w:tcW w:w="17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专项评价设置情况</w:t>
            </w:r>
          </w:p>
        </w:tc>
        <w:tc>
          <w:tcPr>
            <w:tcW w:w="7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TableNormal"/>
              <w:tblW w:w="5000" w:type="pct"/>
              <w:jc w:val="center"/>
              <w:tblInd w:w="118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158"/>
              <w:gridCol w:w="4112"/>
              <w:gridCol w:w="1878"/>
            </w:tblGrid>
            <w:tr>
              <w:tblPrEx>
                <w:tblW w:w="5000" w:type="pct"/>
                <w:jc w:val="center"/>
                <w:tblInd w:w="118" w:type="dxa"/>
                <w:tbl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482"/>
                <w:tblHeader/>
                <w:jc w:val="center"/>
              </w:trPr>
              <w:tc>
                <w:tcPr>
                  <w:tcW w:w="810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int="eastAsia"/>
                    </w:rPr>
                    <w:t>专项评价的类别</w:t>
                  </w:r>
                </w:p>
              </w:tc>
              <w:tc>
                <w:tcPr>
                  <w:tcW w:w="2876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int="eastAsia"/>
                    </w:rPr>
                    <w:t>设置原则</w:t>
                  </w:r>
                </w:p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int="eastAsia"/>
                    </w:rPr>
                    <w:t>项目情况</w:t>
                  </w:r>
                </w:p>
              </w:tc>
            </w:tr>
            <w:tr>
              <w:tblPrEx>
                <w:tblW w:w="5000" w:type="pct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80"/>
                <w:jc w:val="center"/>
              </w:trPr>
              <w:tc>
                <w:tcPr>
                  <w:tcW w:w="810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大气</w:t>
                  </w:r>
                </w:p>
              </w:tc>
              <w:tc>
                <w:tcPr>
                  <w:tcW w:w="2876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排放废气含有毒有害污染物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1</w:t>
                  </w:r>
                  <w:r>
                    <w:rPr>
                      <w:rFonts w:ascii="Times New Roman" w:hAnsi="宋体" w:hint="eastAsia"/>
                    </w:rPr>
                    <w:t>、二</w:t>
                  </w:r>
                  <w:r>
                    <w:rPr>
                      <w:rFonts w:ascii="Times New Roman" w:hAnsi="宋体" w:cs="宋体" w:hint="eastAsia"/>
                    </w:rPr>
                    <w:t>噁</w:t>
                  </w:r>
                  <w:r>
                    <w:rPr>
                      <w:rFonts w:ascii="Times New Roman" w:hAnsi="宋体" w:hint="eastAsia"/>
                    </w:rPr>
                    <w:t>英、苯并</w:t>
                  </w:r>
                  <w:r>
                    <w:rPr>
                      <w:rFonts w:ascii="Times New Roman" w:hAnsi="Times New Roman" w:hint="eastAsia"/>
                    </w:rPr>
                    <w:t>[</w:t>
                  </w:r>
                  <w:r>
                    <w:rPr>
                      <w:rFonts w:ascii="Times New Roman" w:hAnsi="Times New Roman"/>
                      <w:i/>
                    </w:rPr>
                    <w:t>a</w:t>
                  </w:r>
                  <w:r>
                    <w:rPr>
                      <w:rFonts w:ascii="Times New Roman" w:hAnsi="Times New Roman"/>
                    </w:rPr>
                    <w:t>]</w:t>
                  </w:r>
                  <w:r>
                    <w:rPr>
                      <w:rFonts w:ascii="Times New Roman" w:hAnsi="宋体" w:hint="eastAsia"/>
                    </w:rPr>
                    <w:t>芘、氰化物、氯气且厂界外</w:t>
                  </w:r>
                  <w:r>
                    <w:rPr>
                      <w:rFonts w:ascii="Times New Roman" w:hAnsi="Times New Roman" w:hint="eastAsia"/>
                    </w:rPr>
                    <w:t>500</w:t>
                  </w:r>
                  <w:r>
                    <w:rPr>
                      <w:rFonts w:ascii="Times New Roman" w:hAnsi="宋体" w:hint="eastAsia"/>
                    </w:rPr>
                    <w:t>米范围内有环境空气保护目标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2</w:t>
                  </w:r>
                  <w:r>
                    <w:rPr>
                      <w:rFonts w:ascii="Times New Roman" w:hAnsi="宋体" w:hint="eastAsia"/>
                    </w:rPr>
                    <w:t>的建设项目</w:t>
                  </w:r>
                </w:p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本项目不涉及，不设大气专题。</w:t>
                  </w:r>
                </w:p>
              </w:tc>
            </w:tr>
            <w:tr>
              <w:tblPrEx>
                <w:tblW w:w="5000" w:type="pct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80"/>
                <w:jc w:val="center"/>
              </w:trPr>
              <w:tc>
                <w:tcPr>
                  <w:tcW w:w="810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地表水</w:t>
                  </w:r>
                </w:p>
              </w:tc>
              <w:tc>
                <w:tcPr>
                  <w:tcW w:w="2876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新增工业废水直排建设项目（槽罐车外送污水处理厂的除外）；新增废水直排的污水集中处理厂</w:t>
                  </w:r>
                </w:p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本项目不涉及，不设地表水专题。</w:t>
                  </w:r>
                </w:p>
              </w:tc>
            </w:tr>
            <w:tr>
              <w:tblPrEx>
                <w:tblW w:w="5000" w:type="pct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482"/>
                <w:jc w:val="center"/>
              </w:trPr>
              <w:tc>
                <w:tcPr>
                  <w:tcW w:w="810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环境风险</w:t>
                  </w:r>
                </w:p>
              </w:tc>
              <w:tc>
                <w:tcPr>
                  <w:tcW w:w="2876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有毒有害和易燃易爆危险物质存储量超过临界量</w:t>
                  </w:r>
                  <w:r>
                    <w:rPr>
                      <w:rFonts w:ascii="Times New Roman" w:hAnsi="Times New Roman"/>
                      <w:vertAlign w:val="superscript"/>
                    </w:rPr>
                    <w:t>3</w:t>
                  </w:r>
                  <w:r>
                    <w:rPr>
                      <w:rFonts w:ascii="Times New Roman" w:hAnsi="宋体" w:hint="eastAsia"/>
                    </w:rPr>
                    <w:t>的建设项目</w:t>
                  </w:r>
                </w:p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本项目不涉及，不设风险专题。</w:t>
                  </w:r>
                </w:p>
              </w:tc>
            </w:tr>
            <w:tr>
              <w:tblPrEx>
                <w:tblW w:w="5000" w:type="pct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680"/>
                <w:jc w:val="center"/>
              </w:trPr>
              <w:tc>
                <w:tcPr>
                  <w:tcW w:w="810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生态</w:t>
                  </w:r>
                </w:p>
              </w:tc>
              <w:tc>
                <w:tcPr>
                  <w:tcW w:w="2876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取水口下游</w:t>
                  </w:r>
                  <w:r>
                    <w:rPr>
                      <w:rFonts w:ascii="Times New Roman" w:hAnsi="Times New Roman" w:hint="eastAsia"/>
                    </w:rPr>
                    <w:t>500</w:t>
                  </w:r>
                  <w:r>
                    <w:rPr>
                      <w:rFonts w:ascii="Times New Roman" w:hAnsi="宋体" w:hint="eastAsia"/>
                    </w:rPr>
                    <w:t>米范围内有重要水生生物的自然产卵场、索饵场、越冬场和洄游通道的新增河道取水的污染类建设项目</w:t>
                  </w:r>
                </w:p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本项目不涉及，不设生态专题。</w:t>
                  </w:r>
                </w:p>
              </w:tc>
            </w:tr>
            <w:tr>
              <w:tblPrEx>
                <w:tblW w:w="5000" w:type="pct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482"/>
                <w:jc w:val="center"/>
              </w:trPr>
              <w:tc>
                <w:tcPr>
                  <w:tcW w:w="810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海洋</w:t>
                  </w:r>
                </w:p>
              </w:tc>
              <w:tc>
                <w:tcPr>
                  <w:tcW w:w="2876" w:type="pct"/>
                  <w:vAlign w:val="center"/>
                </w:tcPr>
                <w:p>
                  <w:pPr>
                    <w:pStyle w:val="0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直接向海排放污染物的海洋工程建设项目</w:t>
                  </w:r>
                </w:p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spacing w:after="0"/>
                    <w:rPr>
                      <w:rFonts w:ascii="Times New Roman" w:hAnsi="Times New Roman" w:hint="eastAsia"/>
                    </w:rPr>
                  </w:pPr>
                </w:p>
              </w:tc>
            </w:tr>
          </w:tbl>
          <w:p/>
        </w:tc>
      </w:tr>
    </w:tbl>
    <w:p>
      <w:pPr>
        <w:sectPr>
          <w:footerReference w:type="default" r:id="rId4"/>
          <w:pgSz w:w="11906" w:h="16838"/>
          <w:pgMar w:top="1418" w:right="1418" w:bottom="1418" w:left="1418" w:header="851" w:footer="992" w:gutter="0"/>
          <w:cols w:space="708"/>
          <w:docGrid w:type="lines" w:linePitch="312"/>
        </w:sectPr>
      </w:pPr>
    </w:p>
    <w:tbl>
      <w:tblPr>
        <w:tblStyle w:val="TableNormal"/>
        <w:tblW w:w="5000" w:type="pct"/>
        <w:jc w:val="center"/>
        <w:tblInd w:w="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67"/>
        <w:gridCol w:w="850"/>
        <w:gridCol w:w="7384"/>
      </w:tblGrid>
      <w:tr>
        <w:tblPrEx>
          <w:tblW w:w="5000" w:type="pct"/>
          <w:jc w:val="center"/>
          <w:tblInd w:w="1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8"/>
          <w:jc w:val="center"/>
        </w:trPr>
        <w:tc>
          <w:tcPr>
            <w:tcW w:w="171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TableNormal"/>
              <w:tblW w:w="5000" w:type="pct"/>
              <w:jc w:val="center"/>
              <w:tblInd w:w="118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158"/>
              <w:gridCol w:w="4112"/>
              <w:gridCol w:w="1878"/>
            </w:tblGrid>
            <w:tr>
              <w:tblPrEx>
                <w:tblW w:w="5000" w:type="pct"/>
                <w:jc w:val="center"/>
                <w:tblInd w:w="118" w:type="dxa"/>
                <w:tbl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  <w:insideH w:val="single" w:sz="4" w:space="0" w:color="auto"/>
                  <w:insideV w:val="single" w:sz="4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482"/>
                <w:jc w:val="center"/>
              </w:trPr>
              <w:tc>
                <w:tcPr>
                  <w:tcW w:w="810" w:type="pct"/>
                  <w:vAlign w:val="center"/>
                </w:tcPr>
                <w:p/>
              </w:tc>
              <w:tc>
                <w:tcPr>
                  <w:tcW w:w="2876" w:type="pct"/>
                  <w:vAlign w:val="center"/>
                </w:tcPr>
                <w:p/>
              </w:tc>
              <w:tc>
                <w:tcPr>
                  <w:tcW w:w="1314" w:type="pct"/>
                  <w:vAlign w:val="center"/>
                </w:tcPr>
                <w:p>
                  <w:pPr>
                    <w:pStyle w:val="07"/>
                    <w:spacing w:before="0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宋体" w:hint="eastAsia"/>
                    </w:rPr>
                    <w:t>本项目不涉及，不设海洋专题。</w:t>
                  </w:r>
                </w:p>
              </w:tc>
            </w:tr>
            <w:tr>
              <w:tblPrEx>
                <w:tblW w:w="5000" w:type="pct"/>
                <w:jc w:val="center"/>
                <w:tblInd w:w="118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482"/>
                <w:jc w:val="center"/>
              </w:trPr>
              <w:tc>
                <w:tcPr>
                  <w:tcW w:w="5000" w:type="pct"/>
                  <w:gridSpan w:val="3"/>
                  <w:vAlign w:val="center"/>
                </w:tcPr>
                <w:p>
                  <w:pPr>
                    <w:pStyle w:val="06"/>
                    <w:jc w:val="left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sz w:val="21"/>
                      <w:szCs w:val="21"/>
                      <w:lang w:val="en-US" w:eastAsia="zh-CN"/>
                    </w:rPr>
                    <w:t>注：1.废气中有毒有害污染物指纳入《有毒有害大气污染物名录》的污染物（不包括无排放标准的污染物）。</w:t>
                  </w:r>
                </w:p>
                <w:p>
                  <w:pPr>
                    <w:pStyle w:val="06"/>
                    <w:jc w:val="left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sz w:val="21"/>
                      <w:szCs w:val="21"/>
                      <w:lang w:val="en-US" w:eastAsia="zh-CN"/>
                    </w:rPr>
                    <w:t>2.环境空气保护目标指自然保护区、风景名胜区、居住区、文化区和农村地区中人群较集中的区域。</w:t>
                  </w:r>
                </w:p>
                <w:p>
                  <w:pPr>
                    <w:pStyle w:val="07"/>
                    <w:jc w:val="left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/>
                      <w:kern w:val="0"/>
                      <w:szCs w:val="21"/>
                    </w:rPr>
                    <w:t>3.临界量及其计算方法可参考《建设项目环境风险评价技术导则》（HJ 169）附录B、附录C。</w:t>
                  </w:r>
                </w:p>
              </w:tc>
            </w:tr>
          </w:tbl>
          <w:p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1"/>
          <w:jc w:val="center"/>
        </w:trPr>
        <w:tc>
          <w:tcPr>
            <w:tcW w:w="171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规划情况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440" w:lineRule="exact"/>
              <w:ind w:firstLine="0" w:firstLineChars="0"/>
              <w:jc w:val="center"/>
              <w:rPr>
                <w:rFonts w:ascii="Times New Roman" w:hAnsi="Times New Roman" w:cs="宋体"/>
                <w:sz w:val="21"/>
                <w:szCs w:val="21"/>
              </w:rPr>
            </w:pPr>
            <w:r>
              <w:rPr>
                <w:rFonts w:ascii="Times New Roman" w:hAnsi="Times New Roman" w:cs="宋体" w:hint="eastAsia"/>
                <w:sz w:val="21"/>
                <w:szCs w:val="21"/>
              </w:rPr>
              <w:t>/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3"/>
          <w:jc w:val="center"/>
        </w:trPr>
        <w:tc>
          <w:tcPr>
            <w:tcW w:w="171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cs="宋体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规划环境影响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szCs w:val="21"/>
              </w:rPr>
              <w:t>评价情况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jc w:val="center"/>
              <w:rPr>
                <w:rFonts w:cs="宋体"/>
                <w:szCs w:val="21"/>
              </w:rPr>
            </w:pPr>
            <w:r>
              <w:rPr>
                <w:rFonts w:cs="宋体" w:hint="eastAsia"/>
                <w:szCs w:val="21"/>
              </w:rPr>
              <w:t>/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1"/>
          <w:jc w:val="center"/>
        </w:trPr>
        <w:tc>
          <w:tcPr>
            <w:tcW w:w="8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规划及规划环境影响评价符合性分析</w:t>
            </w:r>
          </w:p>
        </w:tc>
        <w:tc>
          <w:tcPr>
            <w:tcW w:w="8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04"/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</w:tr>
      <w:tr>
        <w:tblPrEx>
          <w:tblW w:w="5000" w:type="pct"/>
          <w:jc w:val="center"/>
          <w:tblInd w:w="1" w:type="dxa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1"/>
          <w:jc w:val="center"/>
        </w:trPr>
        <w:tc>
          <w:tcPr>
            <w:tcW w:w="8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其他符合性分析</w:t>
            </w:r>
          </w:p>
        </w:tc>
        <w:tc>
          <w:tcPr>
            <w:tcW w:w="823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021"/>
              <w:rPr>
                <w:rFonts w:cs="Courier New"/>
                <w:kern w:val="2"/>
                <w:sz w:val="21"/>
                <w:lang w:val="en-US" w:eastAsia="zh-CN"/>
              </w:rPr>
            </w:pP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1、《产业结构调整指导目录》（</w:t>
            </w:r>
            <w:r>
              <w:rPr>
                <w:rFonts w:cs="Courier New"/>
                <w:kern w:val="2"/>
                <w:sz w:val="21"/>
                <w:lang w:val="en-US" w:eastAsia="zh-CN"/>
              </w:rPr>
              <w:t>2019</w:t>
            </w: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年本）</w:t>
            </w:r>
          </w:p>
          <w:p>
            <w:pPr>
              <w:pStyle w:val="04"/>
              <w:ind w:firstLine="420"/>
            </w:pPr>
            <w:r>
              <w:rPr>
                <w:rFonts w:hint="eastAsia"/>
              </w:rPr>
              <w:t>根据《产业结构调整指导目录（2011年本）（2013修正）》，</w:t>
            </w:r>
            <w:r>
              <w:t>本项目属于“</w:t>
            </w:r>
            <w:r>
              <w:rPr>
                <w:rFonts w:hint="eastAsia"/>
              </w:rPr>
              <w:t>鼓励类中第十一，石化化工</w:t>
            </w:r>
            <w:r>
              <w:t>”类别</w:t>
            </w:r>
            <w:r>
              <w:rPr>
                <w:rFonts w:hint="eastAsia"/>
              </w:rPr>
              <w:t>中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5、优质钾肥及各种专用肥、缓控释肥的生产，氮肥企业节能减排和原料结构调整，磷石膏综合利用技术开发与应用，10万吨/年及以上湿法磷酸净化生产装置</w:t>
            </w:r>
            <w:r>
              <w:rPr>
                <w:rFonts w:hint="eastAsia"/>
              </w:rPr>
              <w:t>”</w:t>
            </w:r>
            <w:r>
              <w:t>，不属于限制类和淘汰类，</w:t>
            </w:r>
            <w:r>
              <w:rPr>
                <w:rFonts w:hint="eastAsia"/>
              </w:rPr>
              <w:t>且项目已</w:t>
            </w:r>
            <w:r>
              <w:t>取得</w:t>
            </w:r>
            <w:r>
              <w:rPr>
                <w:rFonts w:hint="eastAsia"/>
              </w:rPr>
              <w:t>蒲城县发展和改革局文件</w:t>
            </w:r>
            <w:r>
              <w:t>《</w:t>
            </w:r>
            <w:r>
              <w:rPr>
                <w:rFonts w:hint="eastAsia"/>
              </w:rPr>
              <w:t>陕西省企业投资项目备案确认书</w:t>
            </w:r>
            <w:r>
              <w:t>》</w:t>
            </w:r>
            <w:r>
              <w:rPr>
                <w:rFonts w:hint="eastAsia"/>
              </w:rPr>
              <w:t>（见附件2）</w:t>
            </w:r>
            <w:r>
              <w:t>，因此，本项目符合国家及地方产业政策要求。</w:t>
            </w:r>
          </w:p>
          <w:p>
            <w:pPr>
              <w:pStyle w:val="04"/>
              <w:ind w:firstLine="0" w:firstLineChars="0"/>
              <w:rPr>
                <w:rFonts w:hint="eastAsia"/>
                <w:b/>
              </w:rPr>
            </w:pPr>
            <w:r>
              <w:rPr>
                <w:rFonts w:hint="eastAsia"/>
                <w:b/>
                <w:kern w:val="0"/>
              </w:rPr>
              <w:t>2、《陕西省人民政府关于加快实施</w:t>
            </w:r>
            <w:r>
              <w:rPr>
                <w:rFonts w:hint="eastAsia"/>
                <w:b/>
                <w:kern w:val="0"/>
              </w:rPr>
              <w:t>“</w:t>
            </w:r>
            <w:r>
              <w:rPr>
                <w:rFonts w:hint="eastAsia"/>
                <w:b/>
                <w:kern w:val="0"/>
              </w:rPr>
              <w:t>三线一单</w:t>
            </w:r>
            <w:r>
              <w:rPr>
                <w:rFonts w:hint="eastAsia"/>
                <w:b/>
                <w:kern w:val="0"/>
              </w:rPr>
              <w:t>”</w:t>
            </w:r>
            <w:r>
              <w:rPr>
                <w:rFonts w:hint="eastAsia"/>
                <w:b/>
                <w:kern w:val="0"/>
              </w:rPr>
              <w:t>生态环境分区管控的意见》</w:t>
            </w:r>
            <w:r>
              <w:rPr>
                <w:rFonts w:hint="eastAsia"/>
                <w:b/>
              </w:rPr>
              <w:t>（陕政发〔2020〕11号）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2020年12月24日陕西省人民政府发布《关于加快实施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三线一单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生态环境分区管控的意见》（陕政发〔2020〕11号），生态环境分区管控内容如下：</w:t>
            </w:r>
          </w:p>
          <w:p>
            <w:pPr>
              <w:pStyle w:val="04"/>
              <w:ind w:firstLine="420"/>
              <w:rPr>
                <w:rFonts w:eastAsia="微软雅黑" w:hint="eastAsia"/>
                <w:kern w:val="0"/>
              </w:rPr>
            </w:pPr>
            <w:r>
              <w:rPr>
                <w:rFonts w:hint="eastAsia"/>
                <w:kern w:val="0"/>
              </w:rPr>
              <w:t>划定环境管控单元。按照保护优先、衔接整合、有效管理的原则，将全省行政区域统筹划定优先保护、重点管控和一般管控三类环境管控单元1381个，实施生态环境分区管控。</w:t>
            </w:r>
          </w:p>
          <w:p>
            <w:pPr>
              <w:pStyle w:val="04"/>
              <w:ind w:firstLine="420"/>
              <w:rPr>
                <w:rFonts w:eastAsia="微软雅黑" w:hint="eastAsia"/>
                <w:kern w:val="0"/>
              </w:rPr>
            </w:pPr>
            <w:r>
              <w:rPr>
                <w:rFonts w:hint="eastAsia"/>
                <w:kern w:val="0"/>
              </w:rPr>
              <w:t>——</w:t>
            </w:r>
            <w:r>
              <w:rPr>
                <w:rFonts w:hint="eastAsia"/>
                <w:kern w:val="0"/>
              </w:rPr>
              <w:t>优先保护单元。指以生态环境保护为主的区域，主要包括生态保护红线、自然保护地、集中式饮用水水源保护区等生态功能重要区、生态环境敏感区。全省划分优先保护单元895个，面积8.47万平方公里，占全省国土面积的41.2%，主要分布在秦巴山区、黄河流域重点生态功能区等。</w:t>
            </w:r>
          </w:p>
          <w:p>
            <w:pPr>
              <w:pStyle w:val="04"/>
              <w:spacing w:after="0"/>
              <w:ind w:firstLine="420"/>
              <w:rPr>
                <w:rFonts w:eastAsia="微软雅黑" w:hint="eastAsia"/>
                <w:kern w:val="0"/>
              </w:rPr>
            </w:pPr>
            <w:r>
              <w:rPr>
                <w:rFonts w:hint="eastAsia"/>
                <w:kern w:val="0"/>
              </w:rPr>
              <w:t>——</w:t>
            </w:r>
          </w:p>
        </w:tc>
      </w:tr>
    </w:tbl>
    <w:p>
      <w:pPr>
        <w:sectPr>
          <w:footerReference w:type="default" r:id="rId5"/>
          <w:type w:val="nextPage"/>
          <w:pgSz w:w="11906" w:h="16838"/>
          <w:pgMar w:top="1418" w:right="1418" w:bottom="1418" w:left="1418" w:header="851" w:footer="992" w:gutter="0"/>
          <w:pgNumType w:start="2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Ind w:w="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67"/>
        <w:gridCol w:w="8234"/>
      </w:tblGrid>
      <w:tr>
        <w:tblPrEx>
          <w:tblW w:w="5000" w:type="pct"/>
          <w:jc w:val="center"/>
          <w:tblInd w:w="1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1"/>
          <w:jc w:val="center"/>
        </w:trPr>
        <w:tc>
          <w:tcPr>
            <w:tcW w:w="8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04"/>
              <w:spacing w:before="0"/>
              <w:ind w:firstLine="420"/>
              <w:rPr>
                <w:rFonts w:eastAsia="微软雅黑" w:hint="eastAsia"/>
                <w:kern w:val="0"/>
              </w:rPr>
            </w:pPr>
            <w:r>
              <w:rPr>
                <w:rFonts w:hint="eastAsia"/>
                <w:kern w:val="0"/>
              </w:rPr>
              <w:t>重点管控单元。指涉及大气、水、土壤、自然资源等资源环境要素重点管控的区域，主要包括城镇规划区、重点开发区等开发强度高和污染物排放强度大的区域。全省划分重点管控单元406个，面积4.88万平方公里，占全省国土面积的23.72%，主要分布在关中平原、陕北能源重化工产业聚集区、陕南重点城镇区以及环境问题相对集中的区域。</w:t>
            </w:r>
          </w:p>
          <w:p>
            <w:pPr>
              <w:pStyle w:val="04"/>
              <w:ind w:firstLine="420"/>
              <w:rPr>
                <w:rFonts w:eastAsia="微软雅黑" w:hint="eastAsia"/>
                <w:kern w:val="0"/>
              </w:rPr>
            </w:pPr>
            <w:r>
              <w:rPr>
                <w:rFonts w:hint="eastAsia"/>
                <w:kern w:val="0"/>
              </w:rPr>
              <w:t>——</w:t>
            </w:r>
            <w:r>
              <w:rPr>
                <w:rFonts w:hint="eastAsia"/>
                <w:kern w:val="0"/>
              </w:rPr>
              <w:t>一般管控单元。指除优先保护单元、重点管控单元以外的其他区域。全省划分一般管控单元80个，面积7.21万平方公里，占全省国土面积的35.08%。</w:t>
            </w:r>
          </w:p>
          <w:p>
            <w:pPr>
              <w:pStyle w:val="04"/>
              <w:ind w:firstLine="420"/>
              <w:rPr>
                <w:rFonts w:eastAsia="微软雅黑" w:hint="eastAsia"/>
                <w:kern w:val="0"/>
              </w:rPr>
            </w:pPr>
            <w:r>
              <w:rPr>
                <w:rFonts w:hint="eastAsia"/>
                <w:kern w:val="0"/>
              </w:rPr>
              <w:t>（五）明确生态环境分区管控要求。确定优先保护、重点管控、一般管控单元的总体管控要求。优先保护单元以生态优先为原则，突出空间布局约束，依法禁止或限制大规模、高强度工业开发和城镇建设活动，开展生态功能受损区域生态保护修复活动，确保重要生态环境功能不降低。重点管控单元以提升资源利用效率、加强污染物减排治理和环境风险防控为重点，解决突出生态环境问题。一般管控单元主要落实生态环境保护基本要求。在此基础上，按照关中地区发展先进制造业现代服务业、陕北地区能源化工转型升级、陕南地区做强做大绿色生态产业战略定位，聚焦关中大气复合型污染、陕北水环境污染和生态系统脆弱、陕南矿区生态环境保护和重点流域水质保护等问题，确定区域总体环境管控要求。</w:t>
            </w:r>
          </w:p>
          <w:p>
            <w:pPr>
              <w:pStyle w:val="04"/>
              <w:ind w:firstLine="420"/>
              <w:rPr>
                <w:rFonts w:hint="eastAsia"/>
                <w:szCs w:val="20"/>
              </w:rPr>
            </w:pPr>
            <w:r>
              <w:rPr>
                <w:rFonts w:hint="eastAsia"/>
                <w:kern w:val="0"/>
              </w:rPr>
              <w:t>（六）制定生态环境准入清单。围绕</w:t>
            </w:r>
            <w:r>
              <w:rPr>
                <w:rFonts w:hint="eastAsia"/>
                <w:kern w:val="0"/>
              </w:rPr>
              <w:t>“</w:t>
            </w:r>
            <w:r>
              <w:rPr>
                <w:rFonts w:hint="eastAsia"/>
                <w:kern w:val="0"/>
              </w:rPr>
              <w:t>空间布局约束、污染物排放管控、环境风险防控、资源利用效率</w:t>
            </w:r>
            <w:r>
              <w:rPr>
                <w:rFonts w:hint="eastAsia"/>
                <w:kern w:val="0"/>
              </w:rPr>
              <w:t>”</w:t>
            </w:r>
            <w:r>
              <w:rPr>
                <w:rFonts w:hint="eastAsia"/>
                <w:kern w:val="0"/>
              </w:rPr>
              <w:t>等四个方面，建立由省域、重点区域、市域及具体环境管控单元构成的</w:t>
            </w:r>
            <w:r>
              <w:rPr>
                <w:rFonts w:hint="eastAsia"/>
                <w:kern w:val="0"/>
              </w:rPr>
              <w:t>“</w:t>
            </w:r>
            <w:r>
              <w:rPr>
                <w:rFonts w:hint="eastAsia"/>
                <w:kern w:val="0"/>
              </w:rPr>
              <w:t>1+3+13+X</w:t>
            </w:r>
            <w:r>
              <w:rPr>
                <w:rFonts w:hint="eastAsia"/>
                <w:kern w:val="0"/>
              </w:rPr>
              <w:t>”</w:t>
            </w:r>
            <w:r>
              <w:rPr>
                <w:rFonts w:hint="eastAsia"/>
                <w:kern w:val="0"/>
              </w:rPr>
              <w:t>生态环境分区管控体系，包括全省</w:t>
            </w:r>
            <w:r>
              <w:rPr>
                <w:rFonts w:hint="eastAsia"/>
                <w:kern w:val="0"/>
              </w:rPr>
              <w:t>“</w:t>
            </w:r>
            <w:r>
              <w:rPr>
                <w:rFonts w:hint="eastAsia"/>
                <w:kern w:val="0"/>
              </w:rPr>
              <w:t>1</w:t>
            </w:r>
            <w:r>
              <w:rPr>
                <w:rFonts w:hint="eastAsia"/>
                <w:kern w:val="0"/>
              </w:rPr>
              <w:t>”</w:t>
            </w:r>
            <w:r>
              <w:rPr>
                <w:rFonts w:hint="eastAsia"/>
                <w:kern w:val="0"/>
              </w:rPr>
              <w:t>个总体管控要求，关中、陕北、陕南等</w:t>
            </w:r>
            <w:r>
              <w:rPr>
                <w:rFonts w:hint="eastAsia"/>
                <w:kern w:val="0"/>
              </w:rPr>
              <w:t>“</w:t>
            </w:r>
            <w:r>
              <w:rPr>
                <w:rFonts w:hint="eastAsia"/>
                <w:kern w:val="0"/>
              </w:rPr>
              <w:t>3</w:t>
            </w:r>
            <w:r>
              <w:rPr>
                <w:rFonts w:hint="eastAsia"/>
                <w:kern w:val="0"/>
              </w:rPr>
              <w:t>”</w:t>
            </w:r>
            <w:r>
              <w:rPr>
                <w:rFonts w:hint="eastAsia"/>
                <w:kern w:val="0"/>
              </w:rPr>
              <w:t>个重点区域管控要求，</w:t>
            </w:r>
            <w:r>
              <w:rPr>
                <w:rFonts w:hint="eastAsia"/>
                <w:kern w:val="0"/>
              </w:rPr>
              <w:t>“</w:t>
            </w:r>
            <w:r>
              <w:rPr>
                <w:rFonts w:hint="eastAsia"/>
                <w:kern w:val="0"/>
              </w:rPr>
              <w:t>13</w:t>
            </w:r>
            <w:r>
              <w:rPr>
                <w:rFonts w:hint="eastAsia"/>
                <w:kern w:val="0"/>
              </w:rPr>
              <w:t>”</w:t>
            </w:r>
            <w:r>
              <w:rPr>
                <w:rFonts w:hint="eastAsia"/>
                <w:kern w:val="0"/>
              </w:rPr>
              <w:t>个市（区）管控要求，以及全省</w:t>
            </w:r>
            <w:r>
              <w:rPr>
                <w:rFonts w:hint="eastAsia"/>
                <w:kern w:val="0"/>
              </w:rPr>
              <w:t>“</w:t>
            </w:r>
            <w:r>
              <w:rPr>
                <w:rFonts w:hint="eastAsia"/>
                <w:kern w:val="0"/>
              </w:rPr>
              <w:t>X</w:t>
            </w:r>
            <w:r>
              <w:rPr>
                <w:rFonts w:hint="eastAsia"/>
                <w:kern w:val="0"/>
              </w:rPr>
              <w:t>”</w:t>
            </w:r>
            <w:r>
              <w:rPr>
                <w:rFonts w:hint="eastAsia"/>
                <w:kern w:val="0"/>
              </w:rPr>
              <w:t>个（</w:t>
            </w:r>
            <w:r>
              <w:rPr>
                <w:rFonts w:hint="eastAsia"/>
                <w:szCs w:val="20"/>
              </w:rPr>
              <w:t>现划定1381个）环境管控单元的生态环境准入清单。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根据陕西省生态环境管控单元分布图（见附图5），本项目位于渭南市蒲城县三兴村，属于重点管控单元，本项目生产过程废气、噪声、废水经合理处置后均达标排放，固废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零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排放，不会对周围环境产生明显影响，符合环境质量底线要求。项目运营过程中消耗一定量电能、水资源等，消耗资源相对与区域的资源赋存总量较少，符合资源利用上线要求。项目建设符合国家相关政策要求，不在环境准入负面清单内。故本项目符合《关于加快实施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三线一单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生态环境分区管控的意见》（陕政发〔2020〕11号）相关要求。</w:t>
            </w:r>
          </w:p>
          <w:p>
            <w:pPr>
              <w:pStyle w:val="04"/>
              <w:ind w:firstLine="0" w:firstLineChars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3.《关于切实加强风险防范严格环境影响评价管理的通知》（环发[2012]98号）</w:t>
            </w:r>
          </w:p>
          <w:p>
            <w:pPr>
              <w:pStyle w:val="04"/>
              <w:spacing w:after="0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根据《关于切实加强风险防范严格环境影响评价管理的通知》（环发[2012]98号）中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四、进一步强化环境影响评价全过程监管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“</w:t>
            </w:r>
          </w:p>
        </w:tc>
      </w:tr>
    </w:tbl>
    <w:p>
      <w:pPr>
        <w:sectPr>
          <w:footerReference w:type="default" r:id="rId6"/>
          <w:type w:val="nextPage"/>
          <w:pgSz w:w="11906" w:h="16838"/>
          <w:pgMar w:top="1418" w:right="1418" w:bottom="1418" w:left="1418" w:header="851" w:footer="992" w:gutter="0"/>
          <w:pgNumType w:start="3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Ind w:w="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67"/>
        <w:gridCol w:w="8234"/>
      </w:tblGrid>
      <w:tr>
        <w:tblPrEx>
          <w:tblW w:w="5000" w:type="pct"/>
          <w:jc w:val="center"/>
          <w:tblInd w:w="1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21"/>
          <w:jc w:val="center"/>
        </w:trPr>
        <w:tc>
          <w:tcPr>
            <w:tcW w:w="8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04"/>
              <w:spacing w:before="0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化工石化、有色冶炼、制浆造纸等可能引发环境风险的项目，在符合国家产业政策和清洁生产水平要求、满足污染物排放标准以及污染物排放总量控制指标的前提下，必须在依法设立、环境保护基础设施齐全并经规划环评的产业园区内布设。在环境风险防控重点区域如居民集中区、医院和学校附近、重要水源涵养生态功能区等，以及因环境污染导致环境质量不能稳定达标的区域内，禁止新建或扩建可能引发环境风险的项目。</w:t>
            </w:r>
            <w:r>
              <w:rPr>
                <w:rFonts w:hint="eastAsia"/>
              </w:rPr>
              <w:t>”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查阅中华人民共和国生态环境部部长信箱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关于</w:t>
            </w:r>
            <w:r>
              <w:t>新建加工硫酸铵颗粒肥项目是否必须进园入区的回复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“</w:t>
            </w:r>
            <w:r>
              <w:t>硫酸铵颗粒生产线项目主要工艺为“挤压造粒-筛分-烘干-筛分”，不涉及化学反应。我部未专门针对此类项目明确提出“进园入区”要求。</w:t>
            </w:r>
            <w:r>
              <w:rPr>
                <w:rFonts w:hint="eastAsia"/>
              </w:rPr>
              <w:t>”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本项目为复合肥料制造项目，产品包含复合肥（颗粒肥）、液体肥，主要工艺为简单混合分装，不发生化学反应，与</w:t>
            </w:r>
            <w:r>
              <w:rPr>
                <w:rFonts w:hint="eastAsia"/>
              </w:rPr>
              <w:t>“</w:t>
            </w:r>
            <w:r>
              <w:t>新建加工硫酸铵颗粒肥项目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同属于不发生化学反应的化工项目。故参照环保部部长信箱回复，本项目选址位于蒲城县城关街道办三兴村，符合《关于切实加强风险防范严格环境影响评价管理的通知》（环发[2012]98号）。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</w:pPr>
          </w:p>
        </w:tc>
      </w:tr>
    </w:tbl>
    <w:p>
      <w:pPr>
        <w:sectPr>
          <w:footerReference w:type="default" r:id="rId7"/>
          <w:type w:val="nextPage"/>
          <w:pgSz w:w="11906" w:h="16838"/>
          <w:pgMar w:top="1418" w:right="1418" w:bottom="1418" w:left="1418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pStyle w:val="01"/>
        <w:pageBreakBefore/>
        <w:rPr>
          <w:rFonts w:hint="eastAsia"/>
        </w:rPr>
      </w:pPr>
      <w:r>
        <w:rPr>
          <w:rFonts w:hint="eastAsia"/>
        </w:rPr>
        <w:t>二、建设项目工程分析</w:t>
      </w:r>
    </w:p>
    <w:tbl>
      <w:tblPr>
        <w:tblStyle w:val="TableNormal"/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85" w:type="dxa"/>
          <w:bottom w:w="0" w:type="dxa"/>
          <w:right w:w="85" w:type="dxa"/>
        </w:tblCellMar>
        <w:tblLook w:val="0000"/>
      </w:tblPr>
      <w:tblGrid>
        <w:gridCol w:w="705"/>
        <w:gridCol w:w="8535"/>
      </w:tblGrid>
      <w:tr>
        <w:tblPrEx>
          <w:tblW w:w="5000" w:type="pct"/>
          <w:jc w:val="center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85" w:type="dxa"/>
            <w:bottom w:w="0" w:type="dxa"/>
            <w:right w:w="85" w:type="dxa"/>
          </w:tblCellMar>
          <w:tblLook w:val="0000"/>
        </w:tblPrEx>
        <w:trPr>
          <w:jc w:val="center"/>
        </w:trPr>
        <w:tc>
          <w:tcPr>
            <w:tcW w:w="705" w:type="dxa"/>
            <w:vAlign w:val="center"/>
          </w:tcPr>
          <w:p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建设内容</w:t>
            </w:r>
          </w:p>
        </w:tc>
        <w:tc>
          <w:tcPr>
            <w:tcW w:w="8535" w:type="dxa"/>
          </w:tcPr>
          <w:p>
            <w:pPr>
              <w:pStyle w:val="021"/>
              <w:rPr>
                <w:rFonts w:cs="Courier New" w:hint="eastAsia"/>
                <w:kern w:val="2"/>
                <w:sz w:val="21"/>
                <w:lang w:val="en-US" w:eastAsia="zh-CN"/>
              </w:rPr>
            </w:pP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1、项目由来</w:t>
            </w:r>
          </w:p>
          <w:p>
            <w:pPr>
              <w:pStyle w:val="04"/>
              <w:ind w:firstLine="420"/>
            </w:pPr>
            <w:r>
              <w:t>蒲城县嘉禾农化有限公司于2005年12月5号注册成立，公司注册资金1000万元，位于陕西省渭南市蒲城县重泉南路61号，蒲城县嘉禾农化有限公司于2019年5月27号将公司名称变更为陕西正宏生物科技有限公司（见附件</w:t>
            </w:r>
            <w:r>
              <w:rPr>
                <w:rFonts w:hint="eastAsia"/>
              </w:rPr>
              <w:t>6</w:t>
            </w:r>
            <w:r>
              <w:t>）。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t>2019年9月27日</w:t>
            </w:r>
            <w:r>
              <w:rPr>
                <w:rFonts w:hint="eastAsia"/>
              </w:rPr>
              <w:t>，企业取得《</w:t>
            </w:r>
            <w:r>
              <w:t>蒲城县嘉禾农化有限公司年产40万吨水溶性肥料项目</w:t>
            </w:r>
            <w:r>
              <w:rPr>
                <w:rFonts w:hint="eastAsia"/>
              </w:rPr>
              <w:t>环境影响报告表》环评批复（蒲环函[2019]284号）。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2020</w:t>
            </w:r>
            <w:r>
              <w:t>年</w:t>
            </w:r>
            <w:r>
              <w:rPr>
                <w:rFonts w:hint="eastAsia"/>
              </w:rPr>
              <w:t>6</w:t>
            </w:r>
            <w:r>
              <w:t>月</w:t>
            </w:r>
            <w:r>
              <w:rPr>
                <w:rFonts w:hint="eastAsia"/>
              </w:rPr>
              <w:t>8</w:t>
            </w:r>
            <w:r>
              <w:t>日</w:t>
            </w:r>
            <w:r>
              <w:rPr>
                <w:rFonts w:hint="eastAsia"/>
              </w:rPr>
              <w:t>，</w:t>
            </w:r>
            <w:r>
              <w:t>根据《固定污染源排污许可证分类管理名录》（2019年版），</w:t>
            </w:r>
            <w:r>
              <w:rPr>
                <w:rFonts w:hint="eastAsia"/>
              </w:rPr>
              <w:t>企业</w:t>
            </w:r>
            <w:r>
              <w:t>取得</w:t>
            </w:r>
            <w:r>
              <w:rPr>
                <w:rFonts w:hint="eastAsia"/>
              </w:rPr>
              <w:t>固定污染源排污登记回执（</w:t>
            </w:r>
            <w:r>
              <w:t>见附件</w:t>
            </w:r>
            <w:r>
              <w:rPr>
                <w:rFonts w:hint="eastAsia"/>
              </w:rPr>
              <w:t>8</w:t>
            </w:r>
            <w:r>
              <w:t>），许可证编号</w:t>
            </w:r>
            <w:r>
              <w:rPr>
                <w:rFonts w:hint="eastAsia"/>
              </w:rPr>
              <w:t>：91610526779943829C001Z。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2021年7月10日，《</w:t>
            </w:r>
            <w:r>
              <w:t>蒲城县嘉禾农化有限公司年产40万吨水溶性肥料项目</w:t>
            </w:r>
            <w:r>
              <w:rPr>
                <w:rFonts w:hint="eastAsia"/>
              </w:rPr>
              <w:t>环境影响报告表》通过验收，并在全国验收平台进行登记。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现有工程生产规模为</w:t>
            </w:r>
            <w:r>
              <w:t>40万吨水溶性肥料</w:t>
            </w:r>
            <w:r>
              <w:rPr>
                <w:rFonts w:hint="eastAsia"/>
              </w:rPr>
              <w:t>，产品包含</w:t>
            </w:r>
            <w:r>
              <w:t>腐殖酸水溶复合肥、含腐殖酸水溶液体肥、大量元素水溶复合肥、大量元素水溶液体肥共</w:t>
            </w:r>
            <w:r>
              <w:rPr>
                <w:rFonts w:hint="eastAsia"/>
              </w:rPr>
              <w:t>4种</w:t>
            </w:r>
            <w:r>
              <w:t>产品</w:t>
            </w:r>
            <w:r>
              <w:rPr>
                <w:rFonts w:hint="eastAsia"/>
              </w:rPr>
              <w:t>，设置2个生产车间，其中1#车间设置2台常温搅拌罐，1台颗粒肥混配机；2#车间设置2台常温搅拌罐。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2021年，根据市场行情，原生产工艺中，常温搅拌罐搅拌时间长，且颗粒肥溶解不充分，导致产品质量降低，且人工分装耗时耗力，劳动效率低，无法满足肥料行业时效性产品需求，故企业拟对现有工程进行技术提升改造，主要拆除现有工程车间内2台常温搅拌罐，并在新增车间内更换为2台加热功能液体肥搅拌罐，同时配套设置1个自动灌装车间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技改工程主要建设内容包好：新增占地7亩，进行厂房建设并全厂调整布局、设备提升改造，本次技改新增建设内容包括办公用房、仓库、生产车间等，新增总建筑面积3000m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，技改后总规模保持40万t/a，本次技改总投资2050万元。</w:t>
            </w:r>
          </w:p>
          <w:p>
            <w:pPr>
              <w:pStyle w:val="04"/>
              <w:ind w:firstLine="420"/>
            </w:pPr>
            <w:r>
              <w:rPr>
                <w:rFonts w:hint="eastAsia"/>
              </w:rPr>
              <w:t>该项目已取得备案证明（</w:t>
            </w:r>
            <w:r>
              <w:t>2105-610526-04-02-810822</w:t>
            </w:r>
            <w:r>
              <w:rPr>
                <w:rFonts w:hint="eastAsia"/>
              </w:rPr>
              <w:t>）（附件2）。</w:t>
            </w:r>
          </w:p>
          <w:p>
            <w:pPr>
              <w:pStyle w:val="04"/>
              <w:ind w:firstLine="420"/>
            </w:pPr>
            <w:r>
              <w:rPr>
                <w:rFonts w:hint="eastAsia"/>
              </w:rPr>
              <w:t>按照《中华人民共和国环境保护法》（2015.1.1）、《中华人民共和国环境影响评价法》（2018.12.29）以及《建设项目环境保护管理条例》（国令第682号）的要求，本项目应进行环境影响评价。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t>经查阅《建设项目环境影响评价分类管理名录》（</w:t>
            </w:r>
            <w:r>
              <w:rPr>
                <w:rFonts w:hint="eastAsia"/>
              </w:rPr>
              <w:t>2021年版</w:t>
            </w:r>
            <w:r>
              <w:t>），</w:t>
            </w:r>
            <w:r>
              <w:rPr>
                <w:rFonts w:hint="eastAsia"/>
              </w:rPr>
              <w:t>本项目属于</w:t>
            </w:r>
            <w:r>
              <w:t>第</w:t>
            </w:r>
            <w:r>
              <w:rPr>
                <w:rFonts w:cs="宋体" w:hint="eastAsia"/>
              </w:rPr>
              <w:t>二十三</w:t>
            </w:r>
            <w:r>
              <w:t>条“</w:t>
            </w:r>
            <w:r>
              <w:rPr>
                <w:rFonts w:cs="宋体" w:hint="eastAsia"/>
              </w:rPr>
              <w:t>化学原料和化学制品制造业26</w:t>
            </w:r>
            <w:r>
              <w:t>”中</w:t>
            </w:r>
            <w:r>
              <w:rPr>
                <w:rFonts w:hint="eastAsia"/>
              </w:rPr>
              <w:t>“</w:t>
            </w:r>
            <w:r>
              <w:rPr>
                <w:rFonts w:cs="宋体" w:hint="eastAsia"/>
              </w:rPr>
              <w:t>45肥料制造262：其他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，应编制环境影响</w:t>
            </w:r>
            <w:r>
              <w:t>报告表。</w:t>
            </w:r>
          </w:p>
          <w:p>
            <w:pPr>
              <w:pStyle w:val="04"/>
              <w:ind w:firstLine="420"/>
            </w:pPr>
            <w:r>
              <w:rPr>
                <w:rFonts w:hint="eastAsia"/>
              </w:rPr>
              <w:t>受陕西正宏生物科技有限公司委托（委托书见附件1），陕西崇尚新环境工程有限公司承担了该项目的环境影响评价工作。我单位通过现场踏勘，根据国家和陕西省建设项目管理的有关规定，依据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达标排放、总量控制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的原则和《环境影响评价技术导则》的相关规定，本着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客观、公正、科学、规范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的精神，编制完成了本项目的环境影响报告表。</w:t>
            </w:r>
          </w:p>
        </w:tc>
      </w:tr>
    </w:tbl>
    <w:p>
      <w:pPr>
        <w:sectPr>
          <w:footerReference w:type="default" r:id="rId8"/>
          <w:type w:val="nextPage"/>
          <w:pgSz w:w="11906" w:h="16838"/>
          <w:pgMar w:top="1418" w:right="1418" w:bottom="1418" w:left="1418" w:header="851" w:footer="992" w:gutter="0"/>
          <w:pgNumType w:start="5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85" w:type="dxa"/>
          <w:bottom w:w="0" w:type="dxa"/>
          <w:right w:w="85" w:type="dxa"/>
        </w:tblCellMar>
        <w:tblLook w:val="0000"/>
      </w:tblPr>
      <w:tblGrid>
        <w:gridCol w:w="705"/>
        <w:gridCol w:w="8535"/>
      </w:tblGrid>
      <w:tr>
        <w:tblPrEx>
          <w:tblW w:w="5000" w:type="pct"/>
          <w:jc w:val="center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85" w:type="dxa"/>
            <w:bottom w:w="0" w:type="dxa"/>
            <w:right w:w="85" w:type="dxa"/>
          </w:tblCellMar>
          <w:tblLook w:val="0000"/>
        </w:tblPrEx>
        <w:trPr>
          <w:jc w:val="center"/>
        </w:trPr>
        <w:tc>
          <w:tcPr>
            <w:tcW w:w="705" w:type="dxa"/>
            <w:vAlign w:val="center"/>
          </w:tcPr>
          <w:p/>
        </w:tc>
        <w:tc>
          <w:tcPr>
            <w:tcW w:w="8535" w:type="dxa"/>
          </w:tcPr>
          <w:p>
            <w:pPr>
              <w:pStyle w:val="021"/>
              <w:rPr>
                <w:rFonts w:cs="Courier New" w:hint="eastAsia"/>
                <w:kern w:val="2"/>
                <w:sz w:val="21"/>
                <w:lang w:val="en-US" w:eastAsia="zh-CN"/>
              </w:rPr>
            </w:pP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2、项目基本情况</w:t>
            </w:r>
          </w:p>
          <w:p>
            <w:pPr>
              <w:pStyle w:val="04"/>
              <w:ind w:firstLine="420"/>
              <w:rPr>
                <w:rFonts w:hint="eastAsia"/>
                <w:kern w:val="0"/>
              </w:rPr>
            </w:pPr>
            <w:r>
              <w:t>项目名称：</w:t>
            </w:r>
            <w:r>
              <w:rPr>
                <w:rFonts w:hint="eastAsia"/>
              </w:rPr>
              <w:t>陕西正宏生物水溶性肥料技术改造项目</w:t>
            </w:r>
          </w:p>
          <w:p>
            <w:pPr>
              <w:pStyle w:val="04"/>
              <w:ind w:firstLine="420"/>
            </w:pPr>
            <w:r>
              <w:t>建设单位：</w:t>
            </w:r>
            <w:r>
              <w:rPr>
                <w:rFonts w:hint="eastAsia"/>
              </w:rPr>
              <w:t>陕西正宏生物科技有限公司</w:t>
            </w:r>
          </w:p>
          <w:p>
            <w:pPr>
              <w:pStyle w:val="04"/>
              <w:ind w:firstLine="420"/>
            </w:pPr>
            <w:r>
              <w:t>建设性质：</w:t>
            </w:r>
            <w:r>
              <w:rPr>
                <w:rFonts w:hint="eastAsia"/>
              </w:rPr>
              <w:t>技改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建设地点：陕西省渭南市蒲城县紫荆街道办事处三兴村五组村西10米</w:t>
            </w:r>
            <w:r>
              <w:t>（</w:t>
            </w:r>
            <w:r>
              <w:rPr>
                <w:rFonts w:hint="eastAsia"/>
                <w:u w:val="single"/>
              </w:rPr>
              <w:t>109</w:t>
            </w:r>
            <w:r>
              <w:t>度</w:t>
            </w:r>
            <w:r>
              <w:rPr>
                <w:rFonts w:hint="eastAsia"/>
                <w:u w:val="single"/>
              </w:rPr>
              <w:t>38</w:t>
            </w:r>
            <w:r>
              <w:t>分</w:t>
            </w:r>
            <w:r>
              <w:rPr>
                <w:rFonts w:hint="eastAsia"/>
                <w:u w:val="single"/>
              </w:rPr>
              <w:t>54.710</w:t>
            </w:r>
            <w:r>
              <w:t>秒，</w:t>
            </w:r>
            <w:r>
              <w:rPr>
                <w:u w:val="single"/>
              </w:rPr>
              <w:t>34</w:t>
            </w:r>
            <w:r>
              <w:t>度</w:t>
            </w:r>
            <w:r>
              <w:rPr>
                <w:rFonts w:hint="eastAsia"/>
                <w:u w:val="single"/>
              </w:rPr>
              <w:t>55</w:t>
            </w:r>
            <w:r>
              <w:t>分</w:t>
            </w:r>
            <w:r>
              <w:rPr>
                <w:rFonts w:hint="eastAsia"/>
                <w:u w:val="single"/>
              </w:rPr>
              <w:t>33.530</w:t>
            </w:r>
            <w:r>
              <w:t>秒）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建设内容及规模：本项目属于技改，主要新增占地7亩，进行厂房建设并全厂调整布局、设备提升改造，本次技改新增建设内容包括办公用房、仓库、生产车间等，新增总建筑面积3000m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，技改后总规模保持40万t/a，本次技改总投资2050万元。</w:t>
            </w:r>
          </w:p>
          <w:p>
            <w:pPr>
              <w:pStyle w:val="021"/>
              <w:rPr>
                <w:rFonts w:cs="Courier New" w:hint="eastAsia"/>
                <w:kern w:val="2"/>
                <w:sz w:val="21"/>
                <w:lang w:val="en-US" w:eastAsia="zh-CN"/>
              </w:rPr>
            </w:pP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3、地理位置与周围环境</w:t>
            </w:r>
          </w:p>
          <w:p>
            <w:pPr>
              <w:pStyle w:val="04"/>
              <w:ind w:firstLine="420"/>
            </w:pPr>
            <w:r>
              <w:rPr>
                <w:rFonts w:hint="eastAsia"/>
              </w:rPr>
              <w:t>本项目位于陕西省渭南市蒲城县紫荆街道办事处三兴村五组村西10米。地理位置图见附图1。</w:t>
            </w:r>
          </w:p>
          <w:p>
            <w:pPr>
              <w:pStyle w:val="04"/>
              <w:ind w:firstLine="420"/>
            </w:pPr>
            <w:r>
              <w:rPr>
                <w:rFonts w:hint="eastAsia"/>
              </w:rPr>
              <w:t>项目所在地周围环境：项目东侧紧邻废弃三兴村大队部（空房），东侧15m为三兴村居民区；南侧紧邻坡洞路，隔路为耕地；西侧紧邻空地，西侧35m处为渭蒲高速；北侧为耕地。项目区域交通便利。项目周围环境示意图见附图2。</w:t>
            </w:r>
          </w:p>
          <w:p>
            <w:pPr>
              <w:pStyle w:val="021"/>
              <w:rPr>
                <w:rFonts w:cs="Courier New" w:hint="eastAsia"/>
                <w:kern w:val="2"/>
                <w:sz w:val="21"/>
                <w:lang w:val="en-US" w:eastAsia="zh-CN"/>
              </w:rPr>
            </w:pP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4、工程组成</w:t>
            </w:r>
          </w:p>
          <w:p>
            <w:pPr>
              <w:pStyle w:val="04"/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本项目工程组成见表1。</w:t>
            </w:r>
          </w:p>
          <w:p>
            <w:pPr>
              <w:pStyle w:val="05"/>
              <w:ind w:firstLine="422"/>
              <w:rPr>
                <w:rFonts w:cs="Courier New" w:hint="eastAsia"/>
                <w:lang w:val="en-US" w:eastAsia="zh-CN"/>
              </w:rPr>
            </w:pPr>
            <w:r>
              <w:rPr>
                <w:rFonts w:cs="Courier New"/>
                <w:lang w:val="en-US" w:eastAsia="zh-CN"/>
              </w:rPr>
              <w:t xml:space="preserve">表 </w:t>
            </w:r>
            <w:r>
              <w:rPr>
                <w:rFonts w:cs="Courier New"/>
                <w:lang w:val="en-US" w:eastAsia="zh-CN"/>
              </w:rPr>
              <w:fldChar w:fldCharType="begin"/>
            </w:r>
            <w:r>
              <w:rPr>
                <w:rFonts w:cs="Courier New"/>
                <w:lang w:val="en-US" w:eastAsia="zh-CN"/>
              </w:rPr>
              <w:instrText xml:space="preserve"> SEQ 表 \* ARABIC </w:instrText>
            </w:r>
            <w:r>
              <w:rPr>
                <w:rFonts w:cs="Courier New"/>
                <w:lang w:val="en-US" w:eastAsia="zh-CN"/>
              </w:rPr>
              <w:fldChar w:fldCharType="separate"/>
            </w:r>
            <w:r>
              <w:rPr>
                <w:rFonts w:cs="Courier New"/>
                <w:lang w:val="en-US" w:eastAsia="zh-CN"/>
              </w:rPr>
              <w:t>1</w:t>
            </w:r>
            <w:r>
              <w:rPr>
                <w:rFonts w:cs="Courier New"/>
                <w:lang w:val="en-US" w:eastAsia="zh-CN"/>
              </w:rPr>
              <w:fldChar w:fldCharType="end"/>
            </w:r>
            <w:r>
              <w:rPr>
                <w:rFonts w:cs="Courier New"/>
                <w:lang w:val="en-US" w:eastAsia="zh-CN"/>
              </w:rPr>
              <w:t xml:space="preserve">  </w:t>
            </w:r>
            <w:r>
              <w:rPr>
                <w:rFonts w:cs="Courier New" w:hint="eastAsia"/>
                <w:lang w:val="en-US" w:eastAsia="zh-CN"/>
              </w:rPr>
              <w:t xml:space="preserve">      </w:t>
            </w:r>
            <w:r>
              <w:rPr>
                <w:rFonts w:cs="Courier New"/>
                <w:lang w:val="en-US" w:eastAsia="zh-CN"/>
              </w:rPr>
              <w:t xml:space="preserve">  </w:t>
            </w:r>
            <w:r>
              <w:rPr>
                <w:rFonts w:cs="Courier New" w:hint="eastAsia"/>
                <w:lang w:val="en-US" w:eastAsia="zh-CN"/>
              </w:rPr>
              <w:t xml:space="preserve">           项目工程组成</w:t>
            </w:r>
          </w:p>
          <w:tbl>
            <w:tblPr>
              <w:tblStyle w:val="TableNormal"/>
              <w:tblW w:w="5000" w:type="pct"/>
              <w:jc w:val="center"/>
              <w:tblBorders>
                <w:top w:val="single" w:sz="8" w:space="0" w:color="000000"/>
                <w:left w:val="none" w:sz="0" w:space="0" w:color="auto"/>
                <w:bottom w:val="single" w:sz="8" w:space="0" w:color="000000"/>
                <w:right w:val="none" w:sz="0" w:space="0" w:color="auto"/>
                <w:insideH w:val="single" w:sz="6" w:space="0" w:color="000000"/>
                <w:insideV w:val="single" w:sz="6" w:spac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563"/>
              <w:gridCol w:w="150"/>
              <w:gridCol w:w="1134"/>
              <w:gridCol w:w="2268"/>
              <w:gridCol w:w="2835"/>
              <w:gridCol w:w="1415"/>
            </w:tblGrid>
            <w:tr>
              <w:tblPrEx>
                <w:tblW w:w="5000" w:type="pct"/>
                <w:jc w:val="center"/>
                <w:tblBorders>
                  <w:top w:val="single" w:sz="8" w:space="0" w:color="000000"/>
                  <w:left w:val="none" w:sz="0" w:space="0" w:color="auto"/>
                  <w:bottom w:val="single" w:sz="8" w:space="0" w:color="000000"/>
                  <w:right w:val="none" w:sz="0" w:space="0" w:color="auto"/>
                  <w:insideH w:val="single" w:sz="6" w:space="0" w:color="000000"/>
                  <w:insideV w:val="single" w:sz="6" w:space="0" w:color="00000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类别</w:t>
                  </w: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名称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现有工程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技改后工程内容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主体工程</w:t>
                  </w: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1#生产车间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1间，砖混结构，规格45m×20m×12m，建筑面积900m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；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1间，砖混结构，规格45m×20m×12m，建筑面积900m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建筑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50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液体肥搅拌工序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2个常温搅拌罐（规格2t型）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1个常温搅拌罐（规格2t型）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发生变动，拆除1台，保留1台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50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  <w:vAlign w:val="center"/>
                </w:tcPr>
                <w:p>
                  <w:pPr>
                    <w:pStyle w:val="06"/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分装工序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3个分装桶、2个小瓶分装区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3个分装桶、2个小瓶分装区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50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颗粒肥混配工序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1台颗粒肥混配机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1台颗粒肥混配机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1320"/>
                <w:jc w:val="center"/>
              </w:trPr>
              <w:tc>
                <w:tcPr>
                  <w:tcW w:w="563" w:type="dxa"/>
                  <w:vMerge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2#生产车间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1间，砖混结构，规格40m×20m×12m，建筑面积800m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1间，砖混结构，规格40m×20m×12m，建筑面积800m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</w:tbl>
          <w:p/>
        </w:tc>
      </w:tr>
    </w:tbl>
    <w:p>
      <w:pPr>
        <w:sectPr>
          <w:footerReference w:type="default" r:id="rId9"/>
          <w:type w:val="nextPage"/>
          <w:pgSz w:w="11906" w:h="16838"/>
          <w:pgMar w:top="1418" w:right="1418" w:bottom="1418" w:left="1418" w:header="851" w:footer="992" w:gutter="0"/>
          <w:pgNumType w:start="6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85" w:type="dxa"/>
          <w:bottom w:w="0" w:type="dxa"/>
          <w:right w:w="85" w:type="dxa"/>
        </w:tblCellMar>
        <w:tblLook w:val="0000"/>
      </w:tblPr>
      <w:tblGrid>
        <w:gridCol w:w="705"/>
        <w:gridCol w:w="8535"/>
      </w:tblGrid>
      <w:tr>
        <w:tblPrEx>
          <w:tblW w:w="5000" w:type="pct"/>
          <w:jc w:val="center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85" w:type="dxa"/>
            <w:bottom w:w="0" w:type="dxa"/>
            <w:right w:w="85" w:type="dxa"/>
          </w:tblCellMar>
          <w:tblLook w:val="0000"/>
        </w:tblPrEx>
        <w:trPr>
          <w:jc w:val="center"/>
        </w:trPr>
        <w:tc>
          <w:tcPr>
            <w:tcW w:w="705" w:type="dxa"/>
            <w:vAlign w:val="center"/>
          </w:tcPr>
          <w:p/>
        </w:tc>
        <w:tc>
          <w:tcPr>
            <w:tcW w:w="8535" w:type="dxa"/>
          </w:tcPr>
          <w:tbl>
            <w:tblPr>
              <w:tblStyle w:val="TableNormal"/>
              <w:tblW w:w="5000" w:type="pct"/>
              <w:jc w:val="center"/>
              <w:tblBorders>
                <w:top w:val="single" w:sz="8" w:space="0" w:color="000000"/>
                <w:left w:val="none" w:sz="0" w:space="0" w:color="auto"/>
                <w:bottom w:val="single" w:sz="8" w:space="0" w:color="000000"/>
                <w:right w:val="none" w:sz="0" w:space="0" w:color="auto"/>
                <w:insideH w:val="single" w:sz="6" w:space="0" w:color="000000"/>
                <w:insideV w:val="single" w:sz="6" w:spac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563"/>
              <w:gridCol w:w="571"/>
              <w:gridCol w:w="713"/>
              <w:gridCol w:w="2268"/>
              <w:gridCol w:w="2835"/>
              <w:gridCol w:w="1415"/>
            </w:tblGrid>
            <w:tr>
              <w:tblPrEx>
                <w:tblW w:w="5000" w:type="pct"/>
                <w:jc w:val="center"/>
                <w:tblBorders>
                  <w:top w:val="single" w:sz="8" w:space="0" w:color="000000"/>
                  <w:left w:val="none" w:sz="0" w:space="0" w:color="auto"/>
                  <w:bottom w:val="single" w:sz="8" w:space="0" w:color="000000"/>
                  <w:right w:val="none" w:sz="0" w:space="0" w:color="auto"/>
                  <w:insideH w:val="single" w:sz="6" w:space="0" w:color="000000"/>
                  <w:insideV w:val="single" w:sz="6" w:space="0" w:color="00000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1320"/>
                <w:jc w:val="center"/>
              </w:trPr>
              <w:tc>
                <w:tcPr>
                  <w:tcW w:w="563" w:type="dxa"/>
                  <w:vMerge w:val="restart"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571" w:type="dxa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713" w:type="dxa"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液体肥搅拌工序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2个常温搅拌罐（规格2t型）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1个常温搅拌罐（规格2t型）</w:t>
                  </w:r>
                </w:p>
              </w:tc>
              <w:tc>
                <w:tcPr>
                  <w:tcW w:w="1415" w:type="dxa"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发生变动，拆除1台，保留1台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2660"/>
                <w:jc w:val="center"/>
              </w:trPr>
              <w:tc>
                <w:tcPr>
                  <w:tcW w:w="563" w:type="dxa"/>
                  <w:vMerge/>
                  <w:tcBorders>
                    <w:bottom w:val="single" w:sz="6" w:space="0" w:color="000000"/>
                  </w:tcBorders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571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713" w:type="dxa"/>
                  <w:vAlign w:val="center"/>
                </w:tcPr>
                <w:p>
                  <w:pPr>
                    <w:pStyle w:val="06"/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分装工序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2台灌装机，2台封口机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2台灌装机，2台封口机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3#生产车间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1间，砖混结构，规格40m×20m×12m，建筑面积800m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新增5台含加热功能搅拌罐（规格4台2t型，1台0.5t型）；1台净水机，1台蒸汽设备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4#灌装车间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1间，砖混结构，规格40m×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20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m×12m，建筑面积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8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本次新增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，新增4套全自动灌装机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储运工程</w:t>
                  </w: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东仓库（包材库）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1间，砖混结构，规格10m×20m×10m，建筑面积200m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1间，砖混结构，规格10m×20m×10m，建筑面积200m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西仓库（成品库）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1间，砖混结构，规格8m×20m×10m，建筑面积160m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1间，砖混结构，规格8m×20m×10m，建筑面积160m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1#仓库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15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m×10m，建筑面积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150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本次新增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2#仓库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40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20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m×10m，建筑面积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800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本次新增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北侧包材库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0m×10m，建筑面积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100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本次新增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北侧成品库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1间，砖混结构，规格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20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15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m×10m，建筑面积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300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本次新增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辅助工程</w:t>
                  </w: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主办公楼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1栋，2F，总建筑面积500m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。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1栋，2F，总建筑面积500m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。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</w:tbl>
          <w:p/>
        </w:tc>
      </w:tr>
    </w:tbl>
    <w:p>
      <w:pPr>
        <w:sectPr>
          <w:footerReference w:type="default" r:id="rId10"/>
          <w:type w:val="nextPage"/>
          <w:pgSz w:w="11906" w:h="16838"/>
          <w:pgMar w:top="1418" w:right="1418" w:bottom="1418" w:left="1418" w:header="851" w:footer="992" w:gutter="0"/>
          <w:pgNumType w:start="7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85" w:type="dxa"/>
          <w:bottom w:w="0" w:type="dxa"/>
          <w:right w:w="85" w:type="dxa"/>
        </w:tblCellMar>
        <w:tblLook w:val="0000"/>
      </w:tblPr>
      <w:tblGrid>
        <w:gridCol w:w="705"/>
        <w:gridCol w:w="8535"/>
      </w:tblGrid>
      <w:tr>
        <w:tblPrEx>
          <w:tblW w:w="5000" w:type="pct"/>
          <w:jc w:val="center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85" w:type="dxa"/>
            <w:bottom w:w="0" w:type="dxa"/>
            <w:right w:w="85" w:type="dxa"/>
          </w:tblCellMar>
          <w:tblLook w:val="0000"/>
        </w:tblPrEx>
        <w:trPr>
          <w:jc w:val="center"/>
        </w:trPr>
        <w:tc>
          <w:tcPr>
            <w:tcW w:w="705" w:type="dxa"/>
            <w:vAlign w:val="center"/>
          </w:tcPr>
          <w:p/>
        </w:tc>
        <w:tc>
          <w:tcPr>
            <w:tcW w:w="8535" w:type="dxa"/>
          </w:tcPr>
          <w:tbl>
            <w:tblPr>
              <w:tblStyle w:val="TableNormal"/>
              <w:tblW w:w="5000" w:type="pct"/>
              <w:jc w:val="center"/>
              <w:tblBorders>
                <w:top w:val="single" w:sz="8" w:space="0" w:color="000000"/>
                <w:left w:val="none" w:sz="0" w:space="0" w:color="auto"/>
                <w:bottom w:val="single" w:sz="8" w:space="0" w:color="000000"/>
                <w:right w:val="none" w:sz="0" w:space="0" w:color="auto"/>
                <w:insideH w:val="single" w:sz="6" w:space="0" w:color="000000"/>
                <w:insideV w:val="single" w:sz="6" w:spac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563"/>
              <w:gridCol w:w="351"/>
              <w:gridCol w:w="933"/>
              <w:gridCol w:w="2268"/>
              <w:gridCol w:w="2835"/>
              <w:gridCol w:w="1415"/>
            </w:tblGrid>
            <w:tr>
              <w:tblPrEx>
                <w:tblW w:w="5000" w:type="pct"/>
                <w:jc w:val="center"/>
                <w:tblBorders>
                  <w:top w:val="single" w:sz="8" w:space="0" w:color="000000"/>
                  <w:left w:val="none" w:sz="0" w:space="0" w:color="auto"/>
                  <w:bottom w:val="single" w:sz="8" w:space="0" w:color="000000"/>
                  <w:right w:val="none" w:sz="0" w:space="0" w:color="auto"/>
                  <w:insideH w:val="single" w:sz="6" w:space="0" w:color="000000"/>
                  <w:insideV w:val="single" w:sz="6" w:space="0" w:color="00000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东办公区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1处，20m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/间，共5间，建筑面积100m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1处，20m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/间，共5间，建筑面积100m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西办公区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1处，20m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/间，共3间，建筑面积60m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1处，20m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/间，共3间，建筑面积60m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实验室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1间，建筑面积20m</w:t>
                  </w:r>
                  <w:r>
                    <w:rPr>
                      <w:b/>
                      <w:kern w:val="2"/>
                      <w:sz w:val="21"/>
                      <w:szCs w:val="21"/>
                      <w:u w:val="single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1间，建筑面积20m</w:t>
                  </w:r>
                  <w:r>
                    <w:rPr>
                      <w:b/>
                      <w:kern w:val="2"/>
                      <w:sz w:val="21"/>
                      <w:szCs w:val="21"/>
                      <w:u w:val="single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本次未变动</w:t>
                  </w: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，主要测pH等，产品质控监测外委监测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杂物间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1间，建筑面积20m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1间，建筑面积20m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门卫室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1间，建筑面积60m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1间，建筑面积60m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sz w:val="21"/>
                      <w:szCs w:val="21"/>
                      <w:lang w:val="en-US" w:eastAsia="zh-CN"/>
                    </w:rPr>
                    <w:t>北侧办公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1间，建筑面积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50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本次新增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环保工程</w:t>
                  </w:r>
                </w:p>
              </w:tc>
              <w:tc>
                <w:tcPr>
                  <w:tcW w:w="1284" w:type="dxa"/>
                  <w:gridSpan w:val="2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废气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a6"/>
                    <w:jc w:val="left"/>
                    <w:rPr>
                      <w:color w:val="auto"/>
                    </w:rPr>
                  </w:pPr>
                  <w:r>
                    <w:rPr>
                      <w:rFonts w:hint="eastAsia"/>
                      <w:color w:val="auto"/>
                    </w:rPr>
                    <w:t>1#生产车间投料口等粉尘、废气：产污点上方设集气罩+1#废气处理系统（袋式除尘器+活性炭吸附装置）+1#15m高排气筒；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a6"/>
                    <w:jc w:val="left"/>
                    <w:rPr>
                      <w:color w:val="auto"/>
                    </w:rPr>
                  </w:pPr>
                  <w:r>
                    <w:rPr>
                      <w:rFonts w:hint="eastAsia"/>
                      <w:color w:val="auto"/>
                    </w:rPr>
                    <w:t>1#生产车间投料口等粉尘、废气：产污点上方设集气罩+1#废气处理系统（袋式除尘器+活性炭吸附装置）+1#15m高排气筒；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a6"/>
                    <w:jc w:val="left"/>
                    <w:rPr>
                      <w:color w:val="auto"/>
                    </w:rPr>
                  </w:pPr>
                  <w:r>
                    <w:rPr>
                      <w:rFonts w:hint="eastAsia"/>
                      <w:color w:val="auto"/>
                    </w:rPr>
                    <w:t>2#生产车间投料口等粉尘、废气：产污点上方设集气罩+2#废气处理系统（袋式除尘器+活性炭吸附装置）+2#15m高排气筒。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cs="Courier New" w:hint="eastAsia"/>
                      <w:kern w:val="2"/>
                      <w:sz w:val="21"/>
                      <w:lang w:val="en-US" w:eastAsia="zh-CN"/>
                    </w:rPr>
                    <w:t>2#生产车间投料口等粉尘、废气：产污点上方设集气罩+2#废气处理系统（袋式除尘器+活性炭吸附装置）+2#15m高排气筒。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本次未变动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1100"/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无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cs="Courier New" w:hint="eastAsia"/>
                      <w:kern w:val="2"/>
                      <w:sz w:val="21"/>
                      <w:lang w:val="en-US" w:eastAsia="zh-CN"/>
                    </w:rPr>
                    <w:t>3#生产车间投料口等粉尘、废气：产污点上方设集气罩+3#废气处理系统（袋式除尘器+活性炭吸附装置）+3#15m高排气筒。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新增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351" w:type="dxa"/>
                  <w:vMerge w:val="restart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废水</w:t>
                  </w:r>
                </w:p>
              </w:tc>
              <w:tc>
                <w:tcPr>
                  <w:tcW w:w="933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bCs/>
                      <w:sz w:val="21"/>
                      <w:szCs w:val="21"/>
                      <w:lang w:val="en-US" w:eastAsia="zh-CN"/>
                    </w:rPr>
                    <w:t>生产废水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cs="Courier New" w:hint="eastAsia"/>
                      <w:kern w:val="2"/>
                      <w:sz w:val="21"/>
                      <w:lang w:val="en-US" w:eastAsia="zh-CN"/>
                    </w:rPr>
                    <w:t>项目不产生生产废水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纯水机产生的废水属于清净下水，用于洒水绿化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本次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新增纯水机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351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933" w:type="dxa"/>
                  <w:vAlign w:val="center"/>
                </w:tcPr>
                <w:p>
                  <w:pPr>
                    <w:pStyle w:val="06"/>
                    <w:rPr>
                      <w:bCs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bCs/>
                      <w:sz w:val="21"/>
                      <w:szCs w:val="21"/>
                      <w:lang w:val="en-US" w:eastAsia="zh-CN"/>
                    </w:rPr>
                    <w:t>生活污水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cs="Courier New" w:hint="eastAsia"/>
                      <w:kern w:val="2"/>
                      <w:sz w:val="21"/>
                      <w:lang w:val="en-US" w:eastAsia="zh-CN"/>
                    </w:rPr>
                    <w:t>生活污水经化粪池收集后，定期由附近居民拉走肥田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cs="Courier New" w:hint="eastAsia"/>
                      <w:b/>
                      <w:kern w:val="2"/>
                      <w:sz w:val="21"/>
                      <w:u w:val="single"/>
                      <w:lang w:val="en-US" w:eastAsia="zh-CN"/>
                    </w:rPr>
                    <w:t>本次技改不新增劳动定员，生活污水依托现有化粪池，定期由附近居民拉走肥田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依托现有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bCs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固废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车间设一般固废暂存点，办公区设生活垃圾收集措施；</w:t>
                  </w:r>
                </w:p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危险废物：收集暂存于危废暂存间（总面积约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），定期交由有资质单位处置。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车间设一般固废暂存点，办公区设生活垃圾收集措施；</w:t>
                  </w:r>
                </w:p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危险废物：收集暂存于危废暂存间（总面积约</w:t>
                  </w:r>
                  <w:r>
                    <w:rPr>
                      <w:rFonts w:hint="eastAsia"/>
                      <w:kern w:val="2"/>
                      <w:sz w:val="21"/>
                      <w:szCs w:val="21"/>
                      <w:lang w:val="en-US" w:eastAsia="zh-CN"/>
                    </w:rPr>
                    <w:t>10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kern w:val="2"/>
                      <w:sz w:val="21"/>
                      <w:szCs w:val="21"/>
                      <w:vertAlign w:val="superscript"/>
                      <w:lang w:val="en-US" w:eastAsia="zh-CN"/>
                    </w:rPr>
                    <w:t>2</w:t>
                  </w: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），定期交由有资质单位处置。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依托现有</w:t>
                  </w:r>
                </w:p>
              </w:tc>
            </w:tr>
            <w:tr>
              <w:tblPrEx>
                <w:tblW w:w="5000" w:type="pct"/>
                <w:jc w:val="cente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Merge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84" w:type="dxa"/>
                  <w:gridSpan w:val="2"/>
                  <w:vAlign w:val="center"/>
                </w:tcPr>
                <w:p>
                  <w:pPr>
                    <w:pStyle w:val="06"/>
                    <w:rPr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kern w:val="2"/>
                      <w:sz w:val="21"/>
                      <w:szCs w:val="21"/>
                      <w:lang w:val="en-US" w:eastAsia="zh-CN"/>
                    </w:rPr>
                    <w:t>噪声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pStyle w:val="06"/>
                    <w:rPr>
                      <w:spacing w:val="-10"/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spacing w:val="-10"/>
                      <w:kern w:val="2"/>
                      <w:sz w:val="21"/>
                      <w:szCs w:val="21"/>
                      <w:lang w:val="en-US" w:eastAsia="zh-CN"/>
                    </w:rPr>
                    <w:t>基础减振，厂房隔声、距离衰减</w:t>
                  </w:r>
                </w:p>
              </w:tc>
              <w:tc>
                <w:tcPr>
                  <w:tcW w:w="2835" w:type="dxa"/>
                  <w:vAlign w:val="center"/>
                </w:tcPr>
                <w:p>
                  <w:pPr>
                    <w:pStyle w:val="06"/>
                    <w:rPr>
                      <w:spacing w:val="-10"/>
                      <w:kern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spacing w:val="-10"/>
                      <w:kern w:val="2"/>
                      <w:sz w:val="21"/>
                      <w:szCs w:val="21"/>
                      <w:lang w:val="en-US" w:eastAsia="zh-CN"/>
                    </w:rPr>
                    <w:t>基础减振，厂房隔声、距离衰减</w:t>
                  </w:r>
                </w:p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spacing w:after="0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</w:p>
              </w:tc>
            </w:tr>
          </w:tbl>
          <w:p/>
        </w:tc>
      </w:tr>
    </w:tbl>
    <w:p>
      <w:pPr>
        <w:sectPr>
          <w:footerReference w:type="default" r:id="rId11"/>
          <w:type w:val="nextPage"/>
          <w:pgSz w:w="11906" w:h="16838"/>
          <w:pgMar w:top="1418" w:right="1418" w:bottom="1418" w:left="1418" w:header="851" w:footer="992" w:gutter="0"/>
          <w:pgNumType w:start="8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85" w:type="dxa"/>
          <w:bottom w:w="0" w:type="dxa"/>
          <w:right w:w="85" w:type="dxa"/>
        </w:tblCellMar>
        <w:tblLook w:val="0000"/>
      </w:tblPr>
      <w:tblGrid>
        <w:gridCol w:w="705"/>
        <w:gridCol w:w="8535"/>
      </w:tblGrid>
      <w:tr>
        <w:tblPrEx>
          <w:tblW w:w="5000" w:type="pct"/>
          <w:jc w:val="center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85" w:type="dxa"/>
            <w:bottom w:w="0" w:type="dxa"/>
            <w:right w:w="85" w:type="dxa"/>
          </w:tblCellMar>
          <w:tblLook w:val="0000"/>
        </w:tblPrEx>
        <w:trPr>
          <w:jc w:val="center"/>
        </w:trPr>
        <w:tc>
          <w:tcPr>
            <w:tcW w:w="705" w:type="dxa"/>
            <w:vAlign w:val="center"/>
          </w:tcPr>
          <w:p/>
        </w:tc>
        <w:tc>
          <w:tcPr>
            <w:tcW w:w="8535" w:type="dxa"/>
          </w:tcPr>
          <w:tbl>
            <w:tblPr>
              <w:tblStyle w:val="TableNormal"/>
              <w:tblW w:w="5000" w:type="pct"/>
              <w:jc w:val="center"/>
              <w:tblBorders>
                <w:top w:val="single" w:sz="8" w:space="0" w:color="000000"/>
                <w:left w:val="none" w:sz="0" w:space="0" w:color="auto"/>
                <w:bottom w:val="single" w:sz="8" w:space="0" w:color="000000"/>
                <w:right w:val="none" w:sz="0" w:space="0" w:color="auto"/>
                <w:insideH w:val="single" w:sz="6" w:space="0" w:color="000000"/>
                <w:insideV w:val="single" w:sz="6" w:spac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563"/>
              <w:gridCol w:w="1284"/>
              <w:gridCol w:w="2268"/>
              <w:gridCol w:w="2835"/>
              <w:gridCol w:w="1415"/>
            </w:tblGrid>
            <w:tr>
              <w:tblPrEx>
                <w:tblW w:w="5000" w:type="pct"/>
                <w:jc w:val="center"/>
                <w:tblBorders>
                  <w:top w:val="single" w:sz="8" w:space="0" w:color="000000"/>
                  <w:left w:val="none" w:sz="0" w:space="0" w:color="auto"/>
                  <w:bottom w:val="single" w:sz="8" w:space="0" w:color="000000"/>
                  <w:right w:val="none" w:sz="0" w:space="0" w:color="auto"/>
                  <w:insideH w:val="single" w:sz="6" w:space="0" w:color="000000"/>
                  <w:insideV w:val="single" w:sz="6" w:space="0" w:color="00000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563" w:type="dxa"/>
                  <w:vAlign w:val="center"/>
                </w:tcPr>
                <w:p/>
              </w:tc>
              <w:tc>
                <w:tcPr>
                  <w:tcW w:w="1284" w:type="dxa"/>
                  <w:vAlign w:val="center"/>
                </w:tcPr>
                <w:p/>
              </w:tc>
              <w:tc>
                <w:tcPr>
                  <w:tcW w:w="2268" w:type="dxa"/>
                  <w:vAlign w:val="center"/>
                </w:tcPr>
                <w:p/>
              </w:tc>
              <w:tc>
                <w:tcPr>
                  <w:tcW w:w="2835" w:type="dxa"/>
                  <w:vAlign w:val="center"/>
                </w:tcPr>
                <w:p/>
              </w:tc>
              <w:tc>
                <w:tcPr>
                  <w:tcW w:w="1415" w:type="dxa"/>
                  <w:vAlign w:val="center"/>
                </w:tcPr>
                <w:p>
                  <w:pPr>
                    <w:pStyle w:val="06"/>
                    <w:spacing w:before="0"/>
                    <w:rPr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kern w:val="2"/>
                      <w:sz w:val="21"/>
                      <w:szCs w:val="21"/>
                      <w:u w:val="single"/>
                      <w:lang w:val="en-US" w:eastAsia="zh-CN"/>
                    </w:rPr>
                    <w:t>新增3#车间，其他1#、2#车间依托现有</w:t>
                  </w:r>
                </w:p>
              </w:tc>
            </w:tr>
          </w:tbl>
          <w:p>
            <w:pPr>
              <w:pStyle w:val="5"/>
              <w:spacing w:line="240" w:lineRule="auto"/>
              <w:ind w:firstLine="420"/>
              <w:rPr>
                <w:rFonts w:ascii="Times New Roman" w:hAnsi="Times New Roman" w:hint="eastAsia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注：</w:t>
            </w:r>
            <w:r>
              <w:rPr>
                <w:rFonts w:ascii="Times New Roman" w:hAnsi="Times New Roman"/>
                <w:sz w:val="21"/>
                <w:szCs w:val="21"/>
                <w:lang w:bidi="ar"/>
              </w:rPr>
              <w:t>本项目</w:t>
            </w:r>
            <w:r>
              <w:rPr>
                <w:rFonts w:ascii="Times New Roman" w:hAnsi="Times New Roman" w:hint="eastAsia"/>
                <w:sz w:val="21"/>
                <w:szCs w:val="21"/>
                <w:lang w:bidi="ar"/>
              </w:rPr>
              <w:t>实</w:t>
            </w:r>
            <w:r>
              <w:rPr>
                <w:rFonts w:ascii="Times New Roman" w:hAnsi="Times New Roman"/>
                <w:sz w:val="21"/>
                <w:szCs w:val="21"/>
                <w:lang w:bidi="ar"/>
              </w:rPr>
              <w:t>验室主要功能为样品制备，主要检验项目为水分、pH值、水不溶物，检验方法为采用设备直接测试。不合格样品作为原料返回生产线综合利用</w:t>
            </w:r>
            <w:r>
              <w:rPr>
                <w:rFonts w:ascii="Times New Roman" w:hAnsi="Times New Roman" w:hint="eastAsia"/>
                <w:sz w:val="21"/>
                <w:szCs w:val="21"/>
                <w:lang w:bidi="ar"/>
              </w:rPr>
              <w:t>。</w:t>
            </w:r>
          </w:p>
          <w:p>
            <w:pPr>
              <w:pStyle w:val="021"/>
              <w:rPr>
                <w:rFonts w:cs="Courier New"/>
                <w:kern w:val="2"/>
                <w:sz w:val="21"/>
                <w:lang w:val="en-US" w:eastAsia="zh-CN"/>
              </w:rPr>
            </w:pPr>
            <w:r>
              <w:rPr>
                <w:rFonts w:cs="Courier New" w:hint="eastAsia"/>
                <w:kern w:val="2"/>
                <w:sz w:val="21"/>
                <w:lang w:val="en-US" w:eastAsia="zh-CN"/>
              </w:rPr>
              <w:t>5、技改工程生产规模及产品方案</w:t>
            </w:r>
          </w:p>
          <w:p>
            <w:pPr>
              <w:pStyle w:val="04"/>
              <w:ind w:firstLine="420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技改后全厂生产规模保持</w:t>
            </w:r>
            <w:r>
              <w:rPr>
                <w:rFonts w:hint="eastAsia"/>
              </w:rPr>
              <w:t>年产40万吨水溶性肥料，包含有复合肥和液体肥。</w:t>
            </w:r>
            <w:r>
              <w:rPr>
                <w:rFonts w:hint="eastAsia"/>
                <w:kern w:val="0"/>
                <w:lang w:bidi="ar"/>
              </w:rPr>
              <w:t>根据不同配比生产成不同规格产品。本次评价列出常用的产品配比。具体见表3、表4。</w:t>
            </w: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  <w:rPr>
                <w:rFonts w:hint="eastAsia"/>
              </w:rPr>
            </w:pPr>
          </w:p>
          <w:p>
            <w:pPr>
              <w:pStyle w:val="04"/>
              <w:ind w:firstLine="420"/>
            </w:pPr>
          </w:p>
        </w:tc>
      </w:tr>
    </w:tbl>
    <w:p>
      <w:pPr>
        <w:rPr>
          <w:rFonts w:ascii="Times New Roman" w:hAnsi="Times New Roman" w:hint="eastAsia"/>
        </w:rPr>
      </w:pPr>
    </w:p>
    <w:p>
      <w:pPr>
        <w:rPr>
          <w:rFonts w:ascii="Times New Roman" w:hAnsi="Times New Roman"/>
        </w:rPr>
        <w:sectPr>
          <w:footerReference w:type="default" r:id="rId12"/>
          <w:type w:val="nextPage"/>
          <w:pgSz w:w="11906" w:h="16838"/>
          <w:pgMar w:top="1418" w:right="1418" w:bottom="1418" w:left="1418" w:header="851" w:footer="992" w:gutter="0"/>
          <w:pgNumType w:start="9"/>
          <w:cols w:space="708"/>
          <w:titlePg w:val="0"/>
          <w:docGrid w:type="lines" w:linePitch="312"/>
        </w:sectPr>
      </w:pPr>
    </w:p>
    <w:tbl>
      <w:tblPr>
        <w:tblStyle w:val="TableNormal"/>
        <w:tblW w:w="5000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85" w:type="dxa"/>
          <w:bottom w:w="0" w:type="dxa"/>
          <w:right w:w="85" w:type="dxa"/>
        </w:tblCellMar>
        <w:tblLook w:val="0000"/>
      </w:tblPr>
      <w:tblGrid>
        <w:gridCol w:w="1081"/>
        <w:gridCol w:w="13091"/>
      </w:tblGrid>
      <w:tr>
        <w:tblPrEx>
          <w:tblW w:w="5000" w:type="pct"/>
          <w:jc w:val="center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  <w:tblCellMar>
            <w:top w:w="0" w:type="dxa"/>
            <w:left w:w="85" w:type="dxa"/>
            <w:bottom w:w="0" w:type="dxa"/>
            <w:right w:w="85" w:type="dxa"/>
          </w:tblCellMar>
          <w:tblLook w:val="0000"/>
        </w:tblPrEx>
        <w:trPr>
          <w:jc w:val="center"/>
        </w:trPr>
        <w:tc>
          <w:tcPr>
            <w:tcW w:w="705" w:type="dxa"/>
            <w:vAlign w:val="center"/>
          </w:tcPr>
          <w:p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建设内容</w:t>
            </w:r>
          </w:p>
        </w:tc>
        <w:tc>
          <w:tcPr>
            <w:tcW w:w="8535" w:type="dxa"/>
          </w:tcPr>
          <w:p>
            <w:pPr>
              <w:pStyle w:val="05"/>
              <w:ind w:firstLine="422"/>
              <w:rPr>
                <w:rFonts w:cs="Courier New"/>
                <w:lang w:val="en-US" w:eastAsia="zh-CN"/>
              </w:rPr>
            </w:pPr>
            <w:r>
              <w:rPr>
                <w:rFonts w:cs="Courier New"/>
                <w:lang w:val="en-US" w:eastAsia="zh-CN"/>
              </w:rPr>
              <w:t xml:space="preserve">表 </w:t>
            </w:r>
            <w:r>
              <w:rPr>
                <w:rFonts w:cs="Courier New"/>
                <w:lang w:val="en-US" w:eastAsia="zh-CN"/>
              </w:rPr>
              <w:fldChar w:fldCharType="begin"/>
            </w:r>
            <w:r>
              <w:rPr>
                <w:rFonts w:cs="Courier New"/>
                <w:lang w:val="en-US" w:eastAsia="zh-CN"/>
              </w:rPr>
              <w:instrText xml:space="preserve"> SEQ 表 \* ARABIC </w:instrText>
            </w:r>
            <w:r>
              <w:rPr>
                <w:rFonts w:cs="Courier New"/>
                <w:lang w:val="en-US" w:eastAsia="zh-CN"/>
              </w:rPr>
              <w:fldChar w:fldCharType="separate"/>
            </w:r>
            <w:r>
              <w:rPr>
                <w:rFonts w:cs="Courier New"/>
                <w:lang w:val="en-US" w:eastAsia="zh-CN"/>
              </w:rPr>
              <w:t>2</w:t>
            </w:r>
            <w:r>
              <w:rPr>
                <w:rFonts w:cs="Courier New"/>
                <w:lang w:val="en-US" w:eastAsia="zh-CN"/>
              </w:rPr>
              <w:fldChar w:fldCharType="end"/>
            </w:r>
            <w:r>
              <w:rPr>
                <w:rFonts w:cs="Courier New"/>
                <w:lang w:val="en-US" w:eastAsia="zh-CN"/>
              </w:rPr>
              <w:t xml:space="preserve">    </w:t>
            </w:r>
            <w:r>
              <w:rPr>
                <w:rFonts w:cs="Courier New" w:hint="eastAsia"/>
                <w:lang w:val="en-US" w:eastAsia="zh-CN"/>
              </w:rPr>
              <w:t xml:space="preserve">                     </w:t>
            </w:r>
            <w:r>
              <w:rPr>
                <w:rFonts w:cs="Courier New"/>
                <w:lang w:val="en-US" w:eastAsia="zh-CN"/>
              </w:rPr>
              <w:t>项目生产规模与产品方案</w:t>
            </w:r>
          </w:p>
          <w:tbl>
            <w:tblPr>
              <w:tblStyle w:val="TableNormal"/>
              <w:tblW w:w="5000" w:type="pct"/>
              <w:tblInd w:w="30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000"/>
              <w:gridCol w:w="4153"/>
              <w:gridCol w:w="3821"/>
              <w:gridCol w:w="3917"/>
            </w:tblGrid>
            <w:tr>
              <w:tblPrEx>
                <w:tblW w:w="5000" w:type="pct"/>
                <w:tblInd w:w="30" w:type="dxa"/>
                <w:tblBorders>
                  <w:top w:val="single" w:sz="12" w:space="0" w:color="000000"/>
                  <w:left w:val="single" w:sz="12" w:space="0" w:color="000000"/>
                  <w:bottom w:val="single" w:sz="12" w:space="0" w:color="000000"/>
                  <w:right w:val="single" w:sz="12" w:space="0" w:color="000000"/>
                  <w:insideH w:val="single" w:sz="4" w:space="0" w:color="000000"/>
                  <w:insideV w:val="single" w:sz="4" w:space="0" w:color="00000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156"/>
              </w:trPr>
              <w:tc>
                <w:tcPr>
                  <w:tcW w:w="388" w:type="pct"/>
                  <w:vMerge w:val="restar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序号</w:t>
                  </w:r>
                </w:p>
              </w:tc>
              <w:tc>
                <w:tcPr>
                  <w:tcW w:w="1611" w:type="pct"/>
                  <w:vMerge w:val="restar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产品名称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 w:hint="eastAsia"/>
                      <w:szCs w:val="22"/>
                    </w:rPr>
                    <w:t>技改前规模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技改后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155"/>
              </w:trPr>
              <w:tc>
                <w:tcPr>
                  <w:tcW w:w="388" w:type="pct"/>
                  <w:vMerge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1611" w:type="pct"/>
                  <w:vMerge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规模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规模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340"/>
              </w:trPr>
              <w:tc>
                <w:tcPr>
                  <w:tcW w:w="388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1</w:t>
                  </w:r>
                </w:p>
              </w:tc>
              <w:tc>
                <w:tcPr>
                  <w:tcW w:w="1611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含腐殖酸水溶肥料</w:t>
                  </w:r>
                  <w:r>
                    <w:rPr>
                      <w:rFonts w:ascii="Times New Roman" w:hAnsi="Times New Roman" w:hint="eastAsia"/>
                      <w:szCs w:val="21"/>
                    </w:rPr>
                    <w:t>复合肥（颗粒）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  <w:highlight w:val="yellow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80"/>
              </w:trPr>
              <w:tc>
                <w:tcPr>
                  <w:tcW w:w="388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2</w:t>
                  </w:r>
                </w:p>
              </w:tc>
              <w:tc>
                <w:tcPr>
                  <w:tcW w:w="1611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含腐殖酸水溶肥料液体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  <w:highlight w:val="yellow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340"/>
              </w:trPr>
              <w:tc>
                <w:tcPr>
                  <w:tcW w:w="388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3</w:t>
                  </w:r>
                </w:p>
              </w:tc>
              <w:tc>
                <w:tcPr>
                  <w:tcW w:w="1611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大量元素水溶肥料</w:t>
                  </w:r>
                  <w:r>
                    <w:rPr>
                      <w:rFonts w:ascii="Times New Roman" w:hAnsi="Times New Roman" w:hint="eastAsia"/>
                      <w:szCs w:val="21"/>
                    </w:rPr>
                    <w:t>复合肥（颗粒）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134"/>
              </w:trPr>
              <w:tc>
                <w:tcPr>
                  <w:tcW w:w="388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4</w:t>
                  </w:r>
                </w:p>
              </w:tc>
              <w:tc>
                <w:tcPr>
                  <w:tcW w:w="1611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大量元素水溶肥料液体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 w:hint="eastAsia"/>
                    </w:rPr>
                    <w:t>10万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 w:hint="eastAsia"/>
                    </w:rPr>
                    <w:t>5万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134"/>
              </w:trPr>
              <w:tc>
                <w:tcPr>
                  <w:tcW w:w="388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 w:hint="eastAsia"/>
                      <w:szCs w:val="22"/>
                    </w:rPr>
                    <w:t>5</w:t>
                  </w:r>
                </w:p>
              </w:tc>
              <w:tc>
                <w:tcPr>
                  <w:tcW w:w="1611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 w:hint="eastAsia"/>
                      <w:szCs w:val="22"/>
                    </w:rPr>
                    <w:t>中</w:t>
                  </w:r>
                  <w:r>
                    <w:rPr>
                      <w:rFonts w:ascii="Times New Roman" w:hAnsi="Times New Roman"/>
                      <w:szCs w:val="22"/>
                    </w:rPr>
                    <w:t>量元素水溶肥料液体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 w:hint="eastAsia"/>
                    </w:rPr>
                    <w:t>0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 w:hint="eastAsia"/>
                    </w:rPr>
                    <w:t>5万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</w:tr>
            <w:tr>
              <w:tblPrEx>
                <w:tblW w:w="5000" w:type="pct"/>
                <w:tblInd w:w="3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rHeight w:val="340"/>
              </w:trPr>
              <w:tc>
                <w:tcPr>
                  <w:tcW w:w="1999" w:type="pct"/>
                  <w:gridSpan w:val="2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Cs w:val="22"/>
                    </w:rPr>
                    <w:t>合计</w:t>
                  </w:r>
                </w:p>
              </w:tc>
              <w:tc>
                <w:tcPr>
                  <w:tcW w:w="1482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 w:hint="eastAsia"/>
                    </w:rPr>
                    <w:t>40万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  <w:tc>
                <w:tcPr>
                  <w:tcW w:w="1519" w:type="pct"/>
                  <w:vAlign w:val="center"/>
                </w:tcPr>
                <w:p>
                  <w:pPr>
                    <w:pStyle w:val="7"/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 w:hint="eastAsia"/>
                    </w:rPr>
                    <w:t>40万</w:t>
                  </w:r>
                  <w:r>
                    <w:rPr>
                      <w:rFonts w:ascii="Times New Roman" w:hAnsi="Times New Roman"/>
                      <w:szCs w:val="22"/>
                    </w:rPr>
                    <w:t>t/a</w:t>
                  </w:r>
                </w:p>
              </w:tc>
            </w:tr>
          </w:tbl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  <w:rPr>
                <w:rFonts w:hint="eastAsia"/>
              </w:rPr>
            </w:pPr>
          </w:p>
          <w:p>
            <w:pPr>
              <w:pStyle w:val="04"/>
              <w:ind w:firstLine="420"/>
              <w:jc w:val="both"/>
            </w:pPr>
          </w:p>
        </w:tc>
      </w:tr>
    </w:tbl>
    <w:p>
      <w:pPr>
        <w:rPr>
          <w:rFonts w:ascii="Times New Roman" w:hAnsi="Times New Roman" w:hint="eastAsia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https://d.book118.com/956113041214010103</w:t>
        </w:r>
      </w:hyperlink>
    </w:p>
    <w:p>
      <w:pPr>
        <w:rPr>
          <w:rFonts w:ascii="Times New Roman" w:hAnsi="Times New Roman"/>
        </w:rPr>
      </w:pPr>
    </w:p>
    <w:sectPr>
      <w:footerReference w:type="default" r:id="rId14"/>
      <w:pgSz w:w="16838" w:h="11906" w:orient="landscape"/>
      <w:pgMar w:top="1418" w:right="1418" w:bottom="1418" w:left="1418" w:header="851" w:footer="992" w:gutter="0"/>
      <w:pgNumType w:start="1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昆仑仿宋">
    <w:altName w:val="仿宋"/>
    <w:panose1 w:val="00000000000000000000"/>
    <w:charset w:val="86"/>
    <w:family w:val="modern"/>
    <w:pitch w:val="default"/>
    <w:sig w:usb0="00000001" w:usb1="080E0000" w:usb2="0000001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1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2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3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5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5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6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7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8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9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right"/>
      <w:rPr>
        <w:rFonts w:ascii="Times New Roman" w:hAnsi="Times New Roman"/>
      </w:rPr>
    </w:pPr>
    <w:r>
      <w:rPr>
        <w:rStyle w:val="PageNumber"/>
        <w:rFonts w:ascii="Times New Roman" w:hAnsi="Times New Roman"/>
      </w:rPr>
      <w:t>—</w:t>
    </w:r>
    <w:r>
      <w:rPr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lang w:val="zh-CN"/>
      </w:rPr>
      <w:t>10</w:t>
    </w:r>
    <w:r>
      <w:rPr>
        <w:rFonts w:ascii="Times New Roman" w:hAnsi="Times New Roman"/>
      </w:rPr>
      <w:fldChar w:fldCharType="end"/>
    </w:r>
    <w:r>
      <w:rPr>
        <w:rStyle w:val="PageNumber"/>
        <w:rFonts w:ascii="Times New Roman" w:hAnsi="Times New Roman"/>
      </w:rPr>
      <w:t>—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FFFFF7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FFFFFF81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FFFFFF82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FFFFFF83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FFFFF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241F"/>
    <w:rsid w:val="000012AA"/>
    <w:rsid w:val="0000133F"/>
    <w:rsid w:val="00002F58"/>
    <w:rsid w:val="00003657"/>
    <w:rsid w:val="00006174"/>
    <w:rsid w:val="0000679E"/>
    <w:rsid w:val="0000694A"/>
    <w:rsid w:val="0000778B"/>
    <w:rsid w:val="000100BD"/>
    <w:rsid w:val="00011092"/>
    <w:rsid w:val="00012CDE"/>
    <w:rsid w:val="0001374B"/>
    <w:rsid w:val="00014BDA"/>
    <w:rsid w:val="000154D5"/>
    <w:rsid w:val="000155AD"/>
    <w:rsid w:val="0001596E"/>
    <w:rsid w:val="0001697B"/>
    <w:rsid w:val="00017A75"/>
    <w:rsid w:val="000202ED"/>
    <w:rsid w:val="00021B1F"/>
    <w:rsid w:val="00022249"/>
    <w:rsid w:val="000234A8"/>
    <w:rsid w:val="000239BE"/>
    <w:rsid w:val="00023C6A"/>
    <w:rsid w:val="00024B55"/>
    <w:rsid w:val="00024C0D"/>
    <w:rsid w:val="00025945"/>
    <w:rsid w:val="000260EE"/>
    <w:rsid w:val="00026E9E"/>
    <w:rsid w:val="0002786B"/>
    <w:rsid w:val="00030CA5"/>
    <w:rsid w:val="00031C1F"/>
    <w:rsid w:val="00031E0A"/>
    <w:rsid w:val="00031E4B"/>
    <w:rsid w:val="0003251D"/>
    <w:rsid w:val="00033DB9"/>
    <w:rsid w:val="00034130"/>
    <w:rsid w:val="00034779"/>
    <w:rsid w:val="00034786"/>
    <w:rsid w:val="00037239"/>
    <w:rsid w:val="000372EE"/>
    <w:rsid w:val="00037FBA"/>
    <w:rsid w:val="00037FDF"/>
    <w:rsid w:val="00041ED2"/>
    <w:rsid w:val="000421F6"/>
    <w:rsid w:val="00042F85"/>
    <w:rsid w:val="000430D9"/>
    <w:rsid w:val="000436EE"/>
    <w:rsid w:val="00043A80"/>
    <w:rsid w:val="00043F1D"/>
    <w:rsid w:val="000442A2"/>
    <w:rsid w:val="0004431F"/>
    <w:rsid w:val="0004462F"/>
    <w:rsid w:val="0004467B"/>
    <w:rsid w:val="00044A1A"/>
    <w:rsid w:val="00045D67"/>
    <w:rsid w:val="0004629A"/>
    <w:rsid w:val="000513BF"/>
    <w:rsid w:val="0005156E"/>
    <w:rsid w:val="00051FE7"/>
    <w:rsid w:val="00053CE2"/>
    <w:rsid w:val="000547E0"/>
    <w:rsid w:val="00054CA0"/>
    <w:rsid w:val="000552BE"/>
    <w:rsid w:val="0005586B"/>
    <w:rsid w:val="00055D40"/>
    <w:rsid w:val="00056629"/>
    <w:rsid w:val="00056B46"/>
    <w:rsid w:val="000574A7"/>
    <w:rsid w:val="000614FC"/>
    <w:rsid w:val="00063EB5"/>
    <w:rsid w:val="00064350"/>
    <w:rsid w:val="0006481C"/>
    <w:rsid w:val="00064958"/>
    <w:rsid w:val="00064BF1"/>
    <w:rsid w:val="00065ED5"/>
    <w:rsid w:val="000673F1"/>
    <w:rsid w:val="00067864"/>
    <w:rsid w:val="00067A5B"/>
    <w:rsid w:val="000705FB"/>
    <w:rsid w:val="00070659"/>
    <w:rsid w:val="00071127"/>
    <w:rsid w:val="0007195C"/>
    <w:rsid w:val="000719E0"/>
    <w:rsid w:val="00071CB6"/>
    <w:rsid w:val="00072310"/>
    <w:rsid w:val="00072720"/>
    <w:rsid w:val="00072A90"/>
    <w:rsid w:val="00072E25"/>
    <w:rsid w:val="0007501B"/>
    <w:rsid w:val="00075115"/>
    <w:rsid w:val="000751C2"/>
    <w:rsid w:val="0007654E"/>
    <w:rsid w:val="00077CF0"/>
    <w:rsid w:val="00080BDC"/>
    <w:rsid w:val="0008208F"/>
    <w:rsid w:val="00083372"/>
    <w:rsid w:val="0008359B"/>
    <w:rsid w:val="00084F5C"/>
    <w:rsid w:val="00085456"/>
    <w:rsid w:val="00086361"/>
    <w:rsid w:val="000865D2"/>
    <w:rsid w:val="00087B8D"/>
    <w:rsid w:val="00090801"/>
    <w:rsid w:val="00092B9A"/>
    <w:rsid w:val="00093997"/>
    <w:rsid w:val="00094831"/>
    <w:rsid w:val="0009493E"/>
    <w:rsid w:val="000952FC"/>
    <w:rsid w:val="000954EA"/>
    <w:rsid w:val="000979B3"/>
    <w:rsid w:val="000A0611"/>
    <w:rsid w:val="000A0AF2"/>
    <w:rsid w:val="000A0D44"/>
    <w:rsid w:val="000A0EDB"/>
    <w:rsid w:val="000A20C3"/>
    <w:rsid w:val="000A211A"/>
    <w:rsid w:val="000A2E3A"/>
    <w:rsid w:val="000A358D"/>
    <w:rsid w:val="000A3B2E"/>
    <w:rsid w:val="000A5307"/>
    <w:rsid w:val="000A5559"/>
    <w:rsid w:val="000A64CA"/>
    <w:rsid w:val="000A65AC"/>
    <w:rsid w:val="000A65FE"/>
    <w:rsid w:val="000A66D2"/>
    <w:rsid w:val="000A73D1"/>
    <w:rsid w:val="000A7419"/>
    <w:rsid w:val="000B045F"/>
    <w:rsid w:val="000B09CC"/>
    <w:rsid w:val="000B203B"/>
    <w:rsid w:val="000B2082"/>
    <w:rsid w:val="000B3363"/>
    <w:rsid w:val="000B49C9"/>
    <w:rsid w:val="000B5917"/>
    <w:rsid w:val="000B6748"/>
    <w:rsid w:val="000B7F49"/>
    <w:rsid w:val="000C1D93"/>
    <w:rsid w:val="000C4463"/>
    <w:rsid w:val="000C69C2"/>
    <w:rsid w:val="000C756B"/>
    <w:rsid w:val="000C7A72"/>
    <w:rsid w:val="000C7B23"/>
    <w:rsid w:val="000C7DA9"/>
    <w:rsid w:val="000D0539"/>
    <w:rsid w:val="000D11BF"/>
    <w:rsid w:val="000D252A"/>
    <w:rsid w:val="000D2BC3"/>
    <w:rsid w:val="000D2E2D"/>
    <w:rsid w:val="000D3E0F"/>
    <w:rsid w:val="000D4362"/>
    <w:rsid w:val="000D4D23"/>
    <w:rsid w:val="000D61DE"/>
    <w:rsid w:val="000D66AA"/>
    <w:rsid w:val="000D7EFD"/>
    <w:rsid w:val="000E0456"/>
    <w:rsid w:val="000E0866"/>
    <w:rsid w:val="000E20CC"/>
    <w:rsid w:val="000E211A"/>
    <w:rsid w:val="000E2716"/>
    <w:rsid w:val="000E2933"/>
    <w:rsid w:val="000E3D0C"/>
    <w:rsid w:val="000E3FAB"/>
    <w:rsid w:val="000E59F3"/>
    <w:rsid w:val="000E5C17"/>
    <w:rsid w:val="000E6928"/>
    <w:rsid w:val="000E7E72"/>
    <w:rsid w:val="000F01BA"/>
    <w:rsid w:val="000F0CCC"/>
    <w:rsid w:val="000F39CB"/>
    <w:rsid w:val="000F4449"/>
    <w:rsid w:val="000F4840"/>
    <w:rsid w:val="000F4B78"/>
    <w:rsid w:val="000F6254"/>
    <w:rsid w:val="000F6CAB"/>
    <w:rsid w:val="000F6D4B"/>
    <w:rsid w:val="000F6F47"/>
    <w:rsid w:val="000F7506"/>
    <w:rsid w:val="000F770C"/>
    <w:rsid w:val="000F7818"/>
    <w:rsid w:val="00100194"/>
    <w:rsid w:val="001004F0"/>
    <w:rsid w:val="0010279C"/>
    <w:rsid w:val="0010376F"/>
    <w:rsid w:val="001046FD"/>
    <w:rsid w:val="00104F7F"/>
    <w:rsid w:val="00106156"/>
    <w:rsid w:val="001074A4"/>
    <w:rsid w:val="00110849"/>
    <w:rsid w:val="00110B33"/>
    <w:rsid w:val="0011320C"/>
    <w:rsid w:val="00114328"/>
    <w:rsid w:val="00114C7E"/>
    <w:rsid w:val="00114E80"/>
    <w:rsid w:val="00115134"/>
    <w:rsid w:val="00115180"/>
    <w:rsid w:val="00115C73"/>
    <w:rsid w:val="00116672"/>
    <w:rsid w:val="00117330"/>
    <w:rsid w:val="00117B34"/>
    <w:rsid w:val="00117E06"/>
    <w:rsid w:val="001201AB"/>
    <w:rsid w:val="00120AB7"/>
    <w:rsid w:val="0012133F"/>
    <w:rsid w:val="00121C59"/>
    <w:rsid w:val="00121EAC"/>
    <w:rsid w:val="001228FA"/>
    <w:rsid w:val="00122B39"/>
    <w:rsid w:val="001231BA"/>
    <w:rsid w:val="0012385B"/>
    <w:rsid w:val="00123D4B"/>
    <w:rsid w:val="00123E44"/>
    <w:rsid w:val="00123F77"/>
    <w:rsid w:val="001247DC"/>
    <w:rsid w:val="00126512"/>
    <w:rsid w:val="00126786"/>
    <w:rsid w:val="00126CCF"/>
    <w:rsid w:val="00127F6A"/>
    <w:rsid w:val="00130086"/>
    <w:rsid w:val="001304C4"/>
    <w:rsid w:val="00131866"/>
    <w:rsid w:val="00132DF1"/>
    <w:rsid w:val="00133399"/>
    <w:rsid w:val="00134897"/>
    <w:rsid w:val="00134E4C"/>
    <w:rsid w:val="001358C4"/>
    <w:rsid w:val="001376DB"/>
    <w:rsid w:val="00140553"/>
    <w:rsid w:val="00142264"/>
    <w:rsid w:val="0014304C"/>
    <w:rsid w:val="001435F1"/>
    <w:rsid w:val="00143668"/>
    <w:rsid w:val="001439A9"/>
    <w:rsid w:val="00144AE7"/>
    <w:rsid w:val="001463EC"/>
    <w:rsid w:val="0014793C"/>
    <w:rsid w:val="001514CB"/>
    <w:rsid w:val="00151AEF"/>
    <w:rsid w:val="001521C2"/>
    <w:rsid w:val="00152D87"/>
    <w:rsid w:val="001549C9"/>
    <w:rsid w:val="00154CDB"/>
    <w:rsid w:val="0015550F"/>
    <w:rsid w:val="001558DF"/>
    <w:rsid w:val="001626D6"/>
    <w:rsid w:val="00162C17"/>
    <w:rsid w:val="00162EE5"/>
    <w:rsid w:val="00163D83"/>
    <w:rsid w:val="00164CF4"/>
    <w:rsid w:val="00164EF3"/>
    <w:rsid w:val="00166F3C"/>
    <w:rsid w:val="00167714"/>
    <w:rsid w:val="00167A53"/>
    <w:rsid w:val="0017132B"/>
    <w:rsid w:val="00171B0C"/>
    <w:rsid w:val="00171C87"/>
    <w:rsid w:val="00172BC2"/>
    <w:rsid w:val="00172D52"/>
    <w:rsid w:val="00172E2F"/>
    <w:rsid w:val="001734A7"/>
    <w:rsid w:val="00174983"/>
    <w:rsid w:val="00174988"/>
    <w:rsid w:val="0017543D"/>
    <w:rsid w:val="00177B36"/>
    <w:rsid w:val="00177B69"/>
    <w:rsid w:val="00177FA5"/>
    <w:rsid w:val="00180A38"/>
    <w:rsid w:val="001831E7"/>
    <w:rsid w:val="00183DD6"/>
    <w:rsid w:val="0018430C"/>
    <w:rsid w:val="0018501A"/>
    <w:rsid w:val="0018762C"/>
    <w:rsid w:val="00187B67"/>
    <w:rsid w:val="00190715"/>
    <w:rsid w:val="001910B3"/>
    <w:rsid w:val="001915E6"/>
    <w:rsid w:val="00192C93"/>
    <w:rsid w:val="00193379"/>
    <w:rsid w:val="00195EF2"/>
    <w:rsid w:val="00196108"/>
    <w:rsid w:val="0019618F"/>
    <w:rsid w:val="001965E9"/>
    <w:rsid w:val="00196EA9"/>
    <w:rsid w:val="001978B9"/>
    <w:rsid w:val="00197C5C"/>
    <w:rsid w:val="00197CC0"/>
    <w:rsid w:val="00197F47"/>
    <w:rsid w:val="001A052E"/>
    <w:rsid w:val="001A29A8"/>
    <w:rsid w:val="001A3F06"/>
    <w:rsid w:val="001A47F5"/>
    <w:rsid w:val="001A48AD"/>
    <w:rsid w:val="001A4E3D"/>
    <w:rsid w:val="001A5261"/>
    <w:rsid w:val="001A5945"/>
    <w:rsid w:val="001A6216"/>
    <w:rsid w:val="001A79B8"/>
    <w:rsid w:val="001B0C1A"/>
    <w:rsid w:val="001B2571"/>
    <w:rsid w:val="001B27C2"/>
    <w:rsid w:val="001B284C"/>
    <w:rsid w:val="001B3187"/>
    <w:rsid w:val="001B34E1"/>
    <w:rsid w:val="001B36FE"/>
    <w:rsid w:val="001B4158"/>
    <w:rsid w:val="001B4294"/>
    <w:rsid w:val="001B4D30"/>
    <w:rsid w:val="001B5570"/>
    <w:rsid w:val="001B719E"/>
    <w:rsid w:val="001B744A"/>
    <w:rsid w:val="001C0212"/>
    <w:rsid w:val="001C0BA5"/>
    <w:rsid w:val="001C0DFA"/>
    <w:rsid w:val="001C1C77"/>
    <w:rsid w:val="001C21E0"/>
    <w:rsid w:val="001C29F2"/>
    <w:rsid w:val="001C306B"/>
    <w:rsid w:val="001C31A2"/>
    <w:rsid w:val="001C381E"/>
    <w:rsid w:val="001C3C13"/>
    <w:rsid w:val="001C3FAF"/>
    <w:rsid w:val="001C44A5"/>
    <w:rsid w:val="001C4A09"/>
    <w:rsid w:val="001C4BDD"/>
    <w:rsid w:val="001C4E29"/>
    <w:rsid w:val="001C5091"/>
    <w:rsid w:val="001C5338"/>
    <w:rsid w:val="001C62D0"/>
    <w:rsid w:val="001C646E"/>
    <w:rsid w:val="001C72FC"/>
    <w:rsid w:val="001C7BE9"/>
    <w:rsid w:val="001D05B2"/>
    <w:rsid w:val="001D2295"/>
    <w:rsid w:val="001D2635"/>
    <w:rsid w:val="001D2E3F"/>
    <w:rsid w:val="001D3236"/>
    <w:rsid w:val="001D4F4D"/>
    <w:rsid w:val="001D6871"/>
    <w:rsid w:val="001D6DB8"/>
    <w:rsid w:val="001D706A"/>
    <w:rsid w:val="001D752F"/>
    <w:rsid w:val="001D7BE5"/>
    <w:rsid w:val="001E10B7"/>
    <w:rsid w:val="001E1E91"/>
    <w:rsid w:val="001E2979"/>
    <w:rsid w:val="001E2B71"/>
    <w:rsid w:val="001E42B3"/>
    <w:rsid w:val="001E508D"/>
    <w:rsid w:val="001E5CAE"/>
    <w:rsid w:val="001E61C2"/>
    <w:rsid w:val="001E6BD8"/>
    <w:rsid w:val="001E7604"/>
    <w:rsid w:val="001F0DEF"/>
    <w:rsid w:val="001F0F5F"/>
    <w:rsid w:val="001F1628"/>
    <w:rsid w:val="001F1A50"/>
    <w:rsid w:val="001F274D"/>
    <w:rsid w:val="001F2773"/>
    <w:rsid w:val="001F3D97"/>
    <w:rsid w:val="001F3F4B"/>
    <w:rsid w:val="001F40C6"/>
    <w:rsid w:val="001F46C1"/>
    <w:rsid w:val="001F5177"/>
    <w:rsid w:val="001F52C3"/>
    <w:rsid w:val="001F5F60"/>
    <w:rsid w:val="001F6338"/>
    <w:rsid w:val="001F7921"/>
    <w:rsid w:val="002000DD"/>
    <w:rsid w:val="00200B4E"/>
    <w:rsid w:val="00200D83"/>
    <w:rsid w:val="00200EAE"/>
    <w:rsid w:val="0020201C"/>
    <w:rsid w:val="00204143"/>
    <w:rsid w:val="0020428D"/>
    <w:rsid w:val="00204E9A"/>
    <w:rsid w:val="00205901"/>
    <w:rsid w:val="00205C3C"/>
    <w:rsid w:val="002065AA"/>
    <w:rsid w:val="00206CC5"/>
    <w:rsid w:val="00207696"/>
    <w:rsid w:val="00207787"/>
    <w:rsid w:val="002079F6"/>
    <w:rsid w:val="0021064D"/>
    <w:rsid w:val="00211006"/>
    <w:rsid w:val="002126CE"/>
    <w:rsid w:val="00213417"/>
    <w:rsid w:val="00213D0E"/>
    <w:rsid w:val="0021405A"/>
    <w:rsid w:val="002151FC"/>
    <w:rsid w:val="0021559F"/>
    <w:rsid w:val="00215F9F"/>
    <w:rsid w:val="0021674F"/>
    <w:rsid w:val="00216F1F"/>
    <w:rsid w:val="00217A5C"/>
    <w:rsid w:val="00221292"/>
    <w:rsid w:val="00221AE1"/>
    <w:rsid w:val="002223C7"/>
    <w:rsid w:val="00223107"/>
    <w:rsid w:val="00223B02"/>
    <w:rsid w:val="002257A6"/>
    <w:rsid w:val="00226EDA"/>
    <w:rsid w:val="0022704E"/>
    <w:rsid w:val="00230C93"/>
    <w:rsid w:val="002310FF"/>
    <w:rsid w:val="002313C6"/>
    <w:rsid w:val="00232805"/>
    <w:rsid w:val="0023377B"/>
    <w:rsid w:val="00233CAF"/>
    <w:rsid w:val="00233CC1"/>
    <w:rsid w:val="00234428"/>
    <w:rsid w:val="00234DCB"/>
    <w:rsid w:val="002352A7"/>
    <w:rsid w:val="00236F6C"/>
    <w:rsid w:val="00237932"/>
    <w:rsid w:val="00240867"/>
    <w:rsid w:val="0024105E"/>
    <w:rsid w:val="00242158"/>
    <w:rsid w:val="0024219B"/>
    <w:rsid w:val="00242828"/>
    <w:rsid w:val="002438CA"/>
    <w:rsid w:val="002448C2"/>
    <w:rsid w:val="0024495B"/>
    <w:rsid w:val="00244BB2"/>
    <w:rsid w:val="00245350"/>
    <w:rsid w:val="00245B4B"/>
    <w:rsid w:val="00246973"/>
    <w:rsid w:val="00246C5A"/>
    <w:rsid w:val="00247329"/>
    <w:rsid w:val="00247D46"/>
    <w:rsid w:val="0025091C"/>
    <w:rsid w:val="00250954"/>
    <w:rsid w:val="0025136B"/>
    <w:rsid w:val="00251382"/>
    <w:rsid w:val="00252010"/>
    <w:rsid w:val="002521CB"/>
    <w:rsid w:val="002527CC"/>
    <w:rsid w:val="00252DF0"/>
    <w:rsid w:val="00253CFF"/>
    <w:rsid w:val="00254E0A"/>
    <w:rsid w:val="0025511A"/>
    <w:rsid w:val="0025568E"/>
    <w:rsid w:val="00255754"/>
    <w:rsid w:val="00255985"/>
    <w:rsid w:val="0025632C"/>
    <w:rsid w:val="00257EBF"/>
    <w:rsid w:val="002601B2"/>
    <w:rsid w:val="0026042C"/>
    <w:rsid w:val="00260927"/>
    <w:rsid w:val="002619F1"/>
    <w:rsid w:val="00261EBB"/>
    <w:rsid w:val="00262BD3"/>
    <w:rsid w:val="00262C5C"/>
    <w:rsid w:val="00263085"/>
    <w:rsid w:val="0026431C"/>
    <w:rsid w:val="00264CE4"/>
    <w:rsid w:val="002655EE"/>
    <w:rsid w:val="00265BB9"/>
    <w:rsid w:val="00266223"/>
    <w:rsid w:val="0026639A"/>
    <w:rsid w:val="00266E27"/>
    <w:rsid w:val="0026739C"/>
    <w:rsid w:val="00267971"/>
    <w:rsid w:val="00272604"/>
    <w:rsid w:val="00272B71"/>
    <w:rsid w:val="002733B6"/>
    <w:rsid w:val="00273F48"/>
    <w:rsid w:val="00274B50"/>
    <w:rsid w:val="0027520D"/>
    <w:rsid w:val="00275770"/>
    <w:rsid w:val="00276A31"/>
    <w:rsid w:val="00276DC6"/>
    <w:rsid w:val="00276E51"/>
    <w:rsid w:val="002773A1"/>
    <w:rsid w:val="00277803"/>
    <w:rsid w:val="00277DF1"/>
    <w:rsid w:val="002802EC"/>
    <w:rsid w:val="002807A4"/>
    <w:rsid w:val="00280868"/>
    <w:rsid w:val="00281265"/>
    <w:rsid w:val="00281936"/>
    <w:rsid w:val="0028220A"/>
    <w:rsid w:val="00282598"/>
    <w:rsid w:val="0028263B"/>
    <w:rsid w:val="00282E4B"/>
    <w:rsid w:val="002855EF"/>
    <w:rsid w:val="00285F17"/>
    <w:rsid w:val="00285F95"/>
    <w:rsid w:val="00286222"/>
    <w:rsid w:val="002867C0"/>
    <w:rsid w:val="00290513"/>
    <w:rsid w:val="002906B5"/>
    <w:rsid w:val="00291A83"/>
    <w:rsid w:val="00291C12"/>
    <w:rsid w:val="0029227B"/>
    <w:rsid w:val="00292838"/>
    <w:rsid w:val="00292CAF"/>
    <w:rsid w:val="002935C7"/>
    <w:rsid w:val="0029377B"/>
    <w:rsid w:val="0029456D"/>
    <w:rsid w:val="002961CC"/>
    <w:rsid w:val="002962F2"/>
    <w:rsid w:val="00296DCD"/>
    <w:rsid w:val="0029745B"/>
    <w:rsid w:val="002974B9"/>
    <w:rsid w:val="00297728"/>
    <w:rsid w:val="002A0611"/>
    <w:rsid w:val="002A09D1"/>
    <w:rsid w:val="002A16B7"/>
    <w:rsid w:val="002A1AB2"/>
    <w:rsid w:val="002A2C8F"/>
    <w:rsid w:val="002A373A"/>
    <w:rsid w:val="002A3FF2"/>
    <w:rsid w:val="002A466F"/>
    <w:rsid w:val="002A531C"/>
    <w:rsid w:val="002A58D1"/>
    <w:rsid w:val="002B04D9"/>
    <w:rsid w:val="002B2C9D"/>
    <w:rsid w:val="002B33EF"/>
    <w:rsid w:val="002B3DD3"/>
    <w:rsid w:val="002B47B7"/>
    <w:rsid w:val="002B5E2C"/>
    <w:rsid w:val="002B6120"/>
    <w:rsid w:val="002B6600"/>
    <w:rsid w:val="002B69B4"/>
    <w:rsid w:val="002B7030"/>
    <w:rsid w:val="002B7C8B"/>
    <w:rsid w:val="002C1285"/>
    <w:rsid w:val="002C16C6"/>
    <w:rsid w:val="002C334D"/>
    <w:rsid w:val="002C3EE4"/>
    <w:rsid w:val="002C76E4"/>
    <w:rsid w:val="002C7BF1"/>
    <w:rsid w:val="002D02E0"/>
    <w:rsid w:val="002D19D9"/>
    <w:rsid w:val="002D4EDC"/>
    <w:rsid w:val="002D6005"/>
    <w:rsid w:val="002D625C"/>
    <w:rsid w:val="002D70AD"/>
    <w:rsid w:val="002D788B"/>
    <w:rsid w:val="002D7B64"/>
    <w:rsid w:val="002D7F6C"/>
    <w:rsid w:val="002E09AE"/>
    <w:rsid w:val="002E12F7"/>
    <w:rsid w:val="002E1856"/>
    <w:rsid w:val="002E2ADA"/>
    <w:rsid w:val="002E3411"/>
    <w:rsid w:val="002E3566"/>
    <w:rsid w:val="002E54E5"/>
    <w:rsid w:val="002E5C60"/>
    <w:rsid w:val="002E6825"/>
    <w:rsid w:val="002E6AEA"/>
    <w:rsid w:val="002E763D"/>
    <w:rsid w:val="002F01E2"/>
    <w:rsid w:val="002F03FF"/>
    <w:rsid w:val="002F0492"/>
    <w:rsid w:val="002F200F"/>
    <w:rsid w:val="002F22F2"/>
    <w:rsid w:val="002F2562"/>
    <w:rsid w:val="002F2C80"/>
    <w:rsid w:val="002F3D77"/>
    <w:rsid w:val="002F4EC4"/>
    <w:rsid w:val="002F5F17"/>
    <w:rsid w:val="002F6B6E"/>
    <w:rsid w:val="002F778E"/>
    <w:rsid w:val="003005A8"/>
    <w:rsid w:val="0030069B"/>
    <w:rsid w:val="0030243B"/>
    <w:rsid w:val="0030374F"/>
    <w:rsid w:val="00304411"/>
    <w:rsid w:val="0030479C"/>
    <w:rsid w:val="00305C47"/>
    <w:rsid w:val="00305D2A"/>
    <w:rsid w:val="003063E3"/>
    <w:rsid w:val="00306629"/>
    <w:rsid w:val="00306BB5"/>
    <w:rsid w:val="0030707F"/>
    <w:rsid w:val="00307854"/>
    <w:rsid w:val="00307E1D"/>
    <w:rsid w:val="003109E4"/>
    <w:rsid w:val="00310CF0"/>
    <w:rsid w:val="00310D59"/>
    <w:rsid w:val="003111E4"/>
    <w:rsid w:val="00312B1A"/>
    <w:rsid w:val="00313497"/>
    <w:rsid w:val="0031524B"/>
    <w:rsid w:val="00316125"/>
    <w:rsid w:val="00316282"/>
    <w:rsid w:val="00316C8C"/>
    <w:rsid w:val="00317335"/>
    <w:rsid w:val="003202FC"/>
    <w:rsid w:val="00321EEC"/>
    <w:rsid w:val="00323F4B"/>
    <w:rsid w:val="00323F6D"/>
    <w:rsid w:val="003242F8"/>
    <w:rsid w:val="00324BBF"/>
    <w:rsid w:val="00325048"/>
    <w:rsid w:val="003263E0"/>
    <w:rsid w:val="00326A26"/>
    <w:rsid w:val="00327D76"/>
    <w:rsid w:val="00327E2E"/>
    <w:rsid w:val="0033012E"/>
    <w:rsid w:val="0033073F"/>
    <w:rsid w:val="003311F5"/>
    <w:rsid w:val="003312F6"/>
    <w:rsid w:val="003314AF"/>
    <w:rsid w:val="00331D9D"/>
    <w:rsid w:val="0033247A"/>
    <w:rsid w:val="003336C0"/>
    <w:rsid w:val="00333877"/>
    <w:rsid w:val="00333900"/>
    <w:rsid w:val="0033567B"/>
    <w:rsid w:val="003374D1"/>
    <w:rsid w:val="0033773C"/>
    <w:rsid w:val="00337CF2"/>
    <w:rsid w:val="0034077A"/>
    <w:rsid w:val="00342372"/>
    <w:rsid w:val="00342A56"/>
    <w:rsid w:val="00343A65"/>
    <w:rsid w:val="00344D8A"/>
    <w:rsid w:val="00344FD9"/>
    <w:rsid w:val="0034528E"/>
    <w:rsid w:val="00346D86"/>
    <w:rsid w:val="003474F3"/>
    <w:rsid w:val="00347AC4"/>
    <w:rsid w:val="00351297"/>
    <w:rsid w:val="00351606"/>
    <w:rsid w:val="00352200"/>
    <w:rsid w:val="00352464"/>
    <w:rsid w:val="00353141"/>
    <w:rsid w:val="003553AC"/>
    <w:rsid w:val="003558C8"/>
    <w:rsid w:val="00356695"/>
    <w:rsid w:val="00356878"/>
    <w:rsid w:val="0035733A"/>
    <w:rsid w:val="00360311"/>
    <w:rsid w:val="00361159"/>
    <w:rsid w:val="0036119B"/>
    <w:rsid w:val="0036173B"/>
    <w:rsid w:val="0036222E"/>
    <w:rsid w:val="003633E0"/>
    <w:rsid w:val="003640C4"/>
    <w:rsid w:val="0036440C"/>
    <w:rsid w:val="003644AD"/>
    <w:rsid w:val="00364D88"/>
    <w:rsid w:val="00364DD9"/>
    <w:rsid w:val="00365BC3"/>
    <w:rsid w:val="00366274"/>
    <w:rsid w:val="00367B60"/>
    <w:rsid w:val="00370490"/>
    <w:rsid w:val="00370627"/>
    <w:rsid w:val="00370C37"/>
    <w:rsid w:val="00371D7C"/>
    <w:rsid w:val="00373595"/>
    <w:rsid w:val="00373C90"/>
    <w:rsid w:val="0037500F"/>
    <w:rsid w:val="003804A6"/>
    <w:rsid w:val="00380B11"/>
    <w:rsid w:val="00380B21"/>
    <w:rsid w:val="003811DC"/>
    <w:rsid w:val="003842D7"/>
    <w:rsid w:val="003851D1"/>
    <w:rsid w:val="0038573B"/>
    <w:rsid w:val="00386C6F"/>
    <w:rsid w:val="00386DB3"/>
    <w:rsid w:val="00390BFD"/>
    <w:rsid w:val="00390C6C"/>
    <w:rsid w:val="003916B8"/>
    <w:rsid w:val="00391BC5"/>
    <w:rsid w:val="003925DE"/>
    <w:rsid w:val="003927ED"/>
    <w:rsid w:val="00392EDA"/>
    <w:rsid w:val="0039312A"/>
    <w:rsid w:val="0039319A"/>
    <w:rsid w:val="003937C6"/>
    <w:rsid w:val="00394800"/>
    <w:rsid w:val="00395BF5"/>
    <w:rsid w:val="00397CB6"/>
    <w:rsid w:val="003A1FCC"/>
    <w:rsid w:val="003A2D10"/>
    <w:rsid w:val="003A2DB3"/>
    <w:rsid w:val="003A307F"/>
    <w:rsid w:val="003A3B97"/>
    <w:rsid w:val="003A4C5F"/>
    <w:rsid w:val="003A62E6"/>
    <w:rsid w:val="003A63A3"/>
    <w:rsid w:val="003A652D"/>
    <w:rsid w:val="003A7FA2"/>
    <w:rsid w:val="003B00CE"/>
    <w:rsid w:val="003B18B9"/>
    <w:rsid w:val="003B1C37"/>
    <w:rsid w:val="003B270E"/>
    <w:rsid w:val="003B2A65"/>
    <w:rsid w:val="003B2E99"/>
    <w:rsid w:val="003B30D8"/>
    <w:rsid w:val="003B32F1"/>
    <w:rsid w:val="003B4EA6"/>
    <w:rsid w:val="003B5991"/>
    <w:rsid w:val="003B6C77"/>
    <w:rsid w:val="003B7349"/>
    <w:rsid w:val="003B7DAF"/>
    <w:rsid w:val="003C2B52"/>
    <w:rsid w:val="003C2B92"/>
    <w:rsid w:val="003C34EC"/>
    <w:rsid w:val="003C3F9A"/>
    <w:rsid w:val="003C5B05"/>
    <w:rsid w:val="003C620D"/>
    <w:rsid w:val="003C6A32"/>
    <w:rsid w:val="003C6F02"/>
    <w:rsid w:val="003C7E01"/>
    <w:rsid w:val="003D05B0"/>
    <w:rsid w:val="003D0A2A"/>
    <w:rsid w:val="003D0CC1"/>
    <w:rsid w:val="003D18E2"/>
    <w:rsid w:val="003D2006"/>
    <w:rsid w:val="003D2AED"/>
    <w:rsid w:val="003D377D"/>
    <w:rsid w:val="003D4DA2"/>
    <w:rsid w:val="003D5CCC"/>
    <w:rsid w:val="003D5D9F"/>
    <w:rsid w:val="003D6559"/>
    <w:rsid w:val="003E06D9"/>
    <w:rsid w:val="003E0880"/>
    <w:rsid w:val="003E0A6F"/>
    <w:rsid w:val="003E0B37"/>
    <w:rsid w:val="003E0C5B"/>
    <w:rsid w:val="003E0E94"/>
    <w:rsid w:val="003E1470"/>
    <w:rsid w:val="003E2238"/>
    <w:rsid w:val="003E3889"/>
    <w:rsid w:val="003E4363"/>
    <w:rsid w:val="003E4C7C"/>
    <w:rsid w:val="003E510A"/>
    <w:rsid w:val="003E5516"/>
    <w:rsid w:val="003E59CF"/>
    <w:rsid w:val="003E5DC9"/>
    <w:rsid w:val="003E61F2"/>
    <w:rsid w:val="003E7A40"/>
    <w:rsid w:val="003F0A24"/>
    <w:rsid w:val="003F0ABF"/>
    <w:rsid w:val="003F109D"/>
    <w:rsid w:val="003F148F"/>
    <w:rsid w:val="003F15FC"/>
    <w:rsid w:val="003F20BA"/>
    <w:rsid w:val="003F2807"/>
    <w:rsid w:val="003F2980"/>
    <w:rsid w:val="003F29DA"/>
    <w:rsid w:val="003F3043"/>
    <w:rsid w:val="003F30B3"/>
    <w:rsid w:val="003F30F7"/>
    <w:rsid w:val="003F3332"/>
    <w:rsid w:val="003F4B6A"/>
    <w:rsid w:val="003F5539"/>
    <w:rsid w:val="003F5A51"/>
    <w:rsid w:val="003F686D"/>
    <w:rsid w:val="003F6DC6"/>
    <w:rsid w:val="003F7113"/>
    <w:rsid w:val="003F72A5"/>
    <w:rsid w:val="0040101A"/>
    <w:rsid w:val="004029BB"/>
    <w:rsid w:val="00402AA2"/>
    <w:rsid w:val="00402C32"/>
    <w:rsid w:val="0040389C"/>
    <w:rsid w:val="00403D9E"/>
    <w:rsid w:val="0040410E"/>
    <w:rsid w:val="00404B91"/>
    <w:rsid w:val="004061C4"/>
    <w:rsid w:val="004074A4"/>
    <w:rsid w:val="00407D23"/>
    <w:rsid w:val="00411970"/>
    <w:rsid w:val="004137FD"/>
    <w:rsid w:val="0041395B"/>
    <w:rsid w:val="004142F2"/>
    <w:rsid w:val="00414325"/>
    <w:rsid w:val="00414B14"/>
    <w:rsid w:val="00414D31"/>
    <w:rsid w:val="00415EB6"/>
    <w:rsid w:val="00417935"/>
    <w:rsid w:val="004179AE"/>
    <w:rsid w:val="00417FB0"/>
    <w:rsid w:val="00420320"/>
    <w:rsid w:val="0042070B"/>
    <w:rsid w:val="0042091C"/>
    <w:rsid w:val="0042172E"/>
    <w:rsid w:val="004218D7"/>
    <w:rsid w:val="00421B37"/>
    <w:rsid w:val="00421E60"/>
    <w:rsid w:val="004227D5"/>
    <w:rsid w:val="00423209"/>
    <w:rsid w:val="00423384"/>
    <w:rsid w:val="00423AAF"/>
    <w:rsid w:val="00423AF6"/>
    <w:rsid w:val="00423E6A"/>
    <w:rsid w:val="004258CC"/>
    <w:rsid w:val="00425964"/>
    <w:rsid w:val="00426CF1"/>
    <w:rsid w:val="0042763C"/>
    <w:rsid w:val="004278CB"/>
    <w:rsid w:val="004306A0"/>
    <w:rsid w:val="004306BD"/>
    <w:rsid w:val="00430A20"/>
    <w:rsid w:val="00430BCA"/>
    <w:rsid w:val="0043228B"/>
    <w:rsid w:val="00432408"/>
    <w:rsid w:val="0043426B"/>
    <w:rsid w:val="0043556C"/>
    <w:rsid w:val="00435B74"/>
    <w:rsid w:val="00436600"/>
    <w:rsid w:val="0044205E"/>
    <w:rsid w:val="004420F8"/>
    <w:rsid w:val="0044246F"/>
    <w:rsid w:val="00442669"/>
    <w:rsid w:val="00442846"/>
    <w:rsid w:val="0044296A"/>
    <w:rsid w:val="00443571"/>
    <w:rsid w:val="00444294"/>
    <w:rsid w:val="00447187"/>
    <w:rsid w:val="0045036E"/>
    <w:rsid w:val="00451074"/>
    <w:rsid w:val="00451083"/>
    <w:rsid w:val="004511C9"/>
    <w:rsid w:val="0045199F"/>
    <w:rsid w:val="00451E21"/>
    <w:rsid w:val="00454067"/>
    <w:rsid w:val="004557F9"/>
    <w:rsid w:val="00455A9A"/>
    <w:rsid w:val="00456136"/>
    <w:rsid w:val="00456AF2"/>
    <w:rsid w:val="00456E66"/>
    <w:rsid w:val="00457909"/>
    <w:rsid w:val="00457B87"/>
    <w:rsid w:val="004606A7"/>
    <w:rsid w:val="0046158D"/>
    <w:rsid w:val="004619E8"/>
    <w:rsid w:val="00462751"/>
    <w:rsid w:val="00464260"/>
    <w:rsid w:val="00467151"/>
    <w:rsid w:val="00470014"/>
    <w:rsid w:val="00471E6A"/>
    <w:rsid w:val="004725CB"/>
    <w:rsid w:val="00473603"/>
    <w:rsid w:val="00473F3D"/>
    <w:rsid w:val="00474220"/>
    <w:rsid w:val="00475084"/>
    <w:rsid w:val="004759D5"/>
    <w:rsid w:val="004762B5"/>
    <w:rsid w:val="00476A5A"/>
    <w:rsid w:val="00476CFC"/>
    <w:rsid w:val="00480D37"/>
    <w:rsid w:val="0048335C"/>
    <w:rsid w:val="00485369"/>
    <w:rsid w:val="004855AE"/>
    <w:rsid w:val="00486EB1"/>
    <w:rsid w:val="004870E9"/>
    <w:rsid w:val="004877D9"/>
    <w:rsid w:val="004878CE"/>
    <w:rsid w:val="004879E2"/>
    <w:rsid w:val="0049054A"/>
    <w:rsid w:val="00490709"/>
    <w:rsid w:val="00491248"/>
    <w:rsid w:val="00491ADD"/>
    <w:rsid w:val="00491E0B"/>
    <w:rsid w:val="00493451"/>
    <w:rsid w:val="00494C9E"/>
    <w:rsid w:val="00495030"/>
    <w:rsid w:val="00495633"/>
    <w:rsid w:val="004958DE"/>
    <w:rsid w:val="00495ED0"/>
    <w:rsid w:val="0049639F"/>
    <w:rsid w:val="00496659"/>
    <w:rsid w:val="00496FBE"/>
    <w:rsid w:val="00497A1F"/>
    <w:rsid w:val="004A0127"/>
    <w:rsid w:val="004A08AF"/>
    <w:rsid w:val="004A0C7A"/>
    <w:rsid w:val="004A1663"/>
    <w:rsid w:val="004A1D3A"/>
    <w:rsid w:val="004A22B2"/>
    <w:rsid w:val="004A35EF"/>
    <w:rsid w:val="004A3B91"/>
    <w:rsid w:val="004A40FE"/>
    <w:rsid w:val="004A543D"/>
    <w:rsid w:val="004A657E"/>
    <w:rsid w:val="004A65B0"/>
    <w:rsid w:val="004A67CC"/>
    <w:rsid w:val="004A69F4"/>
    <w:rsid w:val="004A75AA"/>
    <w:rsid w:val="004A7CBB"/>
    <w:rsid w:val="004B26AD"/>
    <w:rsid w:val="004B4106"/>
    <w:rsid w:val="004B4612"/>
    <w:rsid w:val="004B4E32"/>
    <w:rsid w:val="004B57A0"/>
    <w:rsid w:val="004B6220"/>
    <w:rsid w:val="004B6D09"/>
    <w:rsid w:val="004B70C0"/>
    <w:rsid w:val="004B7C93"/>
    <w:rsid w:val="004B7D4F"/>
    <w:rsid w:val="004C0ADF"/>
    <w:rsid w:val="004C0EA2"/>
    <w:rsid w:val="004C348C"/>
    <w:rsid w:val="004C35F5"/>
    <w:rsid w:val="004C3835"/>
    <w:rsid w:val="004C4D3C"/>
    <w:rsid w:val="004C5EC3"/>
    <w:rsid w:val="004C6D76"/>
    <w:rsid w:val="004C738F"/>
    <w:rsid w:val="004D0B2D"/>
    <w:rsid w:val="004D118B"/>
    <w:rsid w:val="004D23C2"/>
    <w:rsid w:val="004D3472"/>
    <w:rsid w:val="004D4776"/>
    <w:rsid w:val="004D67C7"/>
    <w:rsid w:val="004E0E1B"/>
    <w:rsid w:val="004E109F"/>
    <w:rsid w:val="004E1839"/>
    <w:rsid w:val="004E187A"/>
    <w:rsid w:val="004E3680"/>
    <w:rsid w:val="004E3835"/>
    <w:rsid w:val="004E42B4"/>
    <w:rsid w:val="004E516F"/>
    <w:rsid w:val="004E57A7"/>
    <w:rsid w:val="004E60C7"/>
    <w:rsid w:val="004E61F2"/>
    <w:rsid w:val="004E6521"/>
    <w:rsid w:val="004E78F4"/>
    <w:rsid w:val="004E7FF2"/>
    <w:rsid w:val="004F0391"/>
    <w:rsid w:val="004F0F65"/>
    <w:rsid w:val="004F28AE"/>
    <w:rsid w:val="004F3414"/>
    <w:rsid w:val="004F498C"/>
    <w:rsid w:val="004F5D77"/>
    <w:rsid w:val="0050036B"/>
    <w:rsid w:val="00500C52"/>
    <w:rsid w:val="0050191E"/>
    <w:rsid w:val="005020B2"/>
    <w:rsid w:val="005021CB"/>
    <w:rsid w:val="00503AC8"/>
    <w:rsid w:val="00504557"/>
    <w:rsid w:val="00505ED4"/>
    <w:rsid w:val="005073A9"/>
    <w:rsid w:val="00510282"/>
    <w:rsid w:val="005110E1"/>
    <w:rsid w:val="00511249"/>
    <w:rsid w:val="0051149A"/>
    <w:rsid w:val="00511E35"/>
    <w:rsid w:val="00512728"/>
    <w:rsid w:val="00512E1F"/>
    <w:rsid w:val="0051307C"/>
    <w:rsid w:val="005142FC"/>
    <w:rsid w:val="00515295"/>
    <w:rsid w:val="0051564F"/>
    <w:rsid w:val="005159B4"/>
    <w:rsid w:val="00515C5D"/>
    <w:rsid w:val="00516419"/>
    <w:rsid w:val="00516CE9"/>
    <w:rsid w:val="00516E0B"/>
    <w:rsid w:val="0051703D"/>
    <w:rsid w:val="0052133A"/>
    <w:rsid w:val="0052241F"/>
    <w:rsid w:val="00523667"/>
    <w:rsid w:val="005253D6"/>
    <w:rsid w:val="00525812"/>
    <w:rsid w:val="00525BE5"/>
    <w:rsid w:val="0052706B"/>
    <w:rsid w:val="00527473"/>
    <w:rsid w:val="00527569"/>
    <w:rsid w:val="00530373"/>
    <w:rsid w:val="005307D8"/>
    <w:rsid w:val="005319EF"/>
    <w:rsid w:val="00531A70"/>
    <w:rsid w:val="005323F0"/>
    <w:rsid w:val="005323F5"/>
    <w:rsid w:val="0053391C"/>
    <w:rsid w:val="00534659"/>
    <w:rsid w:val="005347FD"/>
    <w:rsid w:val="00535472"/>
    <w:rsid w:val="0053648F"/>
    <w:rsid w:val="00536BFE"/>
    <w:rsid w:val="005377C6"/>
    <w:rsid w:val="005402D2"/>
    <w:rsid w:val="00543505"/>
    <w:rsid w:val="005444FD"/>
    <w:rsid w:val="0054487F"/>
    <w:rsid w:val="0054498F"/>
    <w:rsid w:val="00544FB4"/>
    <w:rsid w:val="00545A18"/>
    <w:rsid w:val="00546A80"/>
    <w:rsid w:val="005475F3"/>
    <w:rsid w:val="0055166C"/>
    <w:rsid w:val="00551FC3"/>
    <w:rsid w:val="00551FDA"/>
    <w:rsid w:val="00552644"/>
    <w:rsid w:val="00552BE2"/>
    <w:rsid w:val="00553F35"/>
    <w:rsid w:val="00554373"/>
    <w:rsid w:val="005557DD"/>
    <w:rsid w:val="005558FF"/>
    <w:rsid w:val="00555EB9"/>
    <w:rsid w:val="00556245"/>
    <w:rsid w:val="005568D6"/>
    <w:rsid w:val="005575AB"/>
    <w:rsid w:val="00557CFA"/>
    <w:rsid w:val="00560515"/>
    <w:rsid w:val="0056082D"/>
    <w:rsid w:val="00560D04"/>
    <w:rsid w:val="00561026"/>
    <w:rsid w:val="005626DC"/>
    <w:rsid w:val="0056344D"/>
    <w:rsid w:val="00563ED5"/>
    <w:rsid w:val="00564594"/>
    <w:rsid w:val="00564BED"/>
    <w:rsid w:val="00564F4B"/>
    <w:rsid w:val="00566D5C"/>
    <w:rsid w:val="005675FD"/>
    <w:rsid w:val="00567AF4"/>
    <w:rsid w:val="005703CE"/>
    <w:rsid w:val="00571082"/>
    <w:rsid w:val="0057123D"/>
    <w:rsid w:val="0057137E"/>
    <w:rsid w:val="00571ED3"/>
    <w:rsid w:val="005722F1"/>
    <w:rsid w:val="00572359"/>
    <w:rsid w:val="00573A1E"/>
    <w:rsid w:val="00573AA8"/>
    <w:rsid w:val="00573D35"/>
    <w:rsid w:val="00574E84"/>
    <w:rsid w:val="0057503B"/>
    <w:rsid w:val="005757D2"/>
    <w:rsid w:val="00575A06"/>
    <w:rsid w:val="0057625A"/>
    <w:rsid w:val="00576770"/>
    <w:rsid w:val="0058045E"/>
    <w:rsid w:val="00580638"/>
    <w:rsid w:val="00580F34"/>
    <w:rsid w:val="00581079"/>
    <w:rsid w:val="0058126A"/>
    <w:rsid w:val="00581EBB"/>
    <w:rsid w:val="005820DC"/>
    <w:rsid w:val="00582ADE"/>
    <w:rsid w:val="00582F08"/>
    <w:rsid w:val="00583176"/>
    <w:rsid w:val="00584A8C"/>
    <w:rsid w:val="00584E19"/>
    <w:rsid w:val="005853FD"/>
    <w:rsid w:val="005858E7"/>
    <w:rsid w:val="00586944"/>
    <w:rsid w:val="00587A05"/>
    <w:rsid w:val="00587DEE"/>
    <w:rsid w:val="0059009A"/>
    <w:rsid w:val="0059067D"/>
    <w:rsid w:val="00594816"/>
    <w:rsid w:val="00595088"/>
    <w:rsid w:val="00595482"/>
    <w:rsid w:val="0059677B"/>
    <w:rsid w:val="00596A20"/>
    <w:rsid w:val="00596CE4"/>
    <w:rsid w:val="005A101D"/>
    <w:rsid w:val="005A135F"/>
    <w:rsid w:val="005A18D6"/>
    <w:rsid w:val="005A1C23"/>
    <w:rsid w:val="005A22CE"/>
    <w:rsid w:val="005A29E7"/>
    <w:rsid w:val="005A336D"/>
    <w:rsid w:val="005A4148"/>
    <w:rsid w:val="005A52E8"/>
    <w:rsid w:val="005A62DB"/>
    <w:rsid w:val="005A69ED"/>
    <w:rsid w:val="005A7274"/>
    <w:rsid w:val="005A794F"/>
    <w:rsid w:val="005B0BED"/>
    <w:rsid w:val="005B0C73"/>
    <w:rsid w:val="005B13AA"/>
    <w:rsid w:val="005B13FE"/>
    <w:rsid w:val="005B209C"/>
    <w:rsid w:val="005B2403"/>
    <w:rsid w:val="005B261C"/>
    <w:rsid w:val="005B2F0A"/>
    <w:rsid w:val="005B2FC7"/>
    <w:rsid w:val="005B4067"/>
    <w:rsid w:val="005B42F2"/>
    <w:rsid w:val="005B4D5D"/>
    <w:rsid w:val="005B5591"/>
    <w:rsid w:val="005B7986"/>
    <w:rsid w:val="005B7CD6"/>
    <w:rsid w:val="005C0D41"/>
    <w:rsid w:val="005C3192"/>
    <w:rsid w:val="005C4622"/>
    <w:rsid w:val="005C4FA4"/>
    <w:rsid w:val="005C5158"/>
    <w:rsid w:val="005C6900"/>
    <w:rsid w:val="005C6B85"/>
    <w:rsid w:val="005C6DE2"/>
    <w:rsid w:val="005C6EEC"/>
    <w:rsid w:val="005C77E5"/>
    <w:rsid w:val="005C7D2D"/>
    <w:rsid w:val="005D0115"/>
    <w:rsid w:val="005D0351"/>
    <w:rsid w:val="005D12EA"/>
    <w:rsid w:val="005D2308"/>
    <w:rsid w:val="005D32A6"/>
    <w:rsid w:val="005D4786"/>
    <w:rsid w:val="005D585C"/>
    <w:rsid w:val="005D5A99"/>
    <w:rsid w:val="005D60AD"/>
    <w:rsid w:val="005D62D9"/>
    <w:rsid w:val="005D7DAC"/>
    <w:rsid w:val="005E0663"/>
    <w:rsid w:val="005E0D40"/>
    <w:rsid w:val="005E15A9"/>
    <w:rsid w:val="005E2F8B"/>
    <w:rsid w:val="005E4272"/>
    <w:rsid w:val="005E4901"/>
    <w:rsid w:val="005E68D7"/>
    <w:rsid w:val="005E6F3F"/>
    <w:rsid w:val="005E7D04"/>
    <w:rsid w:val="005F06AB"/>
    <w:rsid w:val="005F2873"/>
    <w:rsid w:val="005F2B5C"/>
    <w:rsid w:val="005F33DF"/>
    <w:rsid w:val="005F3F08"/>
    <w:rsid w:val="005F4673"/>
    <w:rsid w:val="005F4810"/>
    <w:rsid w:val="005F4A4A"/>
    <w:rsid w:val="005F5EFF"/>
    <w:rsid w:val="005F6B0B"/>
    <w:rsid w:val="005F77C5"/>
    <w:rsid w:val="00601096"/>
    <w:rsid w:val="00602126"/>
    <w:rsid w:val="00602268"/>
    <w:rsid w:val="00603846"/>
    <w:rsid w:val="00604264"/>
    <w:rsid w:val="00605F5F"/>
    <w:rsid w:val="006077D0"/>
    <w:rsid w:val="006078FF"/>
    <w:rsid w:val="00607D28"/>
    <w:rsid w:val="0061050A"/>
    <w:rsid w:val="00610C91"/>
    <w:rsid w:val="00612501"/>
    <w:rsid w:val="0061328A"/>
    <w:rsid w:val="006136B4"/>
    <w:rsid w:val="006145E7"/>
    <w:rsid w:val="00615F98"/>
    <w:rsid w:val="0061794F"/>
    <w:rsid w:val="00617ACF"/>
    <w:rsid w:val="00622BF3"/>
    <w:rsid w:val="00622FD7"/>
    <w:rsid w:val="00623357"/>
    <w:rsid w:val="00623F21"/>
    <w:rsid w:val="00624045"/>
    <w:rsid w:val="00624370"/>
    <w:rsid w:val="00625762"/>
    <w:rsid w:val="00625A3D"/>
    <w:rsid w:val="00625B5C"/>
    <w:rsid w:val="00625E33"/>
    <w:rsid w:val="00626673"/>
    <w:rsid w:val="00627A06"/>
    <w:rsid w:val="00630C11"/>
    <w:rsid w:val="00630FEE"/>
    <w:rsid w:val="00631BAB"/>
    <w:rsid w:val="00632728"/>
    <w:rsid w:val="006348A0"/>
    <w:rsid w:val="00634D5F"/>
    <w:rsid w:val="00634F81"/>
    <w:rsid w:val="0063525B"/>
    <w:rsid w:val="00635D37"/>
    <w:rsid w:val="006369D6"/>
    <w:rsid w:val="00636EF2"/>
    <w:rsid w:val="0063709C"/>
    <w:rsid w:val="00640826"/>
    <w:rsid w:val="00641844"/>
    <w:rsid w:val="00641BE2"/>
    <w:rsid w:val="006422C0"/>
    <w:rsid w:val="00643019"/>
    <w:rsid w:val="00643869"/>
    <w:rsid w:val="006441C4"/>
    <w:rsid w:val="006456B1"/>
    <w:rsid w:val="00646351"/>
    <w:rsid w:val="00646DC4"/>
    <w:rsid w:val="0064777D"/>
    <w:rsid w:val="00647990"/>
    <w:rsid w:val="00647D9C"/>
    <w:rsid w:val="00650571"/>
    <w:rsid w:val="00651D12"/>
    <w:rsid w:val="006528EE"/>
    <w:rsid w:val="00655C24"/>
    <w:rsid w:val="006564D7"/>
    <w:rsid w:val="00656641"/>
    <w:rsid w:val="00656970"/>
    <w:rsid w:val="006603A9"/>
    <w:rsid w:val="00660471"/>
    <w:rsid w:val="00660B9A"/>
    <w:rsid w:val="00660C2C"/>
    <w:rsid w:val="00661F1F"/>
    <w:rsid w:val="00663DD9"/>
    <w:rsid w:val="0066456F"/>
    <w:rsid w:val="00665C4A"/>
    <w:rsid w:val="006667F3"/>
    <w:rsid w:val="00667D55"/>
    <w:rsid w:val="00671ABB"/>
    <w:rsid w:val="00672D4F"/>
    <w:rsid w:val="00672E32"/>
    <w:rsid w:val="006732EC"/>
    <w:rsid w:val="00673FFC"/>
    <w:rsid w:val="006746DC"/>
    <w:rsid w:val="00674F53"/>
    <w:rsid w:val="006756BB"/>
    <w:rsid w:val="00675978"/>
    <w:rsid w:val="00675DBA"/>
    <w:rsid w:val="00675F35"/>
    <w:rsid w:val="00676A5D"/>
    <w:rsid w:val="00677CA4"/>
    <w:rsid w:val="00681470"/>
    <w:rsid w:val="00681B0F"/>
    <w:rsid w:val="00681DAB"/>
    <w:rsid w:val="00684056"/>
    <w:rsid w:val="00684567"/>
    <w:rsid w:val="006854C0"/>
    <w:rsid w:val="00685A84"/>
    <w:rsid w:val="00685DC2"/>
    <w:rsid w:val="00686A7B"/>
    <w:rsid w:val="00687B2A"/>
    <w:rsid w:val="00687D0C"/>
    <w:rsid w:val="006907FF"/>
    <w:rsid w:val="0069235D"/>
    <w:rsid w:val="00692971"/>
    <w:rsid w:val="00693727"/>
    <w:rsid w:val="00693811"/>
    <w:rsid w:val="00693814"/>
    <w:rsid w:val="006948DA"/>
    <w:rsid w:val="006953CC"/>
    <w:rsid w:val="0069569B"/>
    <w:rsid w:val="00695824"/>
    <w:rsid w:val="006966EE"/>
    <w:rsid w:val="00696DE8"/>
    <w:rsid w:val="006A0D11"/>
    <w:rsid w:val="006A113C"/>
    <w:rsid w:val="006A1DA2"/>
    <w:rsid w:val="006A27DD"/>
    <w:rsid w:val="006A27F6"/>
    <w:rsid w:val="006A29D0"/>
    <w:rsid w:val="006A31F9"/>
    <w:rsid w:val="006A3E32"/>
    <w:rsid w:val="006A3F44"/>
    <w:rsid w:val="006A4282"/>
    <w:rsid w:val="006A515A"/>
    <w:rsid w:val="006A54CE"/>
    <w:rsid w:val="006A59B3"/>
    <w:rsid w:val="006A5F5E"/>
    <w:rsid w:val="006A629A"/>
    <w:rsid w:val="006A696B"/>
    <w:rsid w:val="006A6A99"/>
    <w:rsid w:val="006A7760"/>
    <w:rsid w:val="006A78F0"/>
    <w:rsid w:val="006A7AB9"/>
    <w:rsid w:val="006B0637"/>
    <w:rsid w:val="006B06B8"/>
    <w:rsid w:val="006B0D29"/>
    <w:rsid w:val="006B1B9B"/>
    <w:rsid w:val="006B43EA"/>
    <w:rsid w:val="006B4A64"/>
    <w:rsid w:val="006B52E0"/>
    <w:rsid w:val="006B5E27"/>
    <w:rsid w:val="006B5EC3"/>
    <w:rsid w:val="006B6357"/>
    <w:rsid w:val="006B66E2"/>
    <w:rsid w:val="006B7F31"/>
    <w:rsid w:val="006C098A"/>
    <w:rsid w:val="006C15D7"/>
    <w:rsid w:val="006C257D"/>
    <w:rsid w:val="006C3899"/>
    <w:rsid w:val="006C470A"/>
    <w:rsid w:val="006C4C68"/>
    <w:rsid w:val="006C59B0"/>
    <w:rsid w:val="006C65D9"/>
    <w:rsid w:val="006C6B2F"/>
    <w:rsid w:val="006D0FE8"/>
    <w:rsid w:val="006D14E0"/>
    <w:rsid w:val="006D234C"/>
    <w:rsid w:val="006D24BE"/>
    <w:rsid w:val="006D27E1"/>
    <w:rsid w:val="006D2CC0"/>
    <w:rsid w:val="006D3271"/>
    <w:rsid w:val="006D47BD"/>
    <w:rsid w:val="006D49F4"/>
    <w:rsid w:val="006D4CA5"/>
    <w:rsid w:val="006D5034"/>
    <w:rsid w:val="006D5A87"/>
    <w:rsid w:val="006D6625"/>
    <w:rsid w:val="006D7B2F"/>
    <w:rsid w:val="006E0227"/>
    <w:rsid w:val="006E0DB5"/>
    <w:rsid w:val="006E1CEA"/>
    <w:rsid w:val="006E2B78"/>
    <w:rsid w:val="006E3350"/>
    <w:rsid w:val="006E400E"/>
    <w:rsid w:val="006E4363"/>
    <w:rsid w:val="006E493E"/>
    <w:rsid w:val="006E4B12"/>
    <w:rsid w:val="006E54BE"/>
    <w:rsid w:val="006E58A0"/>
    <w:rsid w:val="006E59C3"/>
    <w:rsid w:val="006E5F5D"/>
    <w:rsid w:val="006E5FE1"/>
    <w:rsid w:val="006E6291"/>
    <w:rsid w:val="006E6C58"/>
    <w:rsid w:val="006E6EE0"/>
    <w:rsid w:val="006E70CB"/>
    <w:rsid w:val="006E7985"/>
    <w:rsid w:val="006E7E69"/>
    <w:rsid w:val="006F186F"/>
    <w:rsid w:val="006F2174"/>
    <w:rsid w:val="006F2AD4"/>
    <w:rsid w:val="006F3E50"/>
    <w:rsid w:val="006F5F83"/>
    <w:rsid w:val="006F6C71"/>
    <w:rsid w:val="006F6D90"/>
    <w:rsid w:val="006F72B9"/>
    <w:rsid w:val="006F7CCD"/>
    <w:rsid w:val="0070016D"/>
    <w:rsid w:val="00700871"/>
    <w:rsid w:val="00703E2F"/>
    <w:rsid w:val="00704289"/>
    <w:rsid w:val="00705C7A"/>
    <w:rsid w:val="007066D8"/>
    <w:rsid w:val="0071085E"/>
    <w:rsid w:val="007110FC"/>
    <w:rsid w:val="00711902"/>
    <w:rsid w:val="00711BF6"/>
    <w:rsid w:val="0071281D"/>
    <w:rsid w:val="00713106"/>
    <w:rsid w:val="00713D81"/>
    <w:rsid w:val="00717062"/>
    <w:rsid w:val="007175C6"/>
    <w:rsid w:val="0072025B"/>
    <w:rsid w:val="007203EB"/>
    <w:rsid w:val="007209DD"/>
    <w:rsid w:val="00721438"/>
    <w:rsid w:val="007228FE"/>
    <w:rsid w:val="00722D43"/>
    <w:rsid w:val="00724D4D"/>
    <w:rsid w:val="00724DA7"/>
    <w:rsid w:val="00725126"/>
    <w:rsid w:val="007253D2"/>
    <w:rsid w:val="00727C14"/>
    <w:rsid w:val="00730CA2"/>
    <w:rsid w:val="0073230B"/>
    <w:rsid w:val="00732E28"/>
    <w:rsid w:val="00733393"/>
    <w:rsid w:val="00733D61"/>
    <w:rsid w:val="0073426D"/>
    <w:rsid w:val="00735F1D"/>
    <w:rsid w:val="007372A7"/>
    <w:rsid w:val="007375D5"/>
    <w:rsid w:val="00737600"/>
    <w:rsid w:val="007404C9"/>
    <w:rsid w:val="007407A2"/>
    <w:rsid w:val="007410DC"/>
    <w:rsid w:val="00741125"/>
    <w:rsid w:val="007415C1"/>
    <w:rsid w:val="00741915"/>
    <w:rsid w:val="00741CF3"/>
    <w:rsid w:val="00741DE0"/>
    <w:rsid w:val="00742384"/>
    <w:rsid w:val="007426C7"/>
    <w:rsid w:val="007427F8"/>
    <w:rsid w:val="0074309A"/>
    <w:rsid w:val="00744069"/>
    <w:rsid w:val="00745B20"/>
    <w:rsid w:val="007477C7"/>
    <w:rsid w:val="00747FFE"/>
    <w:rsid w:val="00751818"/>
    <w:rsid w:val="00751BD8"/>
    <w:rsid w:val="00752D36"/>
    <w:rsid w:val="00752E54"/>
    <w:rsid w:val="00753500"/>
    <w:rsid w:val="0075385C"/>
    <w:rsid w:val="00753C9A"/>
    <w:rsid w:val="00753DF5"/>
    <w:rsid w:val="00756732"/>
    <w:rsid w:val="00756744"/>
    <w:rsid w:val="00756950"/>
    <w:rsid w:val="00757B39"/>
    <w:rsid w:val="00757FFC"/>
    <w:rsid w:val="00760875"/>
    <w:rsid w:val="007612D4"/>
    <w:rsid w:val="00761695"/>
    <w:rsid w:val="00762564"/>
    <w:rsid w:val="007629FC"/>
    <w:rsid w:val="00763CB6"/>
    <w:rsid w:val="00764B2E"/>
    <w:rsid w:val="00765AB0"/>
    <w:rsid w:val="007662DC"/>
    <w:rsid w:val="00766613"/>
    <w:rsid w:val="00766CC5"/>
    <w:rsid w:val="00767F6F"/>
    <w:rsid w:val="007703FF"/>
    <w:rsid w:val="00770958"/>
    <w:rsid w:val="00771A1D"/>
    <w:rsid w:val="00772092"/>
    <w:rsid w:val="007735DA"/>
    <w:rsid w:val="00773D09"/>
    <w:rsid w:val="0077482D"/>
    <w:rsid w:val="007748E4"/>
    <w:rsid w:val="00774EAF"/>
    <w:rsid w:val="00774EFD"/>
    <w:rsid w:val="00775840"/>
    <w:rsid w:val="00776695"/>
    <w:rsid w:val="00776A9F"/>
    <w:rsid w:val="00777207"/>
    <w:rsid w:val="0077750F"/>
    <w:rsid w:val="00780034"/>
    <w:rsid w:val="00780252"/>
    <w:rsid w:val="00780F25"/>
    <w:rsid w:val="007830CE"/>
    <w:rsid w:val="0078342E"/>
    <w:rsid w:val="0078420A"/>
    <w:rsid w:val="00784C2F"/>
    <w:rsid w:val="00785976"/>
    <w:rsid w:val="007859F5"/>
    <w:rsid w:val="0078639B"/>
    <w:rsid w:val="00786633"/>
    <w:rsid w:val="00786790"/>
    <w:rsid w:val="00787E63"/>
    <w:rsid w:val="00787E7A"/>
    <w:rsid w:val="00790529"/>
    <w:rsid w:val="00790CDC"/>
    <w:rsid w:val="00791975"/>
    <w:rsid w:val="00792EB6"/>
    <w:rsid w:val="00792F86"/>
    <w:rsid w:val="00794A2C"/>
    <w:rsid w:val="00795278"/>
    <w:rsid w:val="00795CF8"/>
    <w:rsid w:val="007A02AB"/>
    <w:rsid w:val="007A050F"/>
    <w:rsid w:val="007A05C6"/>
    <w:rsid w:val="007A0B62"/>
    <w:rsid w:val="007A171F"/>
    <w:rsid w:val="007A1FF5"/>
    <w:rsid w:val="007A2DE5"/>
    <w:rsid w:val="007A3778"/>
    <w:rsid w:val="007A41AD"/>
    <w:rsid w:val="007B07AE"/>
    <w:rsid w:val="007B0B51"/>
    <w:rsid w:val="007B11A6"/>
    <w:rsid w:val="007B1609"/>
    <w:rsid w:val="007B3F35"/>
    <w:rsid w:val="007B5F20"/>
    <w:rsid w:val="007B7A4D"/>
    <w:rsid w:val="007C2A49"/>
    <w:rsid w:val="007C2A53"/>
    <w:rsid w:val="007C493A"/>
    <w:rsid w:val="007C4CF3"/>
    <w:rsid w:val="007C4D5D"/>
    <w:rsid w:val="007C588B"/>
    <w:rsid w:val="007C5D23"/>
    <w:rsid w:val="007C6288"/>
    <w:rsid w:val="007C7540"/>
    <w:rsid w:val="007D0AE3"/>
    <w:rsid w:val="007D0C3A"/>
    <w:rsid w:val="007D115B"/>
    <w:rsid w:val="007D12AC"/>
    <w:rsid w:val="007D2D26"/>
    <w:rsid w:val="007D33FB"/>
    <w:rsid w:val="007D39B9"/>
    <w:rsid w:val="007D3D44"/>
    <w:rsid w:val="007D5571"/>
    <w:rsid w:val="007D5668"/>
    <w:rsid w:val="007D7B08"/>
    <w:rsid w:val="007D7BE8"/>
    <w:rsid w:val="007D7F9B"/>
    <w:rsid w:val="007E1A98"/>
    <w:rsid w:val="007E1F16"/>
    <w:rsid w:val="007E2DE1"/>
    <w:rsid w:val="007E3952"/>
    <w:rsid w:val="007E3B56"/>
    <w:rsid w:val="007E6DE5"/>
    <w:rsid w:val="007E6E02"/>
    <w:rsid w:val="007E7303"/>
    <w:rsid w:val="007E77B2"/>
    <w:rsid w:val="007E782E"/>
    <w:rsid w:val="007E7830"/>
    <w:rsid w:val="007F0EAF"/>
    <w:rsid w:val="007F173F"/>
    <w:rsid w:val="007F2137"/>
    <w:rsid w:val="007F21A2"/>
    <w:rsid w:val="007F2203"/>
    <w:rsid w:val="007F2383"/>
    <w:rsid w:val="007F3DA3"/>
    <w:rsid w:val="007F4736"/>
    <w:rsid w:val="007F495E"/>
    <w:rsid w:val="007F576F"/>
    <w:rsid w:val="007F606C"/>
    <w:rsid w:val="007F6671"/>
    <w:rsid w:val="007F6ACB"/>
    <w:rsid w:val="007F6C3E"/>
    <w:rsid w:val="007F6DAF"/>
    <w:rsid w:val="007F75A1"/>
    <w:rsid w:val="007F7EDC"/>
    <w:rsid w:val="0080044D"/>
    <w:rsid w:val="00800FB4"/>
    <w:rsid w:val="00801056"/>
    <w:rsid w:val="008013EC"/>
    <w:rsid w:val="00802181"/>
    <w:rsid w:val="0080247B"/>
    <w:rsid w:val="008032B3"/>
    <w:rsid w:val="008044DC"/>
    <w:rsid w:val="00804909"/>
    <w:rsid w:val="00804B1F"/>
    <w:rsid w:val="008050ED"/>
    <w:rsid w:val="00807ED4"/>
    <w:rsid w:val="00810CE2"/>
    <w:rsid w:val="0081175B"/>
    <w:rsid w:val="0081289B"/>
    <w:rsid w:val="00812BC0"/>
    <w:rsid w:val="00812DAF"/>
    <w:rsid w:val="00813E48"/>
    <w:rsid w:val="00814411"/>
    <w:rsid w:val="00814586"/>
    <w:rsid w:val="00814CC1"/>
    <w:rsid w:val="00815BC0"/>
    <w:rsid w:val="0081657F"/>
    <w:rsid w:val="00817285"/>
    <w:rsid w:val="0082027F"/>
    <w:rsid w:val="00820B7B"/>
    <w:rsid w:val="00820DD9"/>
    <w:rsid w:val="00822958"/>
    <w:rsid w:val="008232AA"/>
    <w:rsid w:val="0082332A"/>
    <w:rsid w:val="00823631"/>
    <w:rsid w:val="00823D49"/>
    <w:rsid w:val="008243C3"/>
    <w:rsid w:val="00825BD4"/>
    <w:rsid w:val="00826F3D"/>
    <w:rsid w:val="00827151"/>
    <w:rsid w:val="008273F1"/>
    <w:rsid w:val="00827881"/>
    <w:rsid w:val="00830E79"/>
    <w:rsid w:val="008313C2"/>
    <w:rsid w:val="00831663"/>
    <w:rsid w:val="008316E9"/>
    <w:rsid w:val="00831994"/>
    <w:rsid w:val="00831CAB"/>
    <w:rsid w:val="00832071"/>
    <w:rsid w:val="008350B4"/>
    <w:rsid w:val="008352DB"/>
    <w:rsid w:val="0083551C"/>
    <w:rsid w:val="00835605"/>
    <w:rsid w:val="00835A96"/>
    <w:rsid w:val="00835D82"/>
    <w:rsid w:val="00836B32"/>
    <w:rsid w:val="00836C3D"/>
    <w:rsid w:val="0083745D"/>
    <w:rsid w:val="00837791"/>
    <w:rsid w:val="008377A3"/>
    <w:rsid w:val="008400A1"/>
    <w:rsid w:val="008402D8"/>
    <w:rsid w:val="00840ACC"/>
    <w:rsid w:val="00840C1B"/>
    <w:rsid w:val="0084127A"/>
    <w:rsid w:val="008417C1"/>
    <w:rsid w:val="00845A3E"/>
    <w:rsid w:val="00846792"/>
    <w:rsid w:val="00846815"/>
    <w:rsid w:val="00846DC4"/>
    <w:rsid w:val="00847843"/>
    <w:rsid w:val="00847ECB"/>
    <w:rsid w:val="00847EFA"/>
    <w:rsid w:val="008506CA"/>
    <w:rsid w:val="00850AC8"/>
    <w:rsid w:val="00851661"/>
    <w:rsid w:val="0085248F"/>
    <w:rsid w:val="00852B74"/>
    <w:rsid w:val="0085525E"/>
    <w:rsid w:val="00855A57"/>
    <w:rsid w:val="008569EE"/>
    <w:rsid w:val="008578B6"/>
    <w:rsid w:val="0086155B"/>
    <w:rsid w:val="008619DF"/>
    <w:rsid w:val="00861A72"/>
    <w:rsid w:val="00861CA7"/>
    <w:rsid w:val="00862086"/>
    <w:rsid w:val="008622D5"/>
    <w:rsid w:val="00862A2A"/>
    <w:rsid w:val="0086434B"/>
    <w:rsid w:val="008643B8"/>
    <w:rsid w:val="00864723"/>
    <w:rsid w:val="00864AAB"/>
    <w:rsid w:val="0086522F"/>
    <w:rsid w:val="00865FA1"/>
    <w:rsid w:val="008667ED"/>
    <w:rsid w:val="008673FA"/>
    <w:rsid w:val="00870C47"/>
    <w:rsid w:val="00870F92"/>
    <w:rsid w:val="008711D8"/>
    <w:rsid w:val="008712F8"/>
    <w:rsid w:val="0087135C"/>
    <w:rsid w:val="008716E8"/>
    <w:rsid w:val="00871FB7"/>
    <w:rsid w:val="00872759"/>
    <w:rsid w:val="008730E5"/>
    <w:rsid w:val="00873329"/>
    <w:rsid w:val="00873EAF"/>
    <w:rsid w:val="008751B6"/>
    <w:rsid w:val="0087521D"/>
    <w:rsid w:val="00876291"/>
    <w:rsid w:val="008778A6"/>
    <w:rsid w:val="0088096F"/>
    <w:rsid w:val="008830E9"/>
    <w:rsid w:val="00883290"/>
    <w:rsid w:val="00884540"/>
    <w:rsid w:val="008858F9"/>
    <w:rsid w:val="0088714C"/>
    <w:rsid w:val="00887A2D"/>
    <w:rsid w:val="00890596"/>
    <w:rsid w:val="00890672"/>
    <w:rsid w:val="008919C1"/>
    <w:rsid w:val="00891B00"/>
    <w:rsid w:val="00894057"/>
    <w:rsid w:val="00895F33"/>
    <w:rsid w:val="0089632C"/>
    <w:rsid w:val="008973FB"/>
    <w:rsid w:val="00897B03"/>
    <w:rsid w:val="00897FD8"/>
    <w:rsid w:val="008A2424"/>
    <w:rsid w:val="008A4489"/>
    <w:rsid w:val="008A4D1F"/>
    <w:rsid w:val="008A5032"/>
    <w:rsid w:val="008A663B"/>
    <w:rsid w:val="008A7668"/>
    <w:rsid w:val="008A7B72"/>
    <w:rsid w:val="008B0CEE"/>
    <w:rsid w:val="008B1022"/>
    <w:rsid w:val="008B1D95"/>
    <w:rsid w:val="008B223E"/>
    <w:rsid w:val="008B2D25"/>
    <w:rsid w:val="008B2F29"/>
    <w:rsid w:val="008B36F0"/>
    <w:rsid w:val="008B39AD"/>
    <w:rsid w:val="008B3CFC"/>
    <w:rsid w:val="008B40C0"/>
    <w:rsid w:val="008B4D96"/>
    <w:rsid w:val="008B4E6B"/>
    <w:rsid w:val="008B5514"/>
    <w:rsid w:val="008B5D72"/>
    <w:rsid w:val="008B648C"/>
    <w:rsid w:val="008B6C30"/>
    <w:rsid w:val="008B711B"/>
    <w:rsid w:val="008B7AE7"/>
    <w:rsid w:val="008B7AEC"/>
    <w:rsid w:val="008B7E9E"/>
    <w:rsid w:val="008C01FB"/>
    <w:rsid w:val="008C16C7"/>
    <w:rsid w:val="008C1F57"/>
    <w:rsid w:val="008C29C2"/>
    <w:rsid w:val="008C7B1A"/>
    <w:rsid w:val="008D05EA"/>
    <w:rsid w:val="008D0785"/>
    <w:rsid w:val="008D118A"/>
    <w:rsid w:val="008D28DF"/>
    <w:rsid w:val="008D34B8"/>
    <w:rsid w:val="008D3F87"/>
    <w:rsid w:val="008D4421"/>
    <w:rsid w:val="008D5186"/>
    <w:rsid w:val="008D7534"/>
    <w:rsid w:val="008D7B71"/>
    <w:rsid w:val="008E3AFE"/>
    <w:rsid w:val="008E4016"/>
    <w:rsid w:val="008E4079"/>
    <w:rsid w:val="008E4584"/>
    <w:rsid w:val="008E46E1"/>
    <w:rsid w:val="008E5D53"/>
    <w:rsid w:val="008E6447"/>
    <w:rsid w:val="008E6957"/>
    <w:rsid w:val="008E705B"/>
    <w:rsid w:val="008E7348"/>
    <w:rsid w:val="008E75A0"/>
    <w:rsid w:val="008F0C96"/>
    <w:rsid w:val="008F1286"/>
    <w:rsid w:val="008F1E5D"/>
    <w:rsid w:val="008F3AC3"/>
    <w:rsid w:val="008F4041"/>
    <w:rsid w:val="008F5825"/>
    <w:rsid w:val="008F5F86"/>
    <w:rsid w:val="008F753E"/>
    <w:rsid w:val="009001FF"/>
    <w:rsid w:val="0090071D"/>
    <w:rsid w:val="009008BA"/>
    <w:rsid w:val="00901D19"/>
    <w:rsid w:val="009023DE"/>
    <w:rsid w:val="00902AF9"/>
    <w:rsid w:val="00903AEB"/>
    <w:rsid w:val="00903E91"/>
    <w:rsid w:val="009040DE"/>
    <w:rsid w:val="00905526"/>
    <w:rsid w:val="00906586"/>
    <w:rsid w:val="00906BCA"/>
    <w:rsid w:val="00906FE0"/>
    <w:rsid w:val="00910B71"/>
    <w:rsid w:val="00911D69"/>
    <w:rsid w:val="00911E44"/>
    <w:rsid w:val="00913611"/>
    <w:rsid w:val="00913B7D"/>
    <w:rsid w:val="00914C1A"/>
    <w:rsid w:val="00915847"/>
    <w:rsid w:val="0092154D"/>
    <w:rsid w:val="00921B44"/>
    <w:rsid w:val="00923C47"/>
    <w:rsid w:val="009245C2"/>
    <w:rsid w:val="00925626"/>
    <w:rsid w:val="009259E9"/>
    <w:rsid w:val="00925AA5"/>
    <w:rsid w:val="0092657A"/>
    <w:rsid w:val="009267E1"/>
    <w:rsid w:val="009307AA"/>
    <w:rsid w:val="00931483"/>
    <w:rsid w:val="0093216E"/>
    <w:rsid w:val="00932BB2"/>
    <w:rsid w:val="00933600"/>
    <w:rsid w:val="00934315"/>
    <w:rsid w:val="0093439A"/>
    <w:rsid w:val="00934890"/>
    <w:rsid w:val="00934DDA"/>
    <w:rsid w:val="0093502F"/>
    <w:rsid w:val="00940339"/>
    <w:rsid w:val="00941C0F"/>
    <w:rsid w:val="009421E0"/>
    <w:rsid w:val="0094279D"/>
    <w:rsid w:val="00942C03"/>
    <w:rsid w:val="00944A56"/>
    <w:rsid w:val="00944B2B"/>
    <w:rsid w:val="009459A1"/>
    <w:rsid w:val="0094669D"/>
    <w:rsid w:val="009475A8"/>
    <w:rsid w:val="00947CA6"/>
    <w:rsid w:val="009505A8"/>
    <w:rsid w:val="00953E7B"/>
    <w:rsid w:val="00954053"/>
    <w:rsid w:val="009550F9"/>
    <w:rsid w:val="009551C0"/>
    <w:rsid w:val="00955CE9"/>
    <w:rsid w:val="00956B16"/>
    <w:rsid w:val="009571CA"/>
    <w:rsid w:val="00957E32"/>
    <w:rsid w:val="0096025E"/>
    <w:rsid w:val="0096078F"/>
    <w:rsid w:val="00961121"/>
    <w:rsid w:val="0096239B"/>
    <w:rsid w:val="00962584"/>
    <w:rsid w:val="00962E64"/>
    <w:rsid w:val="009659D0"/>
    <w:rsid w:val="00966B04"/>
    <w:rsid w:val="00966FB3"/>
    <w:rsid w:val="00967461"/>
    <w:rsid w:val="00967BA6"/>
    <w:rsid w:val="00970624"/>
    <w:rsid w:val="00971462"/>
    <w:rsid w:val="0097241F"/>
    <w:rsid w:val="009729AF"/>
    <w:rsid w:val="009729EB"/>
    <w:rsid w:val="00972E59"/>
    <w:rsid w:val="009730AC"/>
    <w:rsid w:val="009735D7"/>
    <w:rsid w:val="00973B07"/>
    <w:rsid w:val="00973F80"/>
    <w:rsid w:val="009742B3"/>
    <w:rsid w:val="00974D14"/>
    <w:rsid w:val="00975294"/>
    <w:rsid w:val="009752C3"/>
    <w:rsid w:val="00975D23"/>
    <w:rsid w:val="009768A8"/>
    <w:rsid w:val="0097694C"/>
    <w:rsid w:val="00976A85"/>
    <w:rsid w:val="00976D3E"/>
    <w:rsid w:val="00976FEA"/>
    <w:rsid w:val="009773B6"/>
    <w:rsid w:val="00977A82"/>
    <w:rsid w:val="0098041F"/>
    <w:rsid w:val="00980D09"/>
    <w:rsid w:val="00980ED9"/>
    <w:rsid w:val="00981052"/>
    <w:rsid w:val="009815C1"/>
    <w:rsid w:val="00981EFB"/>
    <w:rsid w:val="00981FF2"/>
    <w:rsid w:val="0098405A"/>
    <w:rsid w:val="00984339"/>
    <w:rsid w:val="009849BE"/>
    <w:rsid w:val="00984F8E"/>
    <w:rsid w:val="00985233"/>
    <w:rsid w:val="009857DE"/>
    <w:rsid w:val="00985EEE"/>
    <w:rsid w:val="009865C6"/>
    <w:rsid w:val="0099076A"/>
    <w:rsid w:val="00993056"/>
    <w:rsid w:val="00993353"/>
    <w:rsid w:val="0099540C"/>
    <w:rsid w:val="00995BDA"/>
    <w:rsid w:val="00995E42"/>
    <w:rsid w:val="00996606"/>
    <w:rsid w:val="00997FE0"/>
    <w:rsid w:val="009A0239"/>
    <w:rsid w:val="009A03C6"/>
    <w:rsid w:val="009A0A1D"/>
    <w:rsid w:val="009A0FDE"/>
    <w:rsid w:val="009A1E45"/>
    <w:rsid w:val="009A291C"/>
    <w:rsid w:val="009A3168"/>
    <w:rsid w:val="009A32BB"/>
    <w:rsid w:val="009A32F3"/>
    <w:rsid w:val="009A355D"/>
    <w:rsid w:val="009A3E02"/>
    <w:rsid w:val="009A4E28"/>
    <w:rsid w:val="009A7592"/>
    <w:rsid w:val="009B07BB"/>
    <w:rsid w:val="009B1379"/>
    <w:rsid w:val="009B1625"/>
    <w:rsid w:val="009B1C7B"/>
    <w:rsid w:val="009B1D9E"/>
    <w:rsid w:val="009B25D3"/>
    <w:rsid w:val="009B397E"/>
    <w:rsid w:val="009B5D9A"/>
    <w:rsid w:val="009B6238"/>
    <w:rsid w:val="009B6613"/>
    <w:rsid w:val="009B6785"/>
    <w:rsid w:val="009B69B1"/>
    <w:rsid w:val="009C0505"/>
    <w:rsid w:val="009C0690"/>
    <w:rsid w:val="009C157C"/>
    <w:rsid w:val="009C1B02"/>
    <w:rsid w:val="009C213B"/>
    <w:rsid w:val="009C2722"/>
    <w:rsid w:val="009C2960"/>
    <w:rsid w:val="009C32B8"/>
    <w:rsid w:val="009C5192"/>
    <w:rsid w:val="009C5866"/>
    <w:rsid w:val="009C647F"/>
    <w:rsid w:val="009C6606"/>
    <w:rsid w:val="009C7B96"/>
    <w:rsid w:val="009D0DAC"/>
    <w:rsid w:val="009D2825"/>
    <w:rsid w:val="009D2C0F"/>
    <w:rsid w:val="009D341D"/>
    <w:rsid w:val="009D4671"/>
    <w:rsid w:val="009D47A4"/>
    <w:rsid w:val="009D5B8E"/>
    <w:rsid w:val="009D67DE"/>
    <w:rsid w:val="009E005E"/>
    <w:rsid w:val="009E050D"/>
    <w:rsid w:val="009E0D8C"/>
    <w:rsid w:val="009E1516"/>
    <w:rsid w:val="009E15CC"/>
    <w:rsid w:val="009E25D5"/>
    <w:rsid w:val="009E2C45"/>
    <w:rsid w:val="009E3A9E"/>
    <w:rsid w:val="009E53BA"/>
    <w:rsid w:val="009E5666"/>
    <w:rsid w:val="009E7B2E"/>
    <w:rsid w:val="009F142D"/>
    <w:rsid w:val="009F17A1"/>
    <w:rsid w:val="009F598F"/>
    <w:rsid w:val="009F5A05"/>
    <w:rsid w:val="009F7A60"/>
    <w:rsid w:val="009F7D97"/>
    <w:rsid w:val="00A001C4"/>
    <w:rsid w:val="00A01123"/>
    <w:rsid w:val="00A01735"/>
    <w:rsid w:val="00A023D1"/>
    <w:rsid w:val="00A024AD"/>
    <w:rsid w:val="00A02C34"/>
    <w:rsid w:val="00A03860"/>
    <w:rsid w:val="00A03DB0"/>
    <w:rsid w:val="00A042FA"/>
    <w:rsid w:val="00A05DF2"/>
    <w:rsid w:val="00A05E2A"/>
    <w:rsid w:val="00A05EE5"/>
    <w:rsid w:val="00A064FD"/>
    <w:rsid w:val="00A06AB7"/>
    <w:rsid w:val="00A07ACD"/>
    <w:rsid w:val="00A1074E"/>
    <w:rsid w:val="00A12D69"/>
    <w:rsid w:val="00A13A3F"/>
    <w:rsid w:val="00A13BBD"/>
    <w:rsid w:val="00A1448E"/>
    <w:rsid w:val="00A1471F"/>
    <w:rsid w:val="00A1480C"/>
    <w:rsid w:val="00A1594C"/>
    <w:rsid w:val="00A15BB0"/>
    <w:rsid w:val="00A201DD"/>
    <w:rsid w:val="00A21A2D"/>
    <w:rsid w:val="00A21A77"/>
    <w:rsid w:val="00A2217E"/>
    <w:rsid w:val="00A224B5"/>
    <w:rsid w:val="00A23379"/>
    <w:rsid w:val="00A2366B"/>
    <w:rsid w:val="00A24017"/>
    <w:rsid w:val="00A245D8"/>
    <w:rsid w:val="00A246B8"/>
    <w:rsid w:val="00A24B18"/>
    <w:rsid w:val="00A25AD1"/>
    <w:rsid w:val="00A25F43"/>
    <w:rsid w:val="00A25FE8"/>
    <w:rsid w:val="00A27B2F"/>
    <w:rsid w:val="00A27FCA"/>
    <w:rsid w:val="00A3000F"/>
    <w:rsid w:val="00A3015B"/>
    <w:rsid w:val="00A3039F"/>
    <w:rsid w:val="00A31C54"/>
    <w:rsid w:val="00A321D5"/>
    <w:rsid w:val="00A3265E"/>
    <w:rsid w:val="00A32BCE"/>
    <w:rsid w:val="00A333C3"/>
    <w:rsid w:val="00A3354B"/>
    <w:rsid w:val="00A33E87"/>
    <w:rsid w:val="00A34E75"/>
    <w:rsid w:val="00A35229"/>
    <w:rsid w:val="00A35337"/>
    <w:rsid w:val="00A368F6"/>
    <w:rsid w:val="00A36A9C"/>
    <w:rsid w:val="00A405CB"/>
    <w:rsid w:val="00A40723"/>
    <w:rsid w:val="00A42596"/>
    <w:rsid w:val="00A42FFC"/>
    <w:rsid w:val="00A43DC7"/>
    <w:rsid w:val="00A4406F"/>
    <w:rsid w:val="00A44766"/>
    <w:rsid w:val="00A44B3E"/>
    <w:rsid w:val="00A45909"/>
    <w:rsid w:val="00A473C0"/>
    <w:rsid w:val="00A47BAA"/>
    <w:rsid w:val="00A50080"/>
    <w:rsid w:val="00A503DC"/>
    <w:rsid w:val="00A5087A"/>
    <w:rsid w:val="00A509E0"/>
    <w:rsid w:val="00A50C7D"/>
    <w:rsid w:val="00A514E8"/>
    <w:rsid w:val="00A52612"/>
    <w:rsid w:val="00A52944"/>
    <w:rsid w:val="00A53BA1"/>
    <w:rsid w:val="00A5510C"/>
    <w:rsid w:val="00A555C7"/>
    <w:rsid w:val="00A55DA6"/>
    <w:rsid w:val="00A561DD"/>
    <w:rsid w:val="00A56EF3"/>
    <w:rsid w:val="00A601B6"/>
    <w:rsid w:val="00A614AE"/>
    <w:rsid w:val="00A61CC5"/>
    <w:rsid w:val="00A62DE9"/>
    <w:rsid w:val="00A62F45"/>
    <w:rsid w:val="00A635F5"/>
    <w:rsid w:val="00A63AC6"/>
    <w:rsid w:val="00A6629F"/>
    <w:rsid w:val="00A67A1E"/>
    <w:rsid w:val="00A700A7"/>
    <w:rsid w:val="00A707E1"/>
    <w:rsid w:val="00A7239A"/>
    <w:rsid w:val="00A72E59"/>
    <w:rsid w:val="00A72FC9"/>
    <w:rsid w:val="00A73120"/>
    <w:rsid w:val="00A73F99"/>
    <w:rsid w:val="00A75B9C"/>
    <w:rsid w:val="00A766B7"/>
    <w:rsid w:val="00A76996"/>
    <w:rsid w:val="00A80FE6"/>
    <w:rsid w:val="00A81046"/>
    <w:rsid w:val="00A8319F"/>
    <w:rsid w:val="00A8438D"/>
    <w:rsid w:val="00A8508A"/>
    <w:rsid w:val="00A869DD"/>
    <w:rsid w:val="00A86AB3"/>
    <w:rsid w:val="00A90C06"/>
    <w:rsid w:val="00A911A1"/>
    <w:rsid w:val="00A9190A"/>
    <w:rsid w:val="00A92362"/>
    <w:rsid w:val="00A92684"/>
    <w:rsid w:val="00A933B8"/>
    <w:rsid w:val="00A93881"/>
    <w:rsid w:val="00A94B5D"/>
    <w:rsid w:val="00A95551"/>
    <w:rsid w:val="00A96341"/>
    <w:rsid w:val="00A966D3"/>
    <w:rsid w:val="00A96FA8"/>
    <w:rsid w:val="00A970D7"/>
    <w:rsid w:val="00A97C58"/>
    <w:rsid w:val="00A97F39"/>
    <w:rsid w:val="00AA076A"/>
    <w:rsid w:val="00AA0AC2"/>
    <w:rsid w:val="00AA1C3F"/>
    <w:rsid w:val="00AA2592"/>
    <w:rsid w:val="00AA2A83"/>
    <w:rsid w:val="00AA3C0A"/>
    <w:rsid w:val="00AA4742"/>
    <w:rsid w:val="00AA55FF"/>
    <w:rsid w:val="00AA5F41"/>
    <w:rsid w:val="00AA6288"/>
    <w:rsid w:val="00AA6DA9"/>
    <w:rsid w:val="00AA73A3"/>
    <w:rsid w:val="00AA7505"/>
    <w:rsid w:val="00AA772A"/>
    <w:rsid w:val="00AB10BC"/>
    <w:rsid w:val="00AB126A"/>
    <w:rsid w:val="00AB1394"/>
    <w:rsid w:val="00AB1561"/>
    <w:rsid w:val="00AB1C0A"/>
    <w:rsid w:val="00AB2346"/>
    <w:rsid w:val="00AB2A04"/>
    <w:rsid w:val="00AB2D08"/>
    <w:rsid w:val="00AB441E"/>
    <w:rsid w:val="00AB4827"/>
    <w:rsid w:val="00AB5F97"/>
    <w:rsid w:val="00AB643E"/>
    <w:rsid w:val="00AB65B3"/>
    <w:rsid w:val="00AB710B"/>
    <w:rsid w:val="00AB712F"/>
    <w:rsid w:val="00AB7166"/>
    <w:rsid w:val="00AB7837"/>
    <w:rsid w:val="00AB7C86"/>
    <w:rsid w:val="00AB7F33"/>
    <w:rsid w:val="00AC075E"/>
    <w:rsid w:val="00AC2F72"/>
    <w:rsid w:val="00AC42CC"/>
    <w:rsid w:val="00AC438F"/>
    <w:rsid w:val="00AC4A12"/>
    <w:rsid w:val="00AC4FEC"/>
    <w:rsid w:val="00AC5699"/>
    <w:rsid w:val="00AC6184"/>
    <w:rsid w:val="00AC64E5"/>
    <w:rsid w:val="00AC6E63"/>
    <w:rsid w:val="00AD0279"/>
    <w:rsid w:val="00AD2B29"/>
    <w:rsid w:val="00AD31BC"/>
    <w:rsid w:val="00AD434F"/>
    <w:rsid w:val="00AD43FC"/>
    <w:rsid w:val="00AD5CBA"/>
    <w:rsid w:val="00AD703F"/>
    <w:rsid w:val="00AD7782"/>
    <w:rsid w:val="00AE0DF7"/>
    <w:rsid w:val="00AE18AE"/>
    <w:rsid w:val="00AE3354"/>
    <w:rsid w:val="00AE4A3B"/>
    <w:rsid w:val="00AE5C08"/>
    <w:rsid w:val="00AE75C8"/>
    <w:rsid w:val="00AF0DDB"/>
    <w:rsid w:val="00AF1202"/>
    <w:rsid w:val="00AF21BD"/>
    <w:rsid w:val="00AF2317"/>
    <w:rsid w:val="00AF29AB"/>
    <w:rsid w:val="00AF29FE"/>
    <w:rsid w:val="00AF2F16"/>
    <w:rsid w:val="00AF3DA5"/>
    <w:rsid w:val="00AF3F49"/>
    <w:rsid w:val="00AF456E"/>
    <w:rsid w:val="00AF5710"/>
    <w:rsid w:val="00AF5A29"/>
    <w:rsid w:val="00AF5C20"/>
    <w:rsid w:val="00AF607E"/>
    <w:rsid w:val="00AF6858"/>
    <w:rsid w:val="00AF78EF"/>
    <w:rsid w:val="00AF7C77"/>
    <w:rsid w:val="00B004A3"/>
    <w:rsid w:val="00B009D9"/>
    <w:rsid w:val="00B0181A"/>
    <w:rsid w:val="00B01CFA"/>
    <w:rsid w:val="00B03DA2"/>
    <w:rsid w:val="00B04455"/>
    <w:rsid w:val="00B04F5A"/>
    <w:rsid w:val="00B067DA"/>
    <w:rsid w:val="00B06AF3"/>
    <w:rsid w:val="00B079E9"/>
    <w:rsid w:val="00B10550"/>
    <w:rsid w:val="00B108D6"/>
    <w:rsid w:val="00B10954"/>
    <w:rsid w:val="00B10963"/>
    <w:rsid w:val="00B123D9"/>
    <w:rsid w:val="00B12480"/>
    <w:rsid w:val="00B126A6"/>
    <w:rsid w:val="00B12763"/>
    <w:rsid w:val="00B14131"/>
    <w:rsid w:val="00B147EF"/>
    <w:rsid w:val="00B14C08"/>
    <w:rsid w:val="00B16851"/>
    <w:rsid w:val="00B1733A"/>
    <w:rsid w:val="00B201DF"/>
    <w:rsid w:val="00B20936"/>
    <w:rsid w:val="00B20C60"/>
    <w:rsid w:val="00B20D27"/>
    <w:rsid w:val="00B20F65"/>
    <w:rsid w:val="00B21994"/>
    <w:rsid w:val="00B235BF"/>
    <w:rsid w:val="00B23C47"/>
    <w:rsid w:val="00B2672F"/>
    <w:rsid w:val="00B273A8"/>
    <w:rsid w:val="00B30799"/>
    <w:rsid w:val="00B31C61"/>
    <w:rsid w:val="00B31D8A"/>
    <w:rsid w:val="00B323F4"/>
    <w:rsid w:val="00B32739"/>
    <w:rsid w:val="00B328F1"/>
    <w:rsid w:val="00B32D5B"/>
    <w:rsid w:val="00B33712"/>
    <w:rsid w:val="00B3530B"/>
    <w:rsid w:val="00B35FB7"/>
    <w:rsid w:val="00B36F00"/>
    <w:rsid w:val="00B379A4"/>
    <w:rsid w:val="00B37A02"/>
    <w:rsid w:val="00B40DDA"/>
    <w:rsid w:val="00B417A4"/>
    <w:rsid w:val="00B42117"/>
    <w:rsid w:val="00B42D67"/>
    <w:rsid w:val="00B439E8"/>
    <w:rsid w:val="00B43FAE"/>
    <w:rsid w:val="00B4565B"/>
    <w:rsid w:val="00B45B7C"/>
    <w:rsid w:val="00B45BD9"/>
    <w:rsid w:val="00B47114"/>
    <w:rsid w:val="00B474DB"/>
    <w:rsid w:val="00B47910"/>
    <w:rsid w:val="00B47FDC"/>
    <w:rsid w:val="00B50642"/>
    <w:rsid w:val="00B51582"/>
    <w:rsid w:val="00B52443"/>
    <w:rsid w:val="00B54EDF"/>
    <w:rsid w:val="00B55A6A"/>
    <w:rsid w:val="00B55B48"/>
    <w:rsid w:val="00B56891"/>
    <w:rsid w:val="00B610B1"/>
    <w:rsid w:val="00B626DF"/>
    <w:rsid w:val="00B627B2"/>
    <w:rsid w:val="00B63CBF"/>
    <w:rsid w:val="00B64925"/>
    <w:rsid w:val="00B64B22"/>
    <w:rsid w:val="00B64EC0"/>
    <w:rsid w:val="00B652BA"/>
    <w:rsid w:val="00B659A2"/>
    <w:rsid w:val="00B65C47"/>
    <w:rsid w:val="00B66714"/>
    <w:rsid w:val="00B67274"/>
    <w:rsid w:val="00B6750A"/>
    <w:rsid w:val="00B675AA"/>
    <w:rsid w:val="00B70F5F"/>
    <w:rsid w:val="00B727F3"/>
    <w:rsid w:val="00B749F9"/>
    <w:rsid w:val="00B74C3C"/>
    <w:rsid w:val="00B75FD3"/>
    <w:rsid w:val="00B765E0"/>
    <w:rsid w:val="00B77050"/>
    <w:rsid w:val="00B810B7"/>
    <w:rsid w:val="00B81EFE"/>
    <w:rsid w:val="00B820A9"/>
    <w:rsid w:val="00B822C6"/>
    <w:rsid w:val="00B827E0"/>
    <w:rsid w:val="00B8280E"/>
    <w:rsid w:val="00B83220"/>
    <w:rsid w:val="00B83670"/>
    <w:rsid w:val="00B84C14"/>
    <w:rsid w:val="00B85E19"/>
    <w:rsid w:val="00B86400"/>
    <w:rsid w:val="00B8780F"/>
    <w:rsid w:val="00B902E6"/>
    <w:rsid w:val="00B90624"/>
    <w:rsid w:val="00B918E5"/>
    <w:rsid w:val="00B91D7B"/>
    <w:rsid w:val="00B93A88"/>
    <w:rsid w:val="00B93A93"/>
    <w:rsid w:val="00B93AFF"/>
    <w:rsid w:val="00B93C45"/>
    <w:rsid w:val="00BA125A"/>
    <w:rsid w:val="00BA14EF"/>
    <w:rsid w:val="00BA15E2"/>
    <w:rsid w:val="00BA165D"/>
    <w:rsid w:val="00BA1CDA"/>
    <w:rsid w:val="00BA3D0E"/>
    <w:rsid w:val="00BA41FD"/>
    <w:rsid w:val="00BA497C"/>
    <w:rsid w:val="00BA5B13"/>
    <w:rsid w:val="00BA5DB2"/>
    <w:rsid w:val="00BA6A6D"/>
    <w:rsid w:val="00BA6A95"/>
    <w:rsid w:val="00BA7DC2"/>
    <w:rsid w:val="00BA7EE2"/>
    <w:rsid w:val="00BB1D44"/>
    <w:rsid w:val="00BB23D8"/>
    <w:rsid w:val="00BB3553"/>
    <w:rsid w:val="00BB5F47"/>
    <w:rsid w:val="00BB6BB9"/>
    <w:rsid w:val="00BB7965"/>
    <w:rsid w:val="00BC00EF"/>
    <w:rsid w:val="00BC03F9"/>
    <w:rsid w:val="00BC08DC"/>
    <w:rsid w:val="00BC1770"/>
    <w:rsid w:val="00BC185E"/>
    <w:rsid w:val="00BC2207"/>
    <w:rsid w:val="00BC394F"/>
    <w:rsid w:val="00BC3BDD"/>
    <w:rsid w:val="00BC5953"/>
    <w:rsid w:val="00BC5B27"/>
    <w:rsid w:val="00BC787E"/>
    <w:rsid w:val="00BC7908"/>
    <w:rsid w:val="00BD012E"/>
    <w:rsid w:val="00BD0820"/>
    <w:rsid w:val="00BD0C01"/>
    <w:rsid w:val="00BD12E5"/>
    <w:rsid w:val="00BD1A93"/>
    <w:rsid w:val="00BD2520"/>
    <w:rsid w:val="00BD3433"/>
    <w:rsid w:val="00BD351C"/>
    <w:rsid w:val="00BD430F"/>
    <w:rsid w:val="00BD44C9"/>
    <w:rsid w:val="00BD6F8D"/>
    <w:rsid w:val="00BE01BD"/>
    <w:rsid w:val="00BE05A7"/>
    <w:rsid w:val="00BE2547"/>
    <w:rsid w:val="00BE2FB5"/>
    <w:rsid w:val="00BE30CC"/>
    <w:rsid w:val="00BE39BF"/>
    <w:rsid w:val="00BE3A2D"/>
    <w:rsid w:val="00BE3B72"/>
    <w:rsid w:val="00BE535C"/>
    <w:rsid w:val="00BE6262"/>
    <w:rsid w:val="00BE7890"/>
    <w:rsid w:val="00BF000D"/>
    <w:rsid w:val="00BF0283"/>
    <w:rsid w:val="00BF02DA"/>
    <w:rsid w:val="00BF059D"/>
    <w:rsid w:val="00BF1551"/>
    <w:rsid w:val="00BF2BBD"/>
    <w:rsid w:val="00BF2D5D"/>
    <w:rsid w:val="00BF3194"/>
    <w:rsid w:val="00BF3697"/>
    <w:rsid w:val="00BF3763"/>
    <w:rsid w:val="00BF5864"/>
    <w:rsid w:val="00BF5BED"/>
    <w:rsid w:val="00BF72F9"/>
    <w:rsid w:val="00C00974"/>
    <w:rsid w:val="00C02E2E"/>
    <w:rsid w:val="00C039C6"/>
    <w:rsid w:val="00C04D80"/>
    <w:rsid w:val="00C06BCB"/>
    <w:rsid w:val="00C07F7A"/>
    <w:rsid w:val="00C125C4"/>
    <w:rsid w:val="00C137B2"/>
    <w:rsid w:val="00C1516D"/>
    <w:rsid w:val="00C153CA"/>
    <w:rsid w:val="00C1622F"/>
    <w:rsid w:val="00C173B8"/>
    <w:rsid w:val="00C1770A"/>
    <w:rsid w:val="00C2020D"/>
    <w:rsid w:val="00C2052D"/>
    <w:rsid w:val="00C20667"/>
    <w:rsid w:val="00C206DE"/>
    <w:rsid w:val="00C22ED2"/>
    <w:rsid w:val="00C23416"/>
    <w:rsid w:val="00C24580"/>
    <w:rsid w:val="00C24772"/>
    <w:rsid w:val="00C25533"/>
    <w:rsid w:val="00C25DC2"/>
    <w:rsid w:val="00C26482"/>
    <w:rsid w:val="00C276AB"/>
    <w:rsid w:val="00C27BEC"/>
    <w:rsid w:val="00C27EA7"/>
    <w:rsid w:val="00C30267"/>
    <w:rsid w:val="00C302A1"/>
    <w:rsid w:val="00C307BE"/>
    <w:rsid w:val="00C30FC4"/>
    <w:rsid w:val="00C3220B"/>
    <w:rsid w:val="00C322EE"/>
    <w:rsid w:val="00C342B9"/>
    <w:rsid w:val="00C3494C"/>
    <w:rsid w:val="00C34CA1"/>
    <w:rsid w:val="00C37E88"/>
    <w:rsid w:val="00C4006F"/>
    <w:rsid w:val="00C40B5E"/>
    <w:rsid w:val="00C415B0"/>
    <w:rsid w:val="00C41C3C"/>
    <w:rsid w:val="00C42647"/>
    <w:rsid w:val="00C4357D"/>
    <w:rsid w:val="00C44704"/>
    <w:rsid w:val="00C454FB"/>
    <w:rsid w:val="00C45B1B"/>
    <w:rsid w:val="00C46419"/>
    <w:rsid w:val="00C46D66"/>
    <w:rsid w:val="00C47071"/>
    <w:rsid w:val="00C5147D"/>
    <w:rsid w:val="00C52EE8"/>
    <w:rsid w:val="00C5331F"/>
    <w:rsid w:val="00C53907"/>
    <w:rsid w:val="00C53BE1"/>
    <w:rsid w:val="00C54BCF"/>
    <w:rsid w:val="00C5542A"/>
    <w:rsid w:val="00C557D8"/>
    <w:rsid w:val="00C60E4A"/>
    <w:rsid w:val="00C61C2F"/>
    <w:rsid w:val="00C626F9"/>
    <w:rsid w:val="00C62F48"/>
    <w:rsid w:val="00C63B99"/>
    <w:rsid w:val="00C640F0"/>
    <w:rsid w:val="00C641E9"/>
    <w:rsid w:val="00C6432E"/>
    <w:rsid w:val="00C669A0"/>
    <w:rsid w:val="00C674F8"/>
    <w:rsid w:val="00C679BA"/>
    <w:rsid w:val="00C701A4"/>
    <w:rsid w:val="00C711A5"/>
    <w:rsid w:val="00C713C0"/>
    <w:rsid w:val="00C725F6"/>
    <w:rsid w:val="00C7283C"/>
    <w:rsid w:val="00C72EAD"/>
    <w:rsid w:val="00C75973"/>
    <w:rsid w:val="00C760B7"/>
    <w:rsid w:val="00C76404"/>
    <w:rsid w:val="00C77322"/>
    <w:rsid w:val="00C774CE"/>
    <w:rsid w:val="00C775EB"/>
    <w:rsid w:val="00C77F78"/>
    <w:rsid w:val="00C806B1"/>
    <w:rsid w:val="00C8188B"/>
    <w:rsid w:val="00C81D1F"/>
    <w:rsid w:val="00C82797"/>
    <w:rsid w:val="00C832F8"/>
    <w:rsid w:val="00C83365"/>
    <w:rsid w:val="00C835DD"/>
    <w:rsid w:val="00C84AC9"/>
    <w:rsid w:val="00C856AA"/>
    <w:rsid w:val="00C8627F"/>
    <w:rsid w:val="00C90144"/>
    <w:rsid w:val="00C90D4F"/>
    <w:rsid w:val="00C91148"/>
    <w:rsid w:val="00C9224E"/>
    <w:rsid w:val="00C92CB5"/>
    <w:rsid w:val="00C9364C"/>
    <w:rsid w:val="00C9435C"/>
    <w:rsid w:val="00C96028"/>
    <w:rsid w:val="00C969FB"/>
    <w:rsid w:val="00CA15B7"/>
    <w:rsid w:val="00CA1F9E"/>
    <w:rsid w:val="00CA232B"/>
    <w:rsid w:val="00CA258B"/>
    <w:rsid w:val="00CA3B1F"/>
    <w:rsid w:val="00CA42DB"/>
    <w:rsid w:val="00CA53E2"/>
    <w:rsid w:val="00CA561B"/>
    <w:rsid w:val="00CA59B6"/>
    <w:rsid w:val="00CA6F9B"/>
    <w:rsid w:val="00CB0EFE"/>
    <w:rsid w:val="00CB10ED"/>
    <w:rsid w:val="00CB217B"/>
    <w:rsid w:val="00CB3C1E"/>
    <w:rsid w:val="00CB458E"/>
    <w:rsid w:val="00CB4ED2"/>
    <w:rsid w:val="00CB779A"/>
    <w:rsid w:val="00CC0E43"/>
    <w:rsid w:val="00CC115C"/>
    <w:rsid w:val="00CC12AD"/>
    <w:rsid w:val="00CC1436"/>
    <w:rsid w:val="00CC1D65"/>
    <w:rsid w:val="00CC2A6F"/>
    <w:rsid w:val="00CC3482"/>
    <w:rsid w:val="00CC5A89"/>
    <w:rsid w:val="00CC6106"/>
    <w:rsid w:val="00CC68FB"/>
    <w:rsid w:val="00CC6B50"/>
    <w:rsid w:val="00CC6E9F"/>
    <w:rsid w:val="00CC747A"/>
    <w:rsid w:val="00CC758C"/>
    <w:rsid w:val="00CD1CDF"/>
    <w:rsid w:val="00CD3462"/>
    <w:rsid w:val="00CD3EE3"/>
    <w:rsid w:val="00CD3F5D"/>
    <w:rsid w:val="00CD4FEB"/>
    <w:rsid w:val="00CD73FD"/>
    <w:rsid w:val="00CD7E76"/>
    <w:rsid w:val="00CE002A"/>
    <w:rsid w:val="00CE0FA5"/>
    <w:rsid w:val="00CE4EC8"/>
    <w:rsid w:val="00CE623D"/>
    <w:rsid w:val="00CE7DB7"/>
    <w:rsid w:val="00CF007F"/>
    <w:rsid w:val="00CF0B3D"/>
    <w:rsid w:val="00CF3117"/>
    <w:rsid w:val="00CF50C2"/>
    <w:rsid w:val="00CF780D"/>
    <w:rsid w:val="00CF78AB"/>
    <w:rsid w:val="00D0084C"/>
    <w:rsid w:val="00D01094"/>
    <w:rsid w:val="00D017D3"/>
    <w:rsid w:val="00D02665"/>
    <w:rsid w:val="00D026C8"/>
    <w:rsid w:val="00D03AB6"/>
    <w:rsid w:val="00D054D4"/>
    <w:rsid w:val="00D071F4"/>
    <w:rsid w:val="00D07238"/>
    <w:rsid w:val="00D07252"/>
    <w:rsid w:val="00D101F5"/>
    <w:rsid w:val="00D125C5"/>
    <w:rsid w:val="00D129A2"/>
    <w:rsid w:val="00D12AAA"/>
    <w:rsid w:val="00D15A65"/>
    <w:rsid w:val="00D15B27"/>
    <w:rsid w:val="00D15B6E"/>
    <w:rsid w:val="00D15D3F"/>
    <w:rsid w:val="00D17828"/>
    <w:rsid w:val="00D20388"/>
    <w:rsid w:val="00D2041E"/>
    <w:rsid w:val="00D205C4"/>
    <w:rsid w:val="00D20CFB"/>
    <w:rsid w:val="00D218EB"/>
    <w:rsid w:val="00D22362"/>
    <w:rsid w:val="00D22C3D"/>
    <w:rsid w:val="00D22F6D"/>
    <w:rsid w:val="00D23122"/>
    <w:rsid w:val="00D3004D"/>
    <w:rsid w:val="00D30BE3"/>
    <w:rsid w:val="00D31A31"/>
    <w:rsid w:val="00D327E5"/>
    <w:rsid w:val="00D339D8"/>
    <w:rsid w:val="00D33E77"/>
    <w:rsid w:val="00D34458"/>
    <w:rsid w:val="00D351A1"/>
    <w:rsid w:val="00D35D25"/>
    <w:rsid w:val="00D365CA"/>
    <w:rsid w:val="00D3688D"/>
    <w:rsid w:val="00D375A3"/>
    <w:rsid w:val="00D37A8D"/>
    <w:rsid w:val="00D4004A"/>
    <w:rsid w:val="00D40470"/>
    <w:rsid w:val="00D433E7"/>
    <w:rsid w:val="00D44100"/>
    <w:rsid w:val="00D446BD"/>
    <w:rsid w:val="00D44D10"/>
    <w:rsid w:val="00D451D6"/>
    <w:rsid w:val="00D45319"/>
    <w:rsid w:val="00D4544D"/>
    <w:rsid w:val="00D45C12"/>
    <w:rsid w:val="00D46FBE"/>
    <w:rsid w:val="00D472F1"/>
    <w:rsid w:val="00D47603"/>
    <w:rsid w:val="00D479B5"/>
    <w:rsid w:val="00D47ECD"/>
    <w:rsid w:val="00D5025B"/>
    <w:rsid w:val="00D5047C"/>
    <w:rsid w:val="00D51831"/>
    <w:rsid w:val="00D51BC6"/>
    <w:rsid w:val="00D52E75"/>
    <w:rsid w:val="00D532E9"/>
    <w:rsid w:val="00D55C28"/>
    <w:rsid w:val="00D55D6C"/>
    <w:rsid w:val="00D55E62"/>
    <w:rsid w:val="00D60032"/>
    <w:rsid w:val="00D607C8"/>
    <w:rsid w:val="00D61664"/>
    <w:rsid w:val="00D61E5F"/>
    <w:rsid w:val="00D6269C"/>
    <w:rsid w:val="00D637B0"/>
    <w:rsid w:val="00D63A81"/>
    <w:rsid w:val="00D650B2"/>
    <w:rsid w:val="00D65663"/>
    <w:rsid w:val="00D659BB"/>
    <w:rsid w:val="00D665B2"/>
    <w:rsid w:val="00D66757"/>
    <w:rsid w:val="00D66B65"/>
    <w:rsid w:val="00D66E0D"/>
    <w:rsid w:val="00D6721D"/>
    <w:rsid w:val="00D674B2"/>
    <w:rsid w:val="00D67805"/>
    <w:rsid w:val="00D71AD3"/>
    <w:rsid w:val="00D71E9B"/>
    <w:rsid w:val="00D721C8"/>
    <w:rsid w:val="00D747BD"/>
    <w:rsid w:val="00D7584C"/>
    <w:rsid w:val="00D75A7F"/>
    <w:rsid w:val="00D75C2C"/>
    <w:rsid w:val="00D76172"/>
    <w:rsid w:val="00D76236"/>
    <w:rsid w:val="00D76979"/>
    <w:rsid w:val="00D76F79"/>
    <w:rsid w:val="00D808F2"/>
    <w:rsid w:val="00D8306B"/>
    <w:rsid w:val="00D83AB0"/>
    <w:rsid w:val="00D843DB"/>
    <w:rsid w:val="00D84F5F"/>
    <w:rsid w:val="00D853D3"/>
    <w:rsid w:val="00D855F8"/>
    <w:rsid w:val="00D8575C"/>
    <w:rsid w:val="00D8649D"/>
    <w:rsid w:val="00D876E2"/>
    <w:rsid w:val="00D9015A"/>
    <w:rsid w:val="00D905FE"/>
    <w:rsid w:val="00D910B0"/>
    <w:rsid w:val="00D92061"/>
    <w:rsid w:val="00D9226B"/>
    <w:rsid w:val="00D92874"/>
    <w:rsid w:val="00D93175"/>
    <w:rsid w:val="00D94616"/>
    <w:rsid w:val="00D94B1A"/>
    <w:rsid w:val="00D96838"/>
    <w:rsid w:val="00DA1053"/>
    <w:rsid w:val="00DA166E"/>
    <w:rsid w:val="00DA1CD0"/>
    <w:rsid w:val="00DA2494"/>
    <w:rsid w:val="00DA2724"/>
    <w:rsid w:val="00DA2CC9"/>
    <w:rsid w:val="00DA3235"/>
    <w:rsid w:val="00DA354F"/>
    <w:rsid w:val="00DA3771"/>
    <w:rsid w:val="00DA3A5C"/>
    <w:rsid w:val="00DA3EA0"/>
    <w:rsid w:val="00DA4498"/>
    <w:rsid w:val="00DA4670"/>
    <w:rsid w:val="00DA5175"/>
    <w:rsid w:val="00DA5458"/>
    <w:rsid w:val="00DA5908"/>
    <w:rsid w:val="00DA66A6"/>
    <w:rsid w:val="00DA73D5"/>
    <w:rsid w:val="00DB03BD"/>
    <w:rsid w:val="00DB05DC"/>
    <w:rsid w:val="00DB127A"/>
    <w:rsid w:val="00DB18BA"/>
    <w:rsid w:val="00DB1EBC"/>
    <w:rsid w:val="00DB2481"/>
    <w:rsid w:val="00DB375E"/>
    <w:rsid w:val="00DB382B"/>
    <w:rsid w:val="00DB3DC0"/>
    <w:rsid w:val="00DB490F"/>
    <w:rsid w:val="00DB5B08"/>
    <w:rsid w:val="00DB6763"/>
    <w:rsid w:val="00DB687D"/>
    <w:rsid w:val="00DB79F0"/>
    <w:rsid w:val="00DB7CEF"/>
    <w:rsid w:val="00DC01E0"/>
    <w:rsid w:val="00DC1421"/>
    <w:rsid w:val="00DC1E33"/>
    <w:rsid w:val="00DC1F1C"/>
    <w:rsid w:val="00DC2925"/>
    <w:rsid w:val="00DC2CDE"/>
    <w:rsid w:val="00DC35C7"/>
    <w:rsid w:val="00DC35D2"/>
    <w:rsid w:val="00DC4969"/>
    <w:rsid w:val="00DC54CF"/>
    <w:rsid w:val="00DC565B"/>
    <w:rsid w:val="00DC7B25"/>
    <w:rsid w:val="00DD03AC"/>
    <w:rsid w:val="00DD0777"/>
    <w:rsid w:val="00DD0C7C"/>
    <w:rsid w:val="00DD148F"/>
    <w:rsid w:val="00DD24D1"/>
    <w:rsid w:val="00DD2B50"/>
    <w:rsid w:val="00DD2FC5"/>
    <w:rsid w:val="00DD300C"/>
    <w:rsid w:val="00DD35BE"/>
    <w:rsid w:val="00DD35FD"/>
    <w:rsid w:val="00DD3B84"/>
    <w:rsid w:val="00DD4733"/>
    <w:rsid w:val="00DD5CF0"/>
    <w:rsid w:val="00DD6396"/>
    <w:rsid w:val="00DD739D"/>
    <w:rsid w:val="00DD7833"/>
    <w:rsid w:val="00DE009B"/>
    <w:rsid w:val="00DE0521"/>
    <w:rsid w:val="00DE0B40"/>
    <w:rsid w:val="00DE0E59"/>
    <w:rsid w:val="00DE0FDB"/>
    <w:rsid w:val="00DE150D"/>
    <w:rsid w:val="00DE20B2"/>
    <w:rsid w:val="00DE2354"/>
    <w:rsid w:val="00DE287F"/>
    <w:rsid w:val="00DE3DFD"/>
    <w:rsid w:val="00DE48DE"/>
    <w:rsid w:val="00DE4DF1"/>
    <w:rsid w:val="00DE50CA"/>
    <w:rsid w:val="00DE53F5"/>
    <w:rsid w:val="00DE6920"/>
    <w:rsid w:val="00DE6A9F"/>
    <w:rsid w:val="00DE7498"/>
    <w:rsid w:val="00DF0086"/>
    <w:rsid w:val="00DF0919"/>
    <w:rsid w:val="00DF0C47"/>
    <w:rsid w:val="00DF0EDA"/>
    <w:rsid w:val="00DF0F17"/>
    <w:rsid w:val="00DF1DA2"/>
    <w:rsid w:val="00DF25C0"/>
    <w:rsid w:val="00DF2C75"/>
    <w:rsid w:val="00DF3D57"/>
    <w:rsid w:val="00DF415A"/>
    <w:rsid w:val="00DF4373"/>
    <w:rsid w:val="00DF4796"/>
    <w:rsid w:val="00DF4CD0"/>
    <w:rsid w:val="00DF5C72"/>
    <w:rsid w:val="00DF60E0"/>
    <w:rsid w:val="00DF7A16"/>
    <w:rsid w:val="00E0101E"/>
    <w:rsid w:val="00E0115E"/>
    <w:rsid w:val="00E01613"/>
    <w:rsid w:val="00E017AD"/>
    <w:rsid w:val="00E02767"/>
    <w:rsid w:val="00E02A89"/>
    <w:rsid w:val="00E03027"/>
    <w:rsid w:val="00E037E2"/>
    <w:rsid w:val="00E03844"/>
    <w:rsid w:val="00E0448E"/>
    <w:rsid w:val="00E04A3E"/>
    <w:rsid w:val="00E04C73"/>
    <w:rsid w:val="00E06029"/>
    <w:rsid w:val="00E07F9C"/>
    <w:rsid w:val="00E10E5C"/>
    <w:rsid w:val="00E1153B"/>
    <w:rsid w:val="00E12094"/>
    <w:rsid w:val="00E1246D"/>
    <w:rsid w:val="00E125AA"/>
    <w:rsid w:val="00E1369D"/>
    <w:rsid w:val="00E15FDA"/>
    <w:rsid w:val="00E162BF"/>
    <w:rsid w:val="00E162EA"/>
    <w:rsid w:val="00E1679C"/>
    <w:rsid w:val="00E16945"/>
    <w:rsid w:val="00E1737B"/>
    <w:rsid w:val="00E17D90"/>
    <w:rsid w:val="00E20BF1"/>
    <w:rsid w:val="00E21126"/>
    <w:rsid w:val="00E21699"/>
    <w:rsid w:val="00E22632"/>
    <w:rsid w:val="00E231CC"/>
    <w:rsid w:val="00E23C8E"/>
    <w:rsid w:val="00E2467C"/>
    <w:rsid w:val="00E25A3E"/>
    <w:rsid w:val="00E25D4D"/>
    <w:rsid w:val="00E25DE2"/>
    <w:rsid w:val="00E26255"/>
    <w:rsid w:val="00E27893"/>
    <w:rsid w:val="00E3104A"/>
    <w:rsid w:val="00E31068"/>
    <w:rsid w:val="00E31691"/>
    <w:rsid w:val="00E31A10"/>
    <w:rsid w:val="00E32E5D"/>
    <w:rsid w:val="00E34C1F"/>
    <w:rsid w:val="00E35194"/>
    <w:rsid w:val="00E3578C"/>
    <w:rsid w:val="00E35FC2"/>
    <w:rsid w:val="00E369F1"/>
    <w:rsid w:val="00E36BFC"/>
    <w:rsid w:val="00E36CEA"/>
    <w:rsid w:val="00E37645"/>
    <w:rsid w:val="00E37BEA"/>
    <w:rsid w:val="00E400C5"/>
    <w:rsid w:val="00E40168"/>
    <w:rsid w:val="00E40826"/>
    <w:rsid w:val="00E419E8"/>
    <w:rsid w:val="00E42665"/>
    <w:rsid w:val="00E42904"/>
    <w:rsid w:val="00E43B6A"/>
    <w:rsid w:val="00E43D5E"/>
    <w:rsid w:val="00E43E31"/>
    <w:rsid w:val="00E4402F"/>
    <w:rsid w:val="00E44BCD"/>
    <w:rsid w:val="00E45111"/>
    <w:rsid w:val="00E45535"/>
    <w:rsid w:val="00E45953"/>
    <w:rsid w:val="00E45AC8"/>
    <w:rsid w:val="00E45E7C"/>
    <w:rsid w:val="00E46DF3"/>
    <w:rsid w:val="00E50164"/>
    <w:rsid w:val="00E52896"/>
    <w:rsid w:val="00E53C6E"/>
    <w:rsid w:val="00E54423"/>
    <w:rsid w:val="00E553AE"/>
    <w:rsid w:val="00E5559B"/>
    <w:rsid w:val="00E55753"/>
    <w:rsid w:val="00E55941"/>
    <w:rsid w:val="00E56D8C"/>
    <w:rsid w:val="00E600A4"/>
    <w:rsid w:val="00E6298E"/>
    <w:rsid w:val="00E630B3"/>
    <w:rsid w:val="00E63E3C"/>
    <w:rsid w:val="00E665E5"/>
    <w:rsid w:val="00E67241"/>
    <w:rsid w:val="00E6779D"/>
    <w:rsid w:val="00E700B8"/>
    <w:rsid w:val="00E70F29"/>
    <w:rsid w:val="00E7290A"/>
    <w:rsid w:val="00E72D5C"/>
    <w:rsid w:val="00E72F55"/>
    <w:rsid w:val="00E7328F"/>
    <w:rsid w:val="00E73793"/>
    <w:rsid w:val="00E73D9A"/>
    <w:rsid w:val="00E7427A"/>
    <w:rsid w:val="00E76053"/>
    <w:rsid w:val="00E769FD"/>
    <w:rsid w:val="00E77049"/>
    <w:rsid w:val="00E77455"/>
    <w:rsid w:val="00E77772"/>
    <w:rsid w:val="00E77FC1"/>
    <w:rsid w:val="00E806B8"/>
    <w:rsid w:val="00E81250"/>
    <w:rsid w:val="00E814AC"/>
    <w:rsid w:val="00E8165C"/>
    <w:rsid w:val="00E82748"/>
    <w:rsid w:val="00E82992"/>
    <w:rsid w:val="00E82BCF"/>
    <w:rsid w:val="00E8326E"/>
    <w:rsid w:val="00E8560F"/>
    <w:rsid w:val="00E85A1A"/>
    <w:rsid w:val="00E85D25"/>
    <w:rsid w:val="00E87E11"/>
    <w:rsid w:val="00E903D0"/>
    <w:rsid w:val="00E92452"/>
    <w:rsid w:val="00E924CD"/>
    <w:rsid w:val="00E9366C"/>
    <w:rsid w:val="00E937DE"/>
    <w:rsid w:val="00E93A9B"/>
    <w:rsid w:val="00E948FD"/>
    <w:rsid w:val="00E94F9D"/>
    <w:rsid w:val="00E9553F"/>
    <w:rsid w:val="00E95D9D"/>
    <w:rsid w:val="00E95FF9"/>
    <w:rsid w:val="00E97488"/>
    <w:rsid w:val="00E975DC"/>
    <w:rsid w:val="00E97CD4"/>
    <w:rsid w:val="00E97FE5"/>
    <w:rsid w:val="00EA02AC"/>
    <w:rsid w:val="00EA04B6"/>
    <w:rsid w:val="00EA05BE"/>
    <w:rsid w:val="00EA1157"/>
    <w:rsid w:val="00EA2277"/>
    <w:rsid w:val="00EA3F0D"/>
    <w:rsid w:val="00EA45EE"/>
    <w:rsid w:val="00EA5BB0"/>
    <w:rsid w:val="00EA6612"/>
    <w:rsid w:val="00EA6EF4"/>
    <w:rsid w:val="00EA7397"/>
    <w:rsid w:val="00EA7AB1"/>
    <w:rsid w:val="00EA7AD3"/>
    <w:rsid w:val="00EB0178"/>
    <w:rsid w:val="00EB1069"/>
    <w:rsid w:val="00EB20DF"/>
    <w:rsid w:val="00EB225E"/>
    <w:rsid w:val="00EB23B6"/>
    <w:rsid w:val="00EB27AA"/>
    <w:rsid w:val="00EB2EA4"/>
    <w:rsid w:val="00EB2F68"/>
    <w:rsid w:val="00EB33E8"/>
    <w:rsid w:val="00EB4970"/>
    <w:rsid w:val="00EB5490"/>
    <w:rsid w:val="00EB5BF6"/>
    <w:rsid w:val="00EB5E08"/>
    <w:rsid w:val="00EB6401"/>
    <w:rsid w:val="00EB7543"/>
    <w:rsid w:val="00EB7B99"/>
    <w:rsid w:val="00EB7F1C"/>
    <w:rsid w:val="00EC0F11"/>
    <w:rsid w:val="00EC1153"/>
    <w:rsid w:val="00EC181A"/>
    <w:rsid w:val="00EC1F0C"/>
    <w:rsid w:val="00EC2BE7"/>
    <w:rsid w:val="00EC3ACB"/>
    <w:rsid w:val="00EC3F9E"/>
    <w:rsid w:val="00EC42CE"/>
    <w:rsid w:val="00EC78F7"/>
    <w:rsid w:val="00ED06AD"/>
    <w:rsid w:val="00ED0B7E"/>
    <w:rsid w:val="00ED0D43"/>
    <w:rsid w:val="00ED1E94"/>
    <w:rsid w:val="00ED38EA"/>
    <w:rsid w:val="00ED61D1"/>
    <w:rsid w:val="00ED6917"/>
    <w:rsid w:val="00ED6F1E"/>
    <w:rsid w:val="00ED74C1"/>
    <w:rsid w:val="00EE1C79"/>
    <w:rsid w:val="00EE2400"/>
    <w:rsid w:val="00EE2C33"/>
    <w:rsid w:val="00EE41F8"/>
    <w:rsid w:val="00EE494D"/>
    <w:rsid w:val="00EE4A4D"/>
    <w:rsid w:val="00EE57F2"/>
    <w:rsid w:val="00EE60F1"/>
    <w:rsid w:val="00EE6D2A"/>
    <w:rsid w:val="00EE7430"/>
    <w:rsid w:val="00EE7778"/>
    <w:rsid w:val="00EF0591"/>
    <w:rsid w:val="00EF1BA7"/>
    <w:rsid w:val="00EF1E4C"/>
    <w:rsid w:val="00EF231C"/>
    <w:rsid w:val="00EF4491"/>
    <w:rsid w:val="00EF4561"/>
    <w:rsid w:val="00EF470C"/>
    <w:rsid w:val="00EF4933"/>
    <w:rsid w:val="00EF50F8"/>
    <w:rsid w:val="00EF5609"/>
    <w:rsid w:val="00EF6A22"/>
    <w:rsid w:val="00EF760E"/>
    <w:rsid w:val="00EF7F2A"/>
    <w:rsid w:val="00F00B30"/>
    <w:rsid w:val="00F0101C"/>
    <w:rsid w:val="00F0183E"/>
    <w:rsid w:val="00F01C5A"/>
    <w:rsid w:val="00F02D2D"/>
    <w:rsid w:val="00F033A8"/>
    <w:rsid w:val="00F033B6"/>
    <w:rsid w:val="00F037AB"/>
    <w:rsid w:val="00F07BC3"/>
    <w:rsid w:val="00F103BF"/>
    <w:rsid w:val="00F10461"/>
    <w:rsid w:val="00F13096"/>
    <w:rsid w:val="00F132B2"/>
    <w:rsid w:val="00F133CC"/>
    <w:rsid w:val="00F14DDE"/>
    <w:rsid w:val="00F155BD"/>
    <w:rsid w:val="00F16574"/>
    <w:rsid w:val="00F16A26"/>
    <w:rsid w:val="00F16B1C"/>
    <w:rsid w:val="00F17910"/>
    <w:rsid w:val="00F17C3F"/>
    <w:rsid w:val="00F17D70"/>
    <w:rsid w:val="00F17EC1"/>
    <w:rsid w:val="00F2044B"/>
    <w:rsid w:val="00F21E63"/>
    <w:rsid w:val="00F2293C"/>
    <w:rsid w:val="00F23170"/>
    <w:rsid w:val="00F259E5"/>
    <w:rsid w:val="00F270B5"/>
    <w:rsid w:val="00F27D89"/>
    <w:rsid w:val="00F3048D"/>
    <w:rsid w:val="00F30B1B"/>
    <w:rsid w:val="00F30B21"/>
    <w:rsid w:val="00F31268"/>
    <w:rsid w:val="00F31F7E"/>
    <w:rsid w:val="00F32A11"/>
    <w:rsid w:val="00F331C6"/>
    <w:rsid w:val="00F33ADE"/>
    <w:rsid w:val="00F33EF9"/>
    <w:rsid w:val="00F3456E"/>
    <w:rsid w:val="00F34BD0"/>
    <w:rsid w:val="00F34CD0"/>
    <w:rsid w:val="00F34FC5"/>
    <w:rsid w:val="00F35922"/>
    <w:rsid w:val="00F35998"/>
    <w:rsid w:val="00F3655D"/>
    <w:rsid w:val="00F367D7"/>
    <w:rsid w:val="00F3731F"/>
    <w:rsid w:val="00F40125"/>
    <w:rsid w:val="00F40488"/>
    <w:rsid w:val="00F41675"/>
    <w:rsid w:val="00F421AD"/>
    <w:rsid w:val="00F434EA"/>
    <w:rsid w:val="00F43CD3"/>
    <w:rsid w:val="00F43F74"/>
    <w:rsid w:val="00F446C5"/>
    <w:rsid w:val="00F4740F"/>
    <w:rsid w:val="00F50870"/>
    <w:rsid w:val="00F50AAE"/>
    <w:rsid w:val="00F50D55"/>
    <w:rsid w:val="00F51139"/>
    <w:rsid w:val="00F51306"/>
    <w:rsid w:val="00F51542"/>
    <w:rsid w:val="00F515BA"/>
    <w:rsid w:val="00F517A7"/>
    <w:rsid w:val="00F5270F"/>
    <w:rsid w:val="00F52F67"/>
    <w:rsid w:val="00F5327B"/>
    <w:rsid w:val="00F53551"/>
    <w:rsid w:val="00F53D89"/>
    <w:rsid w:val="00F54B13"/>
    <w:rsid w:val="00F55034"/>
    <w:rsid w:val="00F560CE"/>
    <w:rsid w:val="00F563FD"/>
    <w:rsid w:val="00F5665B"/>
    <w:rsid w:val="00F56854"/>
    <w:rsid w:val="00F57783"/>
    <w:rsid w:val="00F6068A"/>
    <w:rsid w:val="00F61102"/>
    <w:rsid w:val="00F61FB7"/>
    <w:rsid w:val="00F6209C"/>
    <w:rsid w:val="00F62C4E"/>
    <w:rsid w:val="00F62DA0"/>
    <w:rsid w:val="00F636C1"/>
    <w:rsid w:val="00F63919"/>
    <w:rsid w:val="00F64FEC"/>
    <w:rsid w:val="00F65167"/>
    <w:rsid w:val="00F654BA"/>
    <w:rsid w:val="00F66122"/>
    <w:rsid w:val="00F66EAA"/>
    <w:rsid w:val="00F67426"/>
    <w:rsid w:val="00F67C0F"/>
    <w:rsid w:val="00F70195"/>
    <w:rsid w:val="00F7236E"/>
    <w:rsid w:val="00F726A3"/>
    <w:rsid w:val="00F72817"/>
    <w:rsid w:val="00F734EF"/>
    <w:rsid w:val="00F735CD"/>
    <w:rsid w:val="00F74339"/>
    <w:rsid w:val="00F748B9"/>
    <w:rsid w:val="00F75001"/>
    <w:rsid w:val="00F75B68"/>
    <w:rsid w:val="00F760D8"/>
    <w:rsid w:val="00F7633F"/>
    <w:rsid w:val="00F763E4"/>
    <w:rsid w:val="00F77775"/>
    <w:rsid w:val="00F80659"/>
    <w:rsid w:val="00F80868"/>
    <w:rsid w:val="00F80B8B"/>
    <w:rsid w:val="00F82271"/>
    <w:rsid w:val="00F82A50"/>
    <w:rsid w:val="00F82CD0"/>
    <w:rsid w:val="00F82CD7"/>
    <w:rsid w:val="00F84A07"/>
    <w:rsid w:val="00F863BA"/>
    <w:rsid w:val="00F8725F"/>
    <w:rsid w:val="00F87590"/>
    <w:rsid w:val="00F875C7"/>
    <w:rsid w:val="00F87976"/>
    <w:rsid w:val="00F87E39"/>
    <w:rsid w:val="00F87F14"/>
    <w:rsid w:val="00F90337"/>
    <w:rsid w:val="00F90385"/>
    <w:rsid w:val="00F906C8"/>
    <w:rsid w:val="00F9187D"/>
    <w:rsid w:val="00F918B8"/>
    <w:rsid w:val="00F91C70"/>
    <w:rsid w:val="00F91CB5"/>
    <w:rsid w:val="00F920D6"/>
    <w:rsid w:val="00F922E8"/>
    <w:rsid w:val="00F92AE9"/>
    <w:rsid w:val="00F939C4"/>
    <w:rsid w:val="00F9405E"/>
    <w:rsid w:val="00F94945"/>
    <w:rsid w:val="00F94E61"/>
    <w:rsid w:val="00F95BC9"/>
    <w:rsid w:val="00F95FDD"/>
    <w:rsid w:val="00F960CC"/>
    <w:rsid w:val="00F96DF5"/>
    <w:rsid w:val="00F977FD"/>
    <w:rsid w:val="00FA0E23"/>
    <w:rsid w:val="00FA0E7D"/>
    <w:rsid w:val="00FA202E"/>
    <w:rsid w:val="00FA23A5"/>
    <w:rsid w:val="00FA3090"/>
    <w:rsid w:val="00FA357A"/>
    <w:rsid w:val="00FA394B"/>
    <w:rsid w:val="00FA430F"/>
    <w:rsid w:val="00FA6B40"/>
    <w:rsid w:val="00FA6CA7"/>
    <w:rsid w:val="00FA7214"/>
    <w:rsid w:val="00FA7694"/>
    <w:rsid w:val="00FA78D3"/>
    <w:rsid w:val="00FB0376"/>
    <w:rsid w:val="00FB0548"/>
    <w:rsid w:val="00FB0C24"/>
    <w:rsid w:val="00FB0E27"/>
    <w:rsid w:val="00FB1572"/>
    <w:rsid w:val="00FB19FC"/>
    <w:rsid w:val="00FB1A01"/>
    <w:rsid w:val="00FB4393"/>
    <w:rsid w:val="00FB4509"/>
    <w:rsid w:val="00FB4E28"/>
    <w:rsid w:val="00FB52E9"/>
    <w:rsid w:val="00FB6B89"/>
    <w:rsid w:val="00FB7223"/>
    <w:rsid w:val="00FC04BC"/>
    <w:rsid w:val="00FC0D4F"/>
    <w:rsid w:val="00FC10D1"/>
    <w:rsid w:val="00FC19D2"/>
    <w:rsid w:val="00FC1CBB"/>
    <w:rsid w:val="00FC254A"/>
    <w:rsid w:val="00FC2962"/>
    <w:rsid w:val="00FC316C"/>
    <w:rsid w:val="00FC4F5C"/>
    <w:rsid w:val="00FC5043"/>
    <w:rsid w:val="00FC5E0D"/>
    <w:rsid w:val="00FC73C1"/>
    <w:rsid w:val="00FC7BD3"/>
    <w:rsid w:val="00FD18BC"/>
    <w:rsid w:val="00FD521F"/>
    <w:rsid w:val="00FD5ECA"/>
    <w:rsid w:val="00FD72AD"/>
    <w:rsid w:val="00FD7835"/>
    <w:rsid w:val="00FE0432"/>
    <w:rsid w:val="00FE06CC"/>
    <w:rsid w:val="00FE1B2C"/>
    <w:rsid w:val="00FE1FD3"/>
    <w:rsid w:val="00FE2602"/>
    <w:rsid w:val="00FE4629"/>
    <w:rsid w:val="00FE614C"/>
    <w:rsid w:val="00FE6847"/>
    <w:rsid w:val="00FE7677"/>
    <w:rsid w:val="00FE775B"/>
    <w:rsid w:val="00FE793D"/>
    <w:rsid w:val="00FF05E7"/>
    <w:rsid w:val="00FF07C3"/>
    <w:rsid w:val="00FF0B99"/>
    <w:rsid w:val="00FF0C0E"/>
    <w:rsid w:val="00FF177B"/>
    <w:rsid w:val="00FF2C60"/>
    <w:rsid w:val="00FF2DAB"/>
    <w:rsid w:val="00FF2FE7"/>
    <w:rsid w:val="00FF378B"/>
    <w:rsid w:val="00FF3911"/>
    <w:rsid w:val="00FF413C"/>
    <w:rsid w:val="00FF480E"/>
    <w:rsid w:val="00FF4EE8"/>
    <w:rsid w:val="00FF53E7"/>
    <w:rsid w:val="00FF5950"/>
    <w:rsid w:val="00FF67DB"/>
    <w:rsid w:val="00FF6DE4"/>
    <w:rsid w:val="00FF74F1"/>
    <w:rsid w:val="00FF7932"/>
    <w:rsid w:val="02FC4A3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annotation text" w:semiHidden="0" w:uiPriority="0"/>
    <w:lsdException w:name="header" w:qFormat="1"/>
    <w:lsdException w:name="footer" w:semiHidden="0"/>
    <w:lsdException w:name="caption" w:uiPriority="35" w:qFormat="1"/>
    <w:lsdException w:name="envelope address" w:uiPriority="0" w:unhideWhenUsed="0"/>
    <w:lsdException w:name="envelope return" w:uiPriority="0" w:unhideWhenUsed="0"/>
    <w:lsdException w:name="annotation reference" w:uiPriority="0"/>
    <w:lsdException w:name="line number" w:uiPriority="0" w:unhideWhenUsed="0"/>
    <w:lsdException w:name="page number" w:uiPriority="0"/>
    <w:lsdException w:name="List" w:uiPriority="0" w:unhideWhenUsed="0"/>
    <w:lsdException w:name="List Bullet" w:uiPriority="0" w:unhideWhenUsed="0"/>
    <w:lsdException w:name="List Number" w:uiPriority="0" w:unhideWhenUsed="0"/>
    <w:lsdException w:name="List 2" w:uiPriority="0" w:unhideWhenUsed="0"/>
    <w:lsdException w:name="List 3" w:uiPriority="0" w:unhideWhenUsed="0"/>
    <w:lsdException w:name="List 4" w:uiPriority="0" w:unhideWhenUsed="0"/>
    <w:lsdException w:name="List 5" w:uiPriority="0" w:unhideWhenUsed="0"/>
    <w:lsdException w:name="List Bullet 2" w:uiPriority="0" w:unhideWhenUsed="0"/>
    <w:lsdException w:name="List Bullet 3" w:uiPriority="0" w:unhideWhenUsed="0"/>
    <w:lsdException w:name="List Bullet 4" w:uiPriority="0" w:unhideWhenUsed="0"/>
    <w:lsdException w:name="List Bullet 5" w:uiPriority="0" w:unhideWhenUsed="0"/>
    <w:lsdException w:name="List Number 2" w:uiPriority="0" w:unhideWhenUsed="0"/>
    <w:lsdException w:name="List Number 3" w:uiPriority="0" w:unhideWhenUsed="0"/>
    <w:lsdException w:name="List Number 4" w:uiPriority="0" w:unhideWhenUsed="0"/>
    <w:lsdException w:name="List Number 5" w:uiPriority="0" w:unhideWhenUsed="0"/>
    <w:lsdException w:name="Title" w:semiHidden="0" w:uiPriority="0" w:unhideWhenUsed="0" w:qFormat="1"/>
    <w:lsdException w:name="Closing" w:uiPriority="0" w:unhideWhenUsed="0"/>
    <w:lsdException w:name="Signature" w:uiPriority="0" w:unhideWhenUsed="0"/>
    <w:lsdException w:name="Default Paragraph Font" w:semiHidden="0" w:uiPriority="1"/>
    <w:lsdException w:name="Body Text" w:uiPriority="0"/>
    <w:lsdException w:name="Body Text Indent" w:uiPriority="0" w:unhideWhenUsed="0"/>
    <w:lsdException w:name="List Continue" w:uiPriority="0" w:unhideWhenUsed="0"/>
    <w:lsdException w:name="List Continue 2" w:uiPriority="0" w:unhideWhenUsed="0"/>
    <w:lsdException w:name="List Continue 3" w:uiPriority="0" w:unhideWhenUsed="0"/>
    <w:lsdException w:name="List Continue 4" w:uiPriority="0" w:unhideWhenUsed="0"/>
    <w:lsdException w:name="List Continue 5" w:uiPriority="0" w:unhideWhenUsed="0"/>
    <w:lsdException w:name="Message Header" w:uiPriority="0" w:unhideWhenUsed="0"/>
    <w:lsdException w:name="Subtitle" w:semiHidden="0" w:uiPriority="0" w:unhideWhenUsed="0" w:qFormat="1"/>
    <w:lsdException w:name="Salutation" w:uiPriority="0" w:unhideWhenUsed="0"/>
    <w:lsdException w:name="Date" w:uiPriority="0" w:unhideWhenUsed="0"/>
    <w:lsdException w:name="Body Text First Indent" w:uiPriority="0" w:unhideWhenUsed="0"/>
    <w:lsdException w:name="Body Text First Indent 2" w:uiPriority="0" w:unhideWhenUsed="0"/>
    <w:lsdException w:name="Note Heading" w:semiHidden="0" w:uiPriority="0" w:unhideWhenUsed="0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semiHidden="0" w:unhideWhenUsed="0" w:qFormat="1"/>
    <w:lsdException w:name="Hyperlink" w:uiPriority="0" w:qFormat="1"/>
    <w:lsdException w:name="FollowedHyperlink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E-mail Signature" w:uiPriority="0" w:unhideWhenUsed="0"/>
    <w:lsdException w:name="Normal (Web)" w:semiHidden="0" w:uiPriority="0" w:unhideWhenUsed="0"/>
    <w:lsdException w:name="HTML Acronym" w:uiPriority="0" w:unhideWhenUsed="0"/>
    <w:lsdException w:name="HTML Address" w:uiPriority="0" w:unhideWhenUsed="0"/>
    <w:lsdException w:name="HTML Cite" w:uiPriority="0" w:unhideWhenUsed="0"/>
    <w:lsdException w:name="HTML Code" w:uiPriority="0" w:unhideWhenUsed="0"/>
    <w:lsdException w:name="HTML Definition" w:uiPriority="0" w:unhideWhenUsed="0"/>
    <w:lsdException w:name="HTML Keyboard" w:uiPriority="0" w:unhideWhenUsed="0"/>
    <w:lsdException w:name="HTML Preformatted" w:uiPriority="0" w:unhideWhenUsed="0"/>
    <w:lsdException w:name="HTML Sample" w:uiPriority="0" w:unhideWhenUsed="0"/>
    <w:lsdException w:name="HTML Typewriter" w:uiPriority="0" w:unhideWhenUsed="0"/>
    <w:lsdException w:name="HTML Variable" w:uiPriority="0" w:unhideWhenUsed="0"/>
    <w:lsdException w:name="Normal Table" w:qFormat="1"/>
    <w:lsdException w:name="Table Simple 1" w:uiPriority="0" w:unhideWhenUsed="0"/>
    <w:lsdException w:name="Table Simple 2" w:uiPriority="0" w:unhideWhenUsed="0"/>
    <w:lsdException w:name="Table Simple 3" w:uiPriority="0" w:unhideWhenUsed="0"/>
    <w:lsdException w:name="Table Classic 1" w:uiPriority="0" w:unhideWhenUsed="0"/>
    <w:lsdException w:name="Table Classic 2" w:uiPriority="0" w:unhideWhenUsed="0"/>
    <w:lsdException w:name="Table Classic 3" w:uiPriority="0" w:unhideWhenUsed="0"/>
    <w:lsdException w:name="Table Classic 4" w:uiPriority="0" w:unhideWhenUsed="0"/>
    <w:lsdException w:name="Table Colorful 1" w:uiPriority="0" w:unhideWhenUsed="0"/>
    <w:lsdException w:name="Table Colorful 2" w:uiPriority="0" w:unhideWhenUsed="0"/>
    <w:lsdException w:name="Table Colorful 3" w:uiPriority="0" w:unhideWhenUsed="0"/>
    <w:lsdException w:name="Table Columns 1" w:uiPriority="0" w:unhideWhenUsed="0"/>
    <w:lsdException w:name="Table Columns 2" w:uiPriority="0" w:unhideWhenUsed="0"/>
    <w:lsdException w:name="Table Columns 3" w:uiPriority="0" w:unhideWhenUsed="0"/>
    <w:lsdException w:name="Table Columns 4" w:uiPriority="0" w:unhideWhenUsed="0"/>
    <w:lsdException w:name="Table Columns 5" w:uiPriority="0" w:unhideWhenUsed="0"/>
    <w:lsdException w:name="Table Grid 1" w:uiPriority="0" w:unhideWhenUsed="0"/>
    <w:lsdException w:name="Table Grid 2" w:uiPriority="0" w:unhideWhenUsed="0"/>
    <w:lsdException w:name="Table Grid 3" w:uiPriority="0" w:unhideWhenUsed="0"/>
    <w:lsdException w:name="Table Grid 4" w:uiPriority="0" w:unhideWhenUsed="0"/>
    <w:lsdException w:name="Table Grid 5" w:uiPriority="0" w:unhideWhenUsed="0"/>
    <w:lsdException w:name="Table Grid 6" w:uiPriority="0" w:unhideWhenUsed="0"/>
    <w:lsdException w:name="Table Grid 7" w:uiPriority="0" w:unhideWhenUsed="0"/>
    <w:lsdException w:name="Table Grid 8" w:uiPriority="0" w:unhideWhenUsed="0"/>
    <w:lsdException w:name="Table List 1" w:uiPriority="0" w:unhideWhenUsed="0"/>
    <w:lsdException w:name="Table List 2" w:uiPriority="0" w:unhideWhenUsed="0"/>
    <w:lsdException w:name="Table List 3" w:uiPriority="0" w:unhideWhenUsed="0"/>
    <w:lsdException w:name="Table List 4" w:uiPriority="0" w:unhideWhenUsed="0"/>
    <w:lsdException w:name="Table List 5" w:uiPriority="0" w:unhideWhenUsed="0"/>
    <w:lsdException w:name="Table List 6" w:uiPriority="0" w:unhideWhenUsed="0"/>
    <w:lsdException w:name="Table List 7" w:uiPriority="0" w:unhideWhenUsed="0"/>
    <w:lsdException w:name="Table List 8" w:uiPriority="0" w:unhideWhenUsed="0"/>
    <w:lsdException w:name="Table 3D effects 1" w:uiPriority="0" w:unhideWhenUsed="0"/>
    <w:lsdException w:name="Table 3D effects 2" w:uiPriority="0" w:unhideWhenUsed="0"/>
    <w:lsdException w:name="Table 3D effects 3" w:uiPriority="0" w:unhideWhenUsed="0"/>
    <w:lsdException w:name="Table Contemporary" w:uiPriority="0" w:unhideWhenUsed="0"/>
    <w:lsdException w:name="Table Elegant" w:uiPriority="0" w:unhideWhenUsed="0"/>
    <w:lsdException w:name="Table Professional" w:uiPriority="0" w:unhideWhenUsed="0"/>
    <w:lsdException w:name="Table Subtle 1" w:uiPriority="0" w:unhideWhenUsed="0"/>
    <w:lsdException w:name="Table Subtle 2" w:uiPriority="0" w:unhideWhenUsed="0"/>
    <w:lsdException w:name="Table Web 1" w:uiPriority="0" w:unhideWhenUsed="0"/>
    <w:lsdException w:name="Table Web 2" w:uiPriority="0" w:unhideWhenUsed="0"/>
    <w:lsdException w:name="Table Web 3" w:uiPriority="0" w:unhideWhenUsed="0"/>
    <w:lsdException w:name="Balloon Text" w:uiPriority="0"/>
    <w:lsdException w:name="Table Grid" w:uiPriority="59" w:unhideWhenUsed="0"/>
    <w:lsdException w:name="Table Theme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5Char0"/>
    <w:qFormat/>
    <w:pPr>
      <w:keepNext/>
      <w:keepLines/>
      <w:spacing w:before="280" w:after="290" w:line="374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普通(网站) Char"/>
    <w:link w:val="NormalWeb"/>
    <w:locked/>
    <w:rPr>
      <w:rFonts w:ascii="宋体" w:hAnsi="宋体"/>
      <w:sz w:val="24"/>
      <w:szCs w:val="24"/>
    </w:rPr>
  </w:style>
  <w:style w:type="character" w:customStyle="1" w:styleId="fontstyle01">
    <w:name w:val="fontstyle01"/>
    <w:qFormat/>
    <w:rPr>
      <w:rFonts w:ascii="宋体" w:eastAsia="宋体" w:hAnsi="宋体" w:hint="eastAsia"/>
      <w:color w:val="00000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styleId="PageNumber">
    <w:name w:val="page number"/>
    <w:basedOn w:val="DefaultParagraphFont"/>
    <w:unhideWhenUsed/>
  </w:style>
  <w:style w:type="character" w:styleId="FollowedHyperlink">
    <w:name w:val="FollowedHyperlink"/>
    <w:semiHidden/>
    <w:rPr>
      <w:color w:val="800080"/>
      <w:u w:val="single"/>
    </w:rPr>
  </w:style>
  <w:style w:type="character" w:styleId="Emphasis">
    <w:name w:val="Emphasis"/>
    <w:qFormat/>
    <w:rPr>
      <w:i/>
      <w:iCs/>
    </w:rPr>
  </w:style>
  <w:style w:type="character" w:styleId="LineNumber">
    <w:name w:val="line number"/>
    <w:basedOn w:val="DefaultParagraphFont"/>
    <w:semiHidden/>
  </w:style>
  <w:style w:type="character" w:customStyle="1" w:styleId="CharChar">
    <w:name w:val="蓝森正文 Char Char"/>
    <w:link w:val="a0"/>
    <w:qFormat/>
    <w:locked/>
    <w:rPr>
      <w:bCs/>
      <w:kern w:val="2"/>
      <w:sz w:val="24"/>
      <w:szCs w:val="24"/>
    </w:rPr>
  </w:style>
  <w:style w:type="character" w:styleId="HTMLDefinition">
    <w:name w:val="HTML Definition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character" w:styleId="HTMLAcronym">
    <w:name w:val="HTML Acronym"/>
    <w:basedOn w:val="DefaultParagraphFont"/>
    <w:semiHidden/>
  </w:style>
  <w:style w:type="character" w:styleId="HTMLVariable">
    <w:name w:val="HTML Variable"/>
    <w:semiHidden/>
    <w:rPr>
      <w:i/>
      <w:iCs/>
    </w:rPr>
  </w:style>
  <w:style w:type="character" w:styleId="Hyperlink">
    <w:name w:val="Hyperlink"/>
    <w:unhideWhenUsed/>
    <w:qFormat/>
    <w:rPr>
      <w:color w:val="0000CC"/>
      <w:u w:val="single"/>
    </w:rPr>
  </w:style>
  <w:style w:type="character" w:customStyle="1" w:styleId="2Char">
    <w:name w:val="正文文本缩进 2 Char"/>
    <w:link w:val="BodyTextIndent2"/>
    <w:semiHidden/>
    <w:rPr>
      <w:rFonts w:ascii="Times New Roman" w:hAnsi="Times New Roman"/>
      <w:kern w:val="2"/>
      <w:sz w:val="21"/>
      <w:szCs w:val="24"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character" w:styleId="CommentReference">
    <w:name w:val="annotation reference"/>
    <w:unhideWhenUsed/>
    <w:rPr>
      <w:sz w:val="21"/>
    </w:rPr>
  </w:style>
  <w:style w:type="character" w:styleId="HTMLCite">
    <w:name w:val="HTML Cite"/>
    <w:semiHidden/>
    <w:rPr>
      <w:i/>
      <w:iCs/>
    </w:r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Pr>
      <w:rFonts w:ascii="Courier New" w:hAnsi="Courier New" w:cs="Courier New"/>
    </w:rPr>
  </w:style>
  <w:style w:type="character" w:customStyle="1" w:styleId="5Char">
    <w:name w:val="5正文 Char"/>
    <w:link w:val="5"/>
    <w:qFormat/>
    <w:locked/>
    <w:rPr>
      <w:kern w:val="2"/>
      <w:sz w:val="24"/>
      <w:szCs w:val="24"/>
      <w:lang w:val="en-US" w:eastAsia="zh-CN" w:bidi="ar-SA"/>
    </w:rPr>
  </w:style>
  <w:style w:type="character" w:customStyle="1" w:styleId="Char0">
    <w:name w:val="文档结构图 Char"/>
    <w:link w:val="DocumentMap"/>
    <w:uiPriority w:val="99"/>
    <w:semiHidden/>
    <w:rPr>
      <w:rFonts w:ascii="宋体" w:eastAsia="宋体"/>
      <w:sz w:val="18"/>
      <w:szCs w:val="18"/>
    </w:rPr>
  </w:style>
  <w:style w:type="character" w:customStyle="1" w:styleId="Char1">
    <w:name w:val="批注主题 Char1"/>
    <w:uiPriority w:val="99"/>
    <w:semiHidden/>
    <w:locked/>
    <w:rPr>
      <w:rFonts w:ascii="Times New Roman" w:hAnsi="Times New Roman"/>
      <w:b/>
      <w:bCs/>
      <w:kern w:val="2"/>
      <w:sz w:val="21"/>
      <w:szCs w:val="24"/>
    </w:rPr>
  </w:style>
  <w:style w:type="character" w:customStyle="1" w:styleId="a">
    <w:name w:val="铭洁 右对齐表头"/>
    <w:qFormat/>
    <w:rPr>
      <w:rFonts w:ascii="Times New Roman" w:eastAsia="黑体" w:hAnsi="Times New Roman"/>
      <w:color w:val="FF00FF"/>
      <w:sz w:val="24"/>
      <w:szCs w:val="24"/>
    </w:rPr>
  </w:style>
  <w:style w:type="character" w:customStyle="1" w:styleId="05Char">
    <w:name w:val="05表头 Char"/>
    <w:link w:val="05"/>
    <w:qFormat/>
    <w:locked/>
    <w:rPr>
      <w:rFonts w:ascii="Times New Roman" w:hAnsi="Times New Roman" w:cs="Courier New"/>
      <w:b/>
      <w:kern w:val="2"/>
      <w:sz w:val="21"/>
      <w:szCs w:val="24"/>
    </w:rPr>
  </w:style>
  <w:style w:type="character" w:customStyle="1" w:styleId="Char10">
    <w:name w:val="正文文本 Char1"/>
    <w:link w:val="BodyText"/>
    <w:locked/>
    <w:rPr>
      <w:rFonts w:ascii="Times New Roman" w:hAnsi="Times New Roman"/>
      <w:kern w:val="2"/>
      <w:sz w:val="21"/>
      <w:szCs w:val="24"/>
    </w:rPr>
  </w:style>
  <w:style w:type="character" w:customStyle="1" w:styleId="Char2">
    <w:name w:val="正文缩进 Char"/>
    <w:link w:val="NormalIndent"/>
    <w:uiPriority w:val="99"/>
    <w:qFormat/>
    <w:rPr>
      <w:kern w:val="2"/>
      <w:sz w:val="21"/>
      <w:szCs w:val="22"/>
    </w:rPr>
  </w:style>
  <w:style w:type="character" w:customStyle="1" w:styleId="6Char">
    <w:name w:val="6表头 Char"/>
    <w:link w:val="6"/>
    <w:qFormat/>
    <w:locked/>
    <w:rPr>
      <w:rFonts w:ascii="黑体" w:eastAsia="黑体" w:hAnsi="黑体"/>
      <w:kern w:val="2"/>
      <w:sz w:val="24"/>
      <w:szCs w:val="24"/>
      <w:lang w:val="en-US" w:eastAsia="zh-CN" w:bidi="ar-SA"/>
    </w:rPr>
  </w:style>
  <w:style w:type="character" w:customStyle="1" w:styleId="4Char">
    <w:name w:val="4表头 Char"/>
    <w:link w:val="40"/>
    <w:rPr>
      <w:rFonts w:eastAsia="黑体"/>
      <w:kern w:val="2"/>
      <w:sz w:val="24"/>
      <w:szCs w:val="24"/>
      <w:lang w:val="en-US" w:eastAsia="zh-CN" w:bidi="ar-SA"/>
    </w:rPr>
  </w:style>
  <w:style w:type="character" w:customStyle="1" w:styleId="7CharChar">
    <w:name w:val="7表格内容 Char Char"/>
    <w:link w:val="7"/>
    <w:qFormat/>
    <w:locked/>
    <w:rPr>
      <w:kern w:val="2"/>
      <w:sz w:val="21"/>
      <w:szCs w:val="24"/>
      <w:lang w:val="en-US" w:eastAsia="zh-CN" w:bidi="ar-SA"/>
    </w:rPr>
  </w:style>
  <w:style w:type="character" w:customStyle="1" w:styleId="Char11">
    <w:name w:val="批注文字 Char1"/>
    <w:link w:val="CommentText"/>
    <w:locked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07Char">
    <w:name w:val="07表格内容 Char"/>
    <w:link w:val="07"/>
    <w:qFormat/>
    <w:locked/>
    <w:rPr>
      <w:kern w:val="2"/>
      <w:sz w:val="21"/>
      <w:szCs w:val="24"/>
      <w:lang w:val="en-US" w:eastAsia="zh-CN" w:bidi="ar-SA"/>
    </w:rPr>
  </w:style>
  <w:style w:type="character" w:customStyle="1" w:styleId="6CharChar">
    <w:name w:val="6表头 Char Char"/>
    <w:qFormat/>
    <w:locked/>
    <w:rPr>
      <w:rFonts w:ascii="Times New Roman" w:eastAsia="黑体" w:hAnsi="Times New Roman"/>
      <w:sz w:val="24"/>
    </w:rPr>
  </w:style>
  <w:style w:type="character" w:customStyle="1" w:styleId="Char12">
    <w:name w:val="正文缩进 Char1"/>
    <w:aliases w:val="s4 Char Char,s4 Char1,正文2 Char,正文不缩进 Char,正文缩进 Char Char1,正文非缩进 Char,正文（首行缩进两字） Char Char,正文（首行缩进两字） Char Char Char Char Char Char Char1,正文（首行缩进两字） Char Char Char Char Char Char1,正文（首行缩进两字） Char1,特点 Char,表格 Char,表格标题 Char,表正文 Char,首行缩进两字 Char"/>
    <w:rPr>
      <w:rFonts w:eastAsia="宋体"/>
      <w:kern w:val="2"/>
      <w:sz w:val="28"/>
      <w:lang w:val="en-US" w:eastAsia="zh-CN" w:bidi="ar-SA"/>
    </w:rPr>
  </w:style>
  <w:style w:type="character" w:customStyle="1" w:styleId="5Char0">
    <w:name w:val="标题 5 Char"/>
    <w:link w:val="Heading5"/>
    <w:rPr>
      <w:rFonts w:cs="宋体"/>
      <w:b/>
      <w:bCs/>
      <w:kern w:val="2"/>
      <w:sz w:val="28"/>
      <w:szCs w:val="28"/>
    </w:rPr>
  </w:style>
  <w:style w:type="character" w:customStyle="1" w:styleId="Char14">
    <w:name w:val="批注文字 Char"/>
    <w:basedOn w:val="DefaultParagraphFont"/>
    <w:link w:val="CommentText"/>
    <w:semiHidden/>
  </w:style>
  <w:style w:type="character" w:customStyle="1" w:styleId="2">
    <w:name w:val="注释标题 字符2"/>
    <w:link w:val="NoteHeading"/>
    <w:rPr>
      <w:kern w:val="2"/>
      <w:sz w:val="21"/>
      <w:szCs w:val="22"/>
    </w:rPr>
  </w:style>
  <w:style w:type="character" w:customStyle="1" w:styleId="Char15">
    <w:name w:val="纯文本 Char"/>
    <w:link w:val="PlainText"/>
    <w:uiPriority w:val="99"/>
    <w:rPr>
      <w:rFonts w:ascii="宋体" w:eastAsia="宋体" w:hAnsi="Courier New" w:cs="Courier New"/>
      <w:szCs w:val="21"/>
    </w:rPr>
  </w:style>
  <w:style w:type="character" w:customStyle="1" w:styleId="Char16">
    <w:name w:val="批注框文本 Char"/>
    <w:link w:val="BalloonText"/>
    <w:rPr>
      <w:sz w:val="18"/>
      <w:szCs w:val="18"/>
    </w:rPr>
  </w:style>
  <w:style w:type="character" w:customStyle="1" w:styleId="06Char">
    <w:name w:val="06表格内容 Char"/>
    <w:link w:val="06"/>
    <w:qFormat/>
    <w:locked/>
    <w:rPr>
      <w:rFonts w:ascii="Times New Roman" w:eastAsia="宋体" w:hAnsi="Times New Roman" w:cs="Courier New"/>
      <w:szCs w:val="24"/>
    </w:rPr>
  </w:style>
  <w:style w:type="character" w:customStyle="1" w:styleId="Char17">
    <w:name w:val="页眉 Char"/>
    <w:aliases w:val="header Char,header odd Char"/>
    <w:link w:val="Header"/>
    <w:uiPriority w:val="99"/>
    <w:rPr>
      <w:sz w:val="18"/>
      <w:szCs w:val="18"/>
    </w:rPr>
  </w:style>
  <w:style w:type="character" w:customStyle="1" w:styleId="Char18">
    <w:name w:val="页脚 Char"/>
    <w:link w:val="Footer"/>
    <w:uiPriority w:val="99"/>
    <w:rPr>
      <w:sz w:val="18"/>
      <w:szCs w:val="18"/>
    </w:rPr>
  </w:style>
  <w:style w:type="character" w:customStyle="1" w:styleId="Char19">
    <w:name w:val="表内 定 Char"/>
    <w:link w:val="a2"/>
    <w:qFormat/>
    <w:rPr>
      <w:rFonts w:ascii="Times New Roman" w:eastAsia="仿宋" w:hAnsi="Times New Roman"/>
      <w:snapToGrid w:val="0"/>
      <w:color w:val="000000"/>
      <w:szCs w:val="22"/>
    </w:rPr>
  </w:style>
  <w:style w:type="character" w:customStyle="1" w:styleId="Char20">
    <w:name w:val="批注主题 Char"/>
    <w:link w:val="CommentSubject"/>
    <w:uiPriority w:val="99"/>
    <w:semiHidden/>
    <w:rPr>
      <w:rFonts w:ascii="Times New Roman" w:eastAsia="宋体" w:hAnsi="Times New Roman" w:cs="Times New Roman"/>
      <w:b/>
      <w:bCs/>
      <w:kern w:val="2"/>
      <w:sz w:val="21"/>
      <w:szCs w:val="22"/>
    </w:rPr>
  </w:style>
  <w:style w:type="character" w:customStyle="1" w:styleId="04Char">
    <w:name w:val="04正文 Char"/>
    <w:link w:val="04"/>
    <w:rPr>
      <w:rFonts w:ascii="Times New Roman" w:hAnsi="Times New Roman" w:cs="Courier New"/>
      <w:kern w:val="2"/>
      <w:sz w:val="21"/>
      <w:szCs w:val="21"/>
      <w:lang w:val="en-US" w:eastAsia="zh-CN" w:bidi="ar-SA"/>
    </w:rPr>
  </w:style>
  <w:style w:type="character" w:customStyle="1" w:styleId="Char21">
    <w:name w:val="正文文本 Char"/>
    <w:uiPriority w:val="99"/>
    <w:semiHidden/>
    <w:rPr>
      <w:kern w:val="2"/>
      <w:sz w:val="21"/>
      <w:szCs w:val="22"/>
    </w:rPr>
  </w:style>
  <w:style w:type="character" w:customStyle="1" w:styleId="3CharChar">
    <w:name w:val="3正文 Char Char"/>
    <w:link w:val="3"/>
    <w:semiHidden/>
    <w:locked/>
    <w:rPr>
      <w:kern w:val="2"/>
      <w:sz w:val="24"/>
      <w:szCs w:val="24"/>
      <w:lang w:val="en-US" w:eastAsia="zh-CN" w:bidi="ar-SA"/>
    </w:rPr>
  </w:style>
  <w:style w:type="paragraph" w:styleId="ListNumber3">
    <w:name w:val="List Number 3"/>
    <w:basedOn w:val="Normal"/>
    <w:semiHidden/>
    <w:pPr>
      <w:numPr>
        <w:ilvl w:val="0"/>
        <w:numId w:val="1"/>
      </w:numPr>
      <w:tabs>
        <w:tab w:val="left" w:pos="1200"/>
      </w:tabs>
    </w:pPr>
  </w:style>
  <w:style w:type="paragraph" w:styleId="BodyTextFirstIndent2">
    <w:name w:val="Body Text First Indent 2"/>
    <w:basedOn w:val="BodyTextIndent"/>
    <w:semiHidden/>
    <w:pPr>
      <w:ind w:firstLine="420" w:firstLineChars="200"/>
    </w:pPr>
  </w:style>
  <w:style w:type="paragraph" w:styleId="ListNumber">
    <w:name w:val="List Number"/>
    <w:basedOn w:val="Normal"/>
    <w:semiHidden/>
    <w:pPr>
      <w:numPr>
        <w:ilvl w:val="0"/>
        <w:numId w:val="2"/>
      </w:numPr>
      <w:tabs>
        <w:tab w:val="left" w:pos="360"/>
      </w:tabs>
    </w:pPr>
  </w:style>
  <w:style w:type="paragraph" w:styleId="Subtitle">
    <w:name w:val="Subtitle"/>
    <w:basedOn w:val="Normal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EnvelopeReturn">
    <w:name w:val="envelope return"/>
    <w:basedOn w:val="Normal"/>
    <w:semiHidden/>
    <w:pPr>
      <w:snapToGrid w:val="0"/>
    </w:pPr>
    <w:rPr>
      <w:rFonts w:ascii="Arial" w:hAnsi="Arial" w:cs="Arial"/>
    </w:rPr>
  </w:style>
  <w:style w:type="paragraph" w:styleId="ListNumber4">
    <w:name w:val="List Number 4"/>
    <w:basedOn w:val="Normal"/>
    <w:semiHidden/>
    <w:pPr>
      <w:numPr>
        <w:ilvl w:val="0"/>
        <w:numId w:val="3"/>
      </w:numPr>
      <w:tabs>
        <w:tab w:val="left" w:pos="1620"/>
      </w:tabs>
    </w:pPr>
  </w:style>
  <w:style w:type="paragraph" w:styleId="ListBullet5">
    <w:name w:val="List Bullet 5"/>
    <w:basedOn w:val="Normal"/>
    <w:semiHidden/>
    <w:pPr>
      <w:numPr>
        <w:ilvl w:val="0"/>
        <w:numId w:val="4"/>
      </w:numPr>
      <w:tabs>
        <w:tab w:val="left" w:pos="2040"/>
      </w:tabs>
    </w:pPr>
  </w:style>
  <w:style w:type="paragraph" w:styleId="BodyTextIndent">
    <w:name w:val="Body Text Indent"/>
    <w:basedOn w:val="Normal"/>
    <w:semiHidden/>
    <w:pPr>
      <w:spacing w:after="120"/>
      <w:ind w:left="420" w:leftChars="200"/>
    </w:pPr>
  </w:style>
  <w:style w:type="paragraph" w:styleId="CommentSubject">
    <w:name w:val="annotation subject"/>
    <w:basedOn w:val="CommentText"/>
    <w:next w:val="CommentText"/>
    <w:link w:val="Char20"/>
    <w:uiPriority w:val="99"/>
    <w:unhideWhenUsed/>
    <w:pPr>
      <w:spacing w:line="240" w:lineRule="auto"/>
      <w:ind w:firstLine="0" w:firstLineChars="0"/>
    </w:pPr>
    <w:rPr>
      <w:b/>
      <w:bCs/>
      <w:kern w:val="2"/>
      <w:sz w:val="21"/>
      <w:szCs w:val="22"/>
    </w:rPr>
  </w:style>
  <w:style w:type="paragraph" w:styleId="ListContinue3">
    <w:name w:val="List Continue 3"/>
    <w:basedOn w:val="Normal"/>
    <w:semiHidden/>
    <w:pPr>
      <w:spacing w:after="120"/>
      <w:ind w:left="1260" w:leftChars="600"/>
    </w:pPr>
  </w:style>
  <w:style w:type="paragraph" w:styleId="Signature">
    <w:name w:val="Signature"/>
    <w:basedOn w:val="Normal"/>
    <w:semiHidden/>
    <w:pPr>
      <w:ind w:left="100" w:leftChars="2100"/>
    </w:pPr>
  </w:style>
  <w:style w:type="paragraph" w:styleId="Date">
    <w:name w:val="Date"/>
    <w:basedOn w:val="Normal"/>
    <w:next w:val="Normal"/>
    <w:semiHidden/>
    <w:pPr>
      <w:ind w:left="100" w:leftChars="2500"/>
    </w:pPr>
  </w:style>
  <w:style w:type="paragraph" w:styleId="CommentText">
    <w:name w:val="annotation text"/>
    <w:basedOn w:val="Normal"/>
    <w:link w:val="Char11"/>
    <w:unhideWhenUsed/>
    <w:pPr>
      <w:spacing w:line="440" w:lineRule="exact"/>
      <w:ind w:firstLine="200" w:firstLineChars="200"/>
      <w:jc w:val="left"/>
    </w:pPr>
    <w:rPr>
      <w:rFonts w:ascii="Times New Roman" w:hAnsi="Times New Roman"/>
      <w:kern w:val="0"/>
      <w:sz w:val="24"/>
      <w:szCs w:val="20"/>
    </w:r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lockText">
    <w:name w:val="Block Text"/>
    <w:basedOn w:val="Normal"/>
    <w:uiPriority w:val="99"/>
    <w:qFormat/>
    <w:pPr>
      <w:spacing w:after="120"/>
      <w:ind w:left="1440" w:right="1440" w:leftChars="700" w:rightChars="70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List2">
    <w:name w:val="List 2"/>
    <w:basedOn w:val="Normal"/>
    <w:semiHidden/>
    <w:pPr>
      <w:ind w:left="100" w:hanging="200" w:leftChars="200" w:hangingChars="200"/>
    </w:pPr>
  </w:style>
  <w:style w:type="paragraph" w:styleId="NormalWeb">
    <w:name w:val="Normal (Web)"/>
    <w:basedOn w:val="Normal"/>
    <w:link w:val="Char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E-mailSignature">
    <w:name w:val="E-mail Signature"/>
    <w:basedOn w:val="Normal"/>
    <w:semiHidden/>
  </w:style>
  <w:style w:type="paragraph" w:styleId="Header">
    <w:name w:val="header"/>
    <w:basedOn w:val="Normal"/>
    <w:link w:val="Char1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Closing">
    <w:name w:val="Closing"/>
    <w:basedOn w:val="Normal"/>
    <w:semiHidden/>
    <w:pPr>
      <w:ind w:left="100" w:leftChars="2100"/>
    </w:pPr>
  </w:style>
  <w:style w:type="paragraph" w:styleId="List5">
    <w:name w:val="List 5"/>
    <w:basedOn w:val="Normal"/>
    <w:semiHidden/>
    <w:pPr>
      <w:ind w:left="100" w:hanging="200" w:leftChars="800" w:hangingChars="200"/>
    </w:pPr>
  </w:style>
  <w:style w:type="paragraph" w:styleId="ListContinue4">
    <w:name w:val="List Continue 4"/>
    <w:basedOn w:val="Normal"/>
    <w:semiHidden/>
    <w:pPr>
      <w:spacing w:after="120"/>
      <w:ind w:left="1680" w:leftChars="800"/>
    </w:pPr>
  </w:style>
  <w:style w:type="paragraph" w:styleId="ListBullet3">
    <w:name w:val="List Bullet 3"/>
    <w:basedOn w:val="Normal"/>
    <w:semiHidden/>
    <w:pPr>
      <w:numPr>
        <w:ilvl w:val="0"/>
        <w:numId w:val="5"/>
      </w:numPr>
      <w:tabs>
        <w:tab w:val="left" w:pos="1200"/>
      </w:tabs>
    </w:pPr>
  </w:style>
  <w:style w:type="paragraph" w:styleId="Salutation">
    <w:name w:val="Salutation"/>
    <w:basedOn w:val="Normal"/>
    <w:next w:val="Normal"/>
    <w:semiHidden/>
  </w:style>
  <w:style w:type="paragraph" w:styleId="BodyText">
    <w:name w:val="Body Text"/>
    <w:basedOn w:val="Normal"/>
    <w:link w:val="Char10"/>
    <w:unhideWhenUsed/>
    <w:pPr>
      <w:spacing w:after="120"/>
    </w:pPr>
    <w:rPr>
      <w:rFonts w:ascii="Times New Roman" w:hAnsi="Times New Roman"/>
      <w:szCs w:val="24"/>
    </w:rPr>
  </w:style>
  <w:style w:type="paragraph" w:styleId="BodyTextFirstIndent">
    <w:name w:val="Body Text First Indent"/>
    <w:basedOn w:val="BodyText"/>
    <w:semiHidden/>
    <w:pPr>
      <w:ind w:firstLine="420" w:firstLineChars="100"/>
    </w:pPr>
    <w:rPr>
      <w:rFonts w:ascii="Calibri" w:hAnsi="Calibri"/>
      <w:szCs w:val="22"/>
    </w:rPr>
  </w:style>
  <w:style w:type="paragraph" w:styleId="List4">
    <w:name w:val="List 4"/>
    <w:basedOn w:val="Normal"/>
    <w:semiHidden/>
    <w:pPr>
      <w:ind w:left="100" w:hanging="200" w:leftChars="600" w:hangingChars="200"/>
    </w:pPr>
  </w:style>
  <w:style w:type="paragraph" w:styleId="BodyTextIndent3">
    <w:name w:val="Body Text Indent 3"/>
    <w:basedOn w:val="Normal"/>
    <w:semiHidden/>
    <w:pPr>
      <w:spacing w:after="120"/>
      <w:ind w:left="420" w:leftChars="200"/>
    </w:pPr>
    <w:rPr>
      <w:sz w:val="16"/>
      <w:szCs w:val="16"/>
    </w:rPr>
  </w:style>
  <w:style w:type="paragraph" w:styleId="ListNumber5">
    <w:name w:val="List Number 5"/>
    <w:basedOn w:val="Normal"/>
    <w:semiHidden/>
    <w:pPr>
      <w:numPr>
        <w:ilvl w:val="0"/>
        <w:numId w:val="6"/>
      </w:numPr>
      <w:tabs>
        <w:tab w:val="left" w:pos="2040"/>
      </w:tabs>
    </w:pPr>
  </w:style>
  <w:style w:type="paragraph" w:styleId="BodyTextIndent2">
    <w:name w:val="Body Text Indent 2"/>
    <w:basedOn w:val="Normal"/>
    <w:link w:val="2Char"/>
    <w:semiHidden/>
    <w:pPr>
      <w:spacing w:after="120" w:line="480" w:lineRule="auto"/>
      <w:ind w:left="420" w:leftChars="200"/>
    </w:pPr>
    <w:rPr>
      <w:rFonts w:ascii="Times New Roman" w:hAnsi="Times New Roman"/>
      <w:szCs w:val="24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 w:leftChars="500" w:hangingChars="500"/>
    </w:pPr>
    <w:rPr>
      <w:rFonts w:ascii="Arial" w:hAnsi="Arial" w:cs="Arial"/>
      <w:sz w:val="24"/>
      <w:szCs w:val="24"/>
    </w:rPr>
  </w:style>
  <w:style w:type="paragraph" w:styleId="PlainText">
    <w:name w:val="Plain Text"/>
    <w:basedOn w:val="Normal"/>
    <w:link w:val="Char15"/>
    <w:uiPriority w:val="99"/>
    <w:unhideWhenUsed/>
    <w:rPr>
      <w:rFonts w:ascii="宋体" w:hAnsi="Courier New"/>
      <w:kern w:val="0"/>
      <w:sz w:val="20"/>
      <w:szCs w:val="21"/>
    </w:rPr>
  </w:style>
  <w:style w:type="paragraph" w:styleId="ListContinue">
    <w:name w:val="List Continue"/>
    <w:basedOn w:val="Normal"/>
    <w:semiHidden/>
    <w:pPr>
      <w:spacing w:after="120"/>
      <w:ind w:left="420" w:leftChars="200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ListContinue2">
    <w:name w:val="List Continue 2"/>
    <w:basedOn w:val="Normal"/>
    <w:semiHidden/>
    <w:pPr>
      <w:spacing w:after="120"/>
      <w:ind w:left="840" w:leftChars="400"/>
    </w:pPr>
  </w:style>
  <w:style w:type="paragraph" w:styleId="NormalIndent">
    <w:name w:val="Normal Indent"/>
    <w:basedOn w:val="Normal"/>
    <w:link w:val="Char2"/>
    <w:uiPriority w:val="99"/>
    <w:qFormat/>
    <w:pPr>
      <w:ind w:firstLine="420" w:firstLineChars="200"/>
    </w:pPr>
  </w:style>
  <w:style w:type="paragraph" w:styleId="Footer">
    <w:name w:val="footer"/>
    <w:basedOn w:val="Normal"/>
    <w:link w:val="Char1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List3">
    <w:name w:val="List 3"/>
    <w:basedOn w:val="Normal"/>
    <w:semiHidden/>
    <w:pPr>
      <w:ind w:left="100" w:hanging="200" w:leftChars="400" w:hangingChars="200"/>
    </w:pPr>
  </w:style>
  <w:style w:type="paragraph" w:styleId="ListContinue5">
    <w:name w:val="List Continue 5"/>
    <w:basedOn w:val="Normal"/>
    <w:semiHidden/>
    <w:pPr>
      <w:spacing w:after="120"/>
      <w:ind w:left="2100" w:leftChars="1000"/>
    </w:pPr>
  </w:style>
  <w:style w:type="paragraph" w:styleId="HTMLAddress">
    <w:name w:val="HTML Address"/>
    <w:basedOn w:val="Normal"/>
    <w:semiHidden/>
    <w:rPr>
      <w:i/>
      <w:iCs/>
    </w:rPr>
  </w:style>
  <w:style w:type="paragraph" w:styleId="ListBullet2">
    <w:name w:val="List Bullet 2"/>
    <w:basedOn w:val="Normal"/>
    <w:semiHidden/>
    <w:pPr>
      <w:numPr>
        <w:ilvl w:val="0"/>
        <w:numId w:val="7"/>
      </w:numPr>
      <w:tabs>
        <w:tab w:val="left" w:pos="780"/>
      </w:tabs>
    </w:pPr>
  </w:style>
  <w:style w:type="paragraph" w:styleId="ListBullet4">
    <w:name w:val="List Bullet 4"/>
    <w:basedOn w:val="Normal"/>
    <w:semiHidden/>
    <w:pPr>
      <w:numPr>
        <w:ilvl w:val="0"/>
        <w:numId w:val="8"/>
      </w:numPr>
      <w:tabs>
        <w:tab w:val="left" w:pos="1620"/>
      </w:tabs>
    </w:pPr>
  </w:style>
  <w:style w:type="paragraph" w:styleId="ListNumber2">
    <w:name w:val="List Number 2"/>
    <w:basedOn w:val="Normal"/>
    <w:semiHidden/>
    <w:pPr>
      <w:numPr>
        <w:ilvl w:val="0"/>
        <w:numId w:val="9"/>
      </w:numPr>
      <w:tabs>
        <w:tab w:val="left" w:pos="780"/>
      </w:tabs>
    </w:pPr>
  </w:style>
  <w:style w:type="paragraph" w:styleId="NoteHeading">
    <w:name w:val="Note Heading"/>
    <w:basedOn w:val="Normal"/>
    <w:next w:val="Normal"/>
    <w:link w:val="2"/>
    <w:pPr>
      <w:jc w:val="center"/>
    </w:pPr>
  </w:style>
  <w:style w:type="paragraph" w:styleId="HTMLPreformatted">
    <w:name w:val="HTML Preformatted"/>
    <w:basedOn w:val="Normal"/>
    <w:semiHidden/>
    <w:rPr>
      <w:rFonts w:ascii="Courier New" w:hAnsi="Courier New" w:cs="Courier New"/>
      <w:sz w:val="20"/>
      <w:szCs w:val="20"/>
    </w:rPr>
  </w:style>
  <w:style w:type="paragraph" w:styleId="List">
    <w:name w:val="List"/>
    <w:basedOn w:val="Normal"/>
    <w:semiHidden/>
    <w:pPr>
      <w:ind w:left="200" w:hanging="200" w:hangingChars="200"/>
    </w:pPr>
  </w:style>
  <w:style w:type="paragraph" w:styleId="BalloonText">
    <w:name w:val="Balloon Text"/>
    <w:basedOn w:val="Normal"/>
    <w:link w:val="Char16"/>
    <w:unhideWhenUsed/>
    <w:rPr>
      <w:kern w:val="0"/>
      <w:sz w:val="18"/>
      <w:szCs w:val="18"/>
    </w:rPr>
  </w:style>
  <w:style w:type="paragraph" w:styleId="DocumentMap">
    <w:name w:val="Document Map"/>
    <w:basedOn w:val="Normal"/>
    <w:link w:val="Char0"/>
    <w:uiPriority w:val="99"/>
    <w:unhideWhenUsed/>
    <w:rPr>
      <w:rFonts w:ascii="宋体"/>
      <w:kern w:val="0"/>
      <w:sz w:val="18"/>
      <w:szCs w:val="18"/>
    </w:rPr>
  </w:style>
  <w:style w:type="paragraph" w:styleId="EnvelopeAddress">
    <w:name w:val="envelope address"/>
    <w:basedOn w:val="Normal"/>
    <w:semiHidden/>
    <w:pPr>
      <w:framePr w:w="7920" w:h="1980" w:hRule="exact" w:hSpace="180" w:wrap="around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ListBullet">
    <w:name w:val="List Bullet"/>
    <w:basedOn w:val="Normal"/>
    <w:semiHidden/>
    <w:pPr>
      <w:numPr>
        <w:ilvl w:val="0"/>
        <w:numId w:val="10"/>
      </w:numPr>
      <w:tabs>
        <w:tab w:val="left" w:pos="360"/>
      </w:tabs>
    </w:pPr>
  </w:style>
  <w:style w:type="paragraph" w:customStyle="1" w:styleId="7">
    <w:name w:val="7表格内容"/>
    <w:next w:val="5"/>
    <w:link w:val="7CharChar"/>
    <w:qFormat/>
    <w:pPr>
      <w:widowControl w:val="0"/>
      <w:spacing w:line="400" w:lineRule="exact"/>
      <w:jc w:val="center"/>
    </w:pPr>
    <w:rPr>
      <w:kern w:val="2"/>
      <w:sz w:val="21"/>
      <w:szCs w:val="24"/>
      <w:lang w:val="en-US" w:eastAsia="zh-CN" w:bidi="ar-SA"/>
    </w:rPr>
  </w:style>
  <w:style w:type="paragraph" w:customStyle="1" w:styleId="a0">
    <w:name w:val="蓝森正文"/>
    <w:basedOn w:val="Normal"/>
    <w:link w:val="CharChar"/>
    <w:semiHidden/>
    <w:qFormat/>
    <w:pPr>
      <w:spacing w:line="520" w:lineRule="exact"/>
      <w:ind w:firstLine="480" w:firstLineChars="200"/>
    </w:pPr>
    <w:rPr>
      <w:bCs/>
      <w:sz w:val="24"/>
      <w:szCs w:val="24"/>
    </w:rPr>
  </w:style>
  <w:style w:type="paragraph" w:customStyle="1" w:styleId="07">
    <w:name w:val="07表格内容"/>
    <w:link w:val="07Char"/>
    <w:qFormat/>
    <w:pPr>
      <w:widowControl w:val="0"/>
      <w:spacing w:line="360" w:lineRule="exact"/>
      <w:jc w:val="center"/>
    </w:pPr>
    <w:rPr>
      <w:kern w:val="2"/>
      <w:sz w:val="21"/>
      <w:szCs w:val="24"/>
      <w:lang w:val="en-US" w:eastAsia="zh-CN" w:bidi="ar-SA"/>
    </w:rPr>
  </w:style>
  <w:style w:type="paragraph" w:customStyle="1" w:styleId="a1">
    <w:name w:val="表中文字"/>
    <w:qFormat/>
    <w:pPr>
      <w:widowControl w:val="0"/>
      <w:adjustRightInd w:val="0"/>
      <w:snapToGrid w:val="0"/>
      <w:jc w:val="center"/>
    </w:pPr>
    <w:rPr>
      <w:rFonts w:ascii="Times New Roman" w:eastAsia="黑体" w:hAnsi="Times New Roman"/>
      <w:bCs/>
      <w:sz w:val="21"/>
      <w:szCs w:val="24"/>
      <w:lang w:val="en-US" w:eastAsia="zh-CN" w:bidi="ar-SA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customStyle="1" w:styleId="p0">
    <w:name w:val="p0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2">
    <w:name w:val="表内 定"/>
    <w:basedOn w:val="Normal"/>
    <w:link w:val="Char19"/>
    <w:qFormat/>
    <w:pPr>
      <w:jc w:val="left"/>
    </w:pPr>
    <w:rPr>
      <w:rFonts w:ascii="Times New Roman" w:eastAsia="仿宋" w:hAnsi="Times New Roman"/>
      <w:snapToGrid w:val="0"/>
      <w:color w:val="000000"/>
      <w:kern w:val="0"/>
      <w:sz w:val="20"/>
    </w:rPr>
  </w:style>
  <w:style w:type="paragraph" w:customStyle="1" w:styleId="601">
    <w:name w:val="样式 表标题 + (符号) 宋体 四号 非加粗 两端对齐 段前: 6 磅 段后: 0 磅1"/>
    <w:basedOn w:val="Normal"/>
    <w:semiHidden/>
    <w:pPr>
      <w:spacing w:line="320" w:lineRule="exact"/>
      <w:jc w:val="center"/>
    </w:pPr>
    <w:rPr>
      <w:rFonts w:ascii="Times New Roman" w:hAnsi="Times New Roman"/>
      <w:sz w:val="24"/>
      <w:szCs w:val="21"/>
    </w:rPr>
  </w:style>
  <w:style w:type="paragraph" w:customStyle="1" w:styleId="a3">
    <w:name w:val="常用正文样式"/>
    <w:basedOn w:val="Normal"/>
    <w:qFormat/>
    <w:pPr>
      <w:spacing w:line="360" w:lineRule="auto"/>
      <w:ind w:firstLine="480" w:firstLineChars="200"/>
    </w:pPr>
    <w:rPr>
      <w:rFonts w:ascii="宋体" w:hAnsi="宋体" w:cs="宋体"/>
      <w:bCs/>
      <w:kern w:val="28"/>
      <w:sz w:val="24"/>
      <w:szCs w:val="20"/>
    </w:rPr>
  </w:style>
  <w:style w:type="paragraph" w:customStyle="1" w:styleId="01">
    <w:name w:val="01表头大标题"/>
    <w:basedOn w:val="Normal"/>
    <w:next w:val="04"/>
    <w:qFormat/>
    <w:pPr>
      <w:spacing w:line="440" w:lineRule="exact"/>
      <w:jc w:val="center"/>
      <w:outlineLvl w:val="0"/>
    </w:pPr>
    <w:rPr>
      <w:rFonts w:ascii="Times New Roman" w:eastAsia="黑体" w:hAnsi="Times New Roman" w:cs="Courier New"/>
      <w:sz w:val="30"/>
      <w:szCs w:val="21"/>
    </w:rPr>
  </w:style>
  <w:style w:type="paragraph" w:customStyle="1" w:styleId="04">
    <w:name w:val="04正文"/>
    <w:link w:val="04Char"/>
    <w:qFormat/>
    <w:pPr>
      <w:snapToGrid w:val="0"/>
      <w:spacing w:line="440" w:lineRule="exact"/>
      <w:ind w:firstLine="200" w:firstLineChars="200"/>
    </w:pPr>
    <w:rPr>
      <w:rFonts w:ascii="Times New Roman" w:hAnsi="Times New Roman" w:cs="Courier New"/>
      <w:kern w:val="2"/>
      <w:sz w:val="21"/>
      <w:szCs w:val="21"/>
      <w:lang w:val="en-US" w:eastAsia="zh-CN" w:bidi="ar-SA"/>
    </w:rPr>
  </w:style>
  <w:style w:type="paragraph" w:customStyle="1" w:styleId="032">
    <w:name w:val="03表格内2级标题"/>
    <w:basedOn w:val="PlainText"/>
    <w:next w:val="04"/>
    <w:qFormat/>
    <w:pPr>
      <w:snapToGrid w:val="0"/>
      <w:spacing w:line="440" w:lineRule="exact"/>
    </w:pPr>
    <w:rPr>
      <w:rFonts w:ascii="Times New Roman" w:hAnsi="Times New Roman"/>
    </w:rPr>
  </w:style>
  <w:style w:type="paragraph" w:customStyle="1" w:styleId="021">
    <w:name w:val="02表格内1级标题"/>
    <w:basedOn w:val="PlainText"/>
    <w:next w:val="04"/>
    <w:qFormat/>
    <w:pPr>
      <w:snapToGrid w:val="0"/>
      <w:spacing w:line="480" w:lineRule="exact"/>
    </w:pPr>
    <w:rPr>
      <w:rFonts w:ascii="Times New Roman" w:hAnsi="Times New Roman"/>
      <w:b/>
    </w:rPr>
  </w:style>
  <w:style w:type="paragraph" w:customStyle="1" w:styleId="05">
    <w:name w:val="05表头"/>
    <w:basedOn w:val="PlainText"/>
    <w:next w:val="04"/>
    <w:link w:val="05Char"/>
    <w:qFormat/>
    <w:pPr>
      <w:pageBreakBefore/>
      <w:spacing w:line="400" w:lineRule="exact"/>
      <w:ind w:firstLine="200" w:firstLineChars="200"/>
      <w:jc w:val="left"/>
    </w:pPr>
    <w:rPr>
      <w:rFonts w:ascii="Times New Roman" w:hAnsi="Times New Roman"/>
      <w:b/>
      <w:kern w:val="2"/>
      <w:sz w:val="21"/>
      <w:szCs w:val="24"/>
    </w:rPr>
  </w:style>
  <w:style w:type="paragraph" w:customStyle="1" w:styleId="06">
    <w:name w:val="06表格内容"/>
    <w:basedOn w:val="PlainText"/>
    <w:next w:val="PlainText"/>
    <w:link w:val="06Char"/>
    <w:qFormat/>
    <w:pPr>
      <w:spacing w:line="320" w:lineRule="exact"/>
      <w:jc w:val="center"/>
    </w:pPr>
    <w:rPr>
      <w:rFonts w:ascii="Times New Roman" w:hAnsi="Times New Roman"/>
      <w:szCs w:val="24"/>
    </w:rPr>
  </w:style>
  <w:style w:type="paragraph" w:customStyle="1" w:styleId="5">
    <w:name w:val="5正文"/>
    <w:link w:val="5Char"/>
    <w:qFormat/>
    <w:pPr>
      <w:widowControl w:val="0"/>
      <w:spacing w:line="520" w:lineRule="exact"/>
      <w:ind w:firstLine="20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customStyle="1" w:styleId="32">
    <w:name w:val="3表格内2级标题"/>
    <w:next w:val="5"/>
    <w:qFormat/>
    <w:pPr>
      <w:spacing w:line="520" w:lineRule="exact"/>
    </w:pPr>
    <w:rPr>
      <w:rFonts w:ascii="Times New Roman" w:eastAsia="楷体" w:hAnsi="Times New Roman"/>
      <w:b/>
      <w:color w:val="000000"/>
      <w:kern w:val="2"/>
      <w:sz w:val="24"/>
      <w:szCs w:val="24"/>
      <w:lang w:val="en-US" w:eastAsia="zh-CN" w:bidi="ar-SA"/>
    </w:rPr>
  </w:style>
  <w:style w:type="paragraph" w:customStyle="1" w:styleId="6">
    <w:name w:val="6表头"/>
    <w:next w:val="5"/>
    <w:link w:val="6Char"/>
    <w:qFormat/>
    <w:pPr>
      <w:pageBreakBefore/>
      <w:spacing w:line="520" w:lineRule="exact"/>
      <w:ind w:firstLine="200" w:firstLineChars="200"/>
    </w:pPr>
    <w:rPr>
      <w:rFonts w:ascii="黑体" w:eastAsia="黑体" w:hAnsi="黑体"/>
      <w:kern w:val="2"/>
      <w:sz w:val="24"/>
      <w:szCs w:val="24"/>
      <w:lang w:val="en-US" w:eastAsia="zh-CN" w:bidi="ar-SA"/>
    </w:rPr>
  </w:style>
  <w:style w:type="paragraph" w:customStyle="1" w:styleId="43">
    <w:name w:val="4表格内3级标题"/>
    <w:basedOn w:val="5"/>
    <w:next w:val="5"/>
    <w:qFormat/>
    <w:pPr>
      <w:ind w:firstLine="0" w:firstLineChars="0"/>
      <w:jc w:val="left"/>
    </w:pPr>
  </w:style>
  <w:style w:type="paragraph" w:customStyle="1" w:styleId="a4">
    <w:name w:val="中文报告书样式"/>
    <w:basedOn w:val="Normal"/>
    <w:pPr>
      <w:adjustRightInd w:val="0"/>
      <w:spacing w:line="480" w:lineRule="atLeast"/>
      <w:ind w:firstLine="482"/>
    </w:pPr>
    <w:rPr>
      <w:rFonts w:ascii="Times New Roman" w:eastAsia="宋体" w:hAnsi="Times New Roman" w:cs="Times New Roman"/>
      <w:kern w:val="24"/>
      <w:sz w:val="24"/>
      <w:szCs w:val="20"/>
    </w:rPr>
  </w:style>
  <w:style w:type="paragraph" w:customStyle="1" w:styleId="050">
    <w:name w:val="05正文"/>
    <w:basedOn w:val="Normal"/>
    <w:qFormat/>
    <w:pPr>
      <w:spacing w:line="500" w:lineRule="exact"/>
      <w:ind w:firstLine="200" w:firstLineChars="200"/>
    </w:pPr>
    <w:rPr>
      <w:rFonts w:ascii="Times New Roman" w:hAnsi="Times New Roman"/>
      <w:sz w:val="24"/>
      <w:szCs w:val="24"/>
    </w:rPr>
  </w:style>
  <w:style w:type="paragraph" w:customStyle="1" w:styleId="4">
    <w:name w:val="4级标题"/>
    <w:basedOn w:val="Normal"/>
    <w:next w:val="5"/>
    <w:qFormat/>
    <w:pPr>
      <w:spacing w:line="520" w:lineRule="exact"/>
      <w:outlineLvl w:val="3"/>
    </w:pPr>
    <w:rPr>
      <w:rFonts w:ascii="Times New Roman" w:hAnsi="Times New Roman"/>
      <w:b/>
      <w:sz w:val="24"/>
      <w:szCs w:val="20"/>
    </w:rPr>
  </w:style>
  <w:style w:type="paragraph" w:customStyle="1" w:styleId="a5">
    <w:name w:val="表格"/>
    <w:basedOn w:val="Normal"/>
    <w:semiHidden/>
    <w:pPr>
      <w:adjustRightInd w:val="0"/>
      <w:spacing w:before="40" w:after="40" w:line="520" w:lineRule="exact"/>
    </w:pPr>
    <w:rPr>
      <w:rFonts w:ascii="昆仑仿宋" w:eastAsia="昆仑仿宋" w:hAnsi="Times New Roman"/>
      <w:sz w:val="24"/>
      <w:szCs w:val="15"/>
    </w:rPr>
  </w:style>
  <w:style w:type="paragraph" w:customStyle="1" w:styleId="3">
    <w:name w:val="3正文"/>
    <w:link w:val="3CharChar"/>
    <w:semiHidden/>
    <w:pPr>
      <w:widowControl w:val="0"/>
      <w:spacing w:line="520" w:lineRule="exact"/>
      <w:ind w:firstLine="20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Times New Roman" w:hAnsi="Times New Roman"/>
      <w:szCs w:val="24"/>
    </w:rPr>
  </w:style>
  <w:style w:type="paragraph" w:styleId="Revision">
    <w:name w:val="Revision"/>
    <w:uiPriority w:val="99"/>
    <w:semiHidden/>
    <w:rPr>
      <w:kern w:val="2"/>
      <w:sz w:val="21"/>
      <w:szCs w:val="22"/>
      <w:lang w:val="en-US" w:eastAsia="zh-CN" w:bidi="ar-SA"/>
    </w:rPr>
  </w:style>
  <w:style w:type="paragraph" w:customStyle="1" w:styleId="paragraph">
    <w:name w:val="paragraph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6">
    <w:name w:val="河南表内"/>
    <w:basedOn w:val="Normal"/>
    <w:qFormat/>
    <w:pPr>
      <w:spacing w:line="360" w:lineRule="exact"/>
      <w:jc w:val="center"/>
    </w:pPr>
    <w:rPr>
      <w:rFonts w:ascii="Times New Roman" w:hAnsi="Times New Roman"/>
      <w:color w:val="000000"/>
      <w:szCs w:val="21"/>
    </w:rPr>
  </w:style>
  <w:style w:type="paragraph" w:customStyle="1" w:styleId="1">
    <w:name w:val="列出段落1"/>
    <w:basedOn w:val="Normal"/>
    <w:pPr>
      <w:spacing w:line="360" w:lineRule="auto"/>
      <w:ind w:firstLine="420" w:firstLineChars="200"/>
    </w:pPr>
    <w:rPr>
      <w:rFonts w:ascii="Times New Roman" w:hAnsi="Times New Roman"/>
      <w:sz w:val="24"/>
    </w:rPr>
  </w:style>
  <w:style w:type="paragraph" w:customStyle="1" w:styleId="40">
    <w:name w:val="4表头"/>
    <w:next w:val="3"/>
    <w:link w:val="4Char"/>
    <w:pPr>
      <w:pageBreakBefore/>
      <w:spacing w:line="520" w:lineRule="exact"/>
      <w:ind w:firstLine="200" w:firstLineChars="200"/>
    </w:pPr>
    <w:rPr>
      <w:rFonts w:eastAsia="黑体"/>
      <w:kern w:val="2"/>
      <w:sz w:val="24"/>
      <w:szCs w:val="24"/>
      <w:lang w:val="en-US" w:eastAsia="zh-CN" w:bidi="ar-SA"/>
    </w:rPr>
  </w:style>
  <w:style w:type="paragraph" w:customStyle="1" w:styleId="0">
    <w:name w:val="0正文"/>
    <w:basedOn w:val="Normal"/>
    <w:qFormat/>
    <w:pPr>
      <w:spacing w:line="520" w:lineRule="exact"/>
      <w:ind w:firstLine="560" w:firstLineChars="200"/>
    </w:pPr>
    <w:rPr>
      <w:rFonts w:ascii="宋体" w:eastAsia="宋体" w:hAnsi="宋体"/>
      <w:kern w:val="44"/>
      <w:sz w:val="24"/>
      <w:szCs w:val="28"/>
    </w:rPr>
  </w:style>
  <w:style w:type="paragraph" w:customStyle="1" w:styleId="CharChar1Char">
    <w:name w:val=" Char Char1 Char"/>
    <w:basedOn w:val="Normal"/>
    <w:qFormat/>
    <w:pPr>
      <w:widowControl/>
      <w:spacing w:line="360" w:lineRule="auto"/>
      <w:ind w:firstLine="200" w:firstLineChars="200"/>
      <w:jc w:val="left"/>
    </w:pPr>
    <w:rPr>
      <w:rFonts w:ascii="宋体" w:hAnsi="宋体" w:cs="宋体"/>
      <w:color w:val="000000"/>
      <w:kern w:val="0"/>
      <w:sz w:val="20"/>
      <w:szCs w:val="24"/>
    </w:rPr>
  </w:style>
  <w:style w:type="table" w:styleId="TableTheme">
    <w:name w:val="Table Theme"/>
    <w:basedOn w:val="TableNormal"/>
    <w:semiHidden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4">
    <w:name w:val="Table Classic 4"/>
    <w:basedOn w:val="TableNormal"/>
    <w:semiHidden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lumns5">
    <w:name w:val="Table Columns 5"/>
    <w:basedOn w:val="TableNormal"/>
    <w:semiHidden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0" w:space="0" w:color="auto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top w:val="none" w:sz="0" w:space="0" w:color="auto"/>
          <w:left w:val="none" w:sz="0" w:space="0" w:color="auto"/>
          <w:bottom w:val="single" w:sz="6" w:space="0" w:color="80808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Simple3">
    <w:name w:val="Table Simple 3"/>
    <w:basedOn w:val="TableNormal"/>
    <w:semiHidden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blStylePr w:type="firstRow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doub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Web2">
    <w:name w:val="Table Web 2"/>
    <w:basedOn w:val="TableNormal"/>
    <w:semiHidden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Grid1">
    <w:name w:val="Table Grid 1"/>
    <w:basedOn w:val="TableNormal"/>
    <w:semiHidden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000000"/>
          <w:tr2bl w:val="nil"/>
        </w:tcBorders>
      </w:tcPr>
    </w:tblStylePr>
  </w:style>
  <w:style w:type="table" w:styleId="Table3Deffects2">
    <w:name w:val="Table 3D effects 2"/>
    <w:basedOn w:val="TableNormal"/>
    <w:semiHidden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tblPr/>
      <w:tcPr>
        <w:tcBorders>
          <w:top w:val="nil"/>
          <w:left w:val="none" w:sz="0" w:space="0" w:color="auto"/>
          <w:bottom w:val="nil"/>
          <w:right w:val="single" w:sz="6" w:space="0" w:color="80808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6" w:space="0" w:color="FFFFFF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left w:val="none" w:sz="0" w:space="0" w:color="auto"/>
          <w:bottom w:val="single" w:sz="6" w:space="0" w:color="FFFFFF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lorful2">
    <w:name w:val="Table Colorful 2"/>
    <w:basedOn w:val="TableNormal"/>
    <w:semiHidden/>
    <w:pPr>
      <w:widowControl w:val="0"/>
      <w:jc w:val="both"/>
    </w:pPr>
    <w:tblPr>
      <w:tblBorders>
        <w:top w:val="none" w:sz="0" w:space="0" w:color="auto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Web3">
    <w:name w:val="Table Web 3"/>
    <w:basedOn w:val="TableNormal"/>
    <w:semiHidden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lorful1">
    <w:name w:val="Table Colorful 1"/>
    <w:basedOn w:val="TableNormal"/>
    <w:semiHidden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  <w:insideV w:val="none" w:sz="0" w:space="0" w:color="auto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List5">
    <w:name w:val="Table List 5"/>
    <w:basedOn w:val="TableNormal"/>
    <w:semiHidden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Subtle1">
    <w:name w:val="Table Subtle 1"/>
    <w:basedOn w:val="TableNormal"/>
    <w:semiHidden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2" w:space="0" w:color="00000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tblPr/>
      <w:tcPr>
        <w:tcBorders>
          <w:top w:val="none" w:sz="0" w:space="0" w:color="auto"/>
          <w:left w:val="single" w:sz="12" w:space="0" w:color="000000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Grid8">
    <w:name w:val="Table Grid 8"/>
    <w:basedOn w:val="TableNormal"/>
    <w:semiHidden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Simple2">
    <w:name w:val="Table Simple 2"/>
    <w:basedOn w:val="TableNormal"/>
    <w:semiHidden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2" w:space="0" w:color="00000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single" w:sz="6" w:space="0" w:color="000000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il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ntemporary">
    <w:name w:val="Table Contemporary"/>
    <w:basedOn w:val="TableNormal"/>
    <w:semiHidden/>
    <w:pPr>
      <w:widowControl w:val="0"/>
      <w:jc w:val="both"/>
    </w:p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0" w:color="000000" w:fill="FFFFFF"/>
      </w:tcPr>
    </w:tblStylePr>
  </w:style>
  <w:style w:type="table" w:styleId="TableClassic1">
    <w:name w:val="Table Classic 1"/>
    <w:basedOn w:val="TableNormal"/>
    <w:semiHidden/>
    <w:pPr>
      <w:widowControl w:val="0"/>
      <w:jc w:val="both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6" w:space="0" w:color="00000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Grid3">
    <w:name w:val="Table Grid 3"/>
    <w:basedOn w:val="TableNormal"/>
    <w:semiHidden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H w:val="none" w:sz="0" w:space="0" w:color="auto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000000"/>
          <w:tr2bl w:val="nil"/>
        </w:tcBorders>
      </w:tcPr>
    </w:tblStylePr>
  </w:style>
  <w:style w:type="table" w:styleId="Table3Deffects1">
    <w:name w:val="Table 3D effects 1"/>
    <w:basedOn w:val="TableNormal"/>
    <w:semiHidden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one" w:sz="0" w:space="0" w:color="auto"/>
          <w:left w:val="none" w:sz="0" w:space="0" w:color="auto"/>
          <w:bottom w:val="single" w:sz="6" w:space="0" w:color="80808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6" w:space="0" w:color="80808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tblPr/>
      <w:tcPr>
        <w:tcBorders>
          <w:top w:val="none" w:sz="0" w:space="0" w:color="auto"/>
          <w:left w:val="single" w:sz="6" w:space="0" w:color="FFFFFF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eCell">
      <w:tblPr/>
      <w:tcPr>
        <w:tcBorders>
          <w:top w:val="none" w:sz="0" w:space="0" w:color="auto"/>
          <w:left w:val="nil"/>
          <w:bottom w:val="nil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il"/>
          <w:right w:val="nil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one" w:sz="0" w:space="0" w:color="auto"/>
          <w:bottom w:val="none" w:sz="0" w:space="0" w:color="auto"/>
          <w:right w:val="nil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Grid6">
    <w:name w:val="Table Grid 6"/>
    <w:basedOn w:val="TableNormal"/>
    <w:semiHidden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000000"/>
          <w:tr2bl w:val="nil"/>
        </w:tcBorders>
      </w:tcPr>
    </w:tblStylePr>
  </w:style>
  <w:style w:type="table" w:styleId="TableList1">
    <w:name w:val="Table List 1"/>
    <w:basedOn w:val="TableNormal"/>
    <w:semiHidden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  <w:insideH w:val="none" w:sz="0" w:space="0" w:color="auto"/>
        <w:insideV w:val="none" w:sz="0" w:space="0" w:color="auto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List4">
    <w:name w:val="Table List 4"/>
    <w:basedOn w:val="TableNormal"/>
    <w:semiHidden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808080" w:fill="FFFFFF"/>
      </w:tcPr>
    </w:tblStylePr>
  </w:style>
  <w:style w:type="table" w:styleId="TableSubtle2">
    <w:name w:val="Table Subtle 2"/>
    <w:basedOn w:val="TableNormal"/>
    <w:semiHidden/>
    <w:pPr>
      <w:widowControl w:val="0"/>
      <w:jc w:val="both"/>
    </w:pPr>
    <w:tblPr>
      <w:tblBorders>
        <w:top w:val="none" w:sz="0" w:space="0" w:color="auto"/>
        <w:left w:val="single" w:sz="6" w:space="0" w:color="000000"/>
        <w:bottom w:val="none" w:sz="0" w:space="0" w:color="auto"/>
        <w:right w:val="single" w:sz="6" w:space="0" w:color="000000"/>
        <w:insideH w:val="none" w:sz="0" w:space="0" w:color="auto"/>
        <w:insideV w:val="none" w:sz="0" w:space="0" w:color="auto"/>
      </w:tblBorders>
    </w:tblPr>
    <w:tblStylePr w:type="firstRow"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2" w:space="0" w:color="000000"/>
          <w:insideH w:val="none" w:sz="0" w:space="0" w:color="auto"/>
          <w:insideV w:val="none" w:sz="0" w:space="0" w:color="auto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one" w:sz="0" w:space="0" w:color="auto"/>
          <w:left w:val="single" w:sz="12" w:space="0" w:color="000000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Professional">
    <w:name w:val="Table Professional"/>
    <w:basedOn w:val="TableNormal"/>
    <w:semiHidden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00" w:fill="FFFFFF"/>
      </w:tcPr>
    </w:tblStylePr>
  </w:style>
  <w:style w:type="table" w:styleId="TableColumns3">
    <w:name w:val="Table Columns 3"/>
    <w:basedOn w:val="TableNormal"/>
    <w:semiHidden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none" w:sz="0" w:space="0" w:color="auto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Elegant">
    <w:name w:val="Table Elegant"/>
    <w:basedOn w:val="TableNormal"/>
    <w:semiHidden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List6">
    <w:name w:val="Table List 6"/>
    <w:basedOn w:val="TableNormal"/>
    <w:semiHidden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0" w:space="0" w:color="auto"/>
        <w:insideV w:val="none" w:sz="0" w:space="0" w:color="auto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12" w:space="0" w:color="00000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000000"/>
          <w:tr2bl w:val="nil"/>
        </w:tcBorders>
      </w:tcPr>
    </w:tblStylePr>
  </w:style>
  <w:style w:type="table" w:styleId="TableClassic2">
    <w:name w:val="Table Classic 2"/>
    <w:basedOn w:val="TableNormal"/>
    <w:semiHidden/>
    <w:pPr>
      <w:widowControl w:val="0"/>
      <w:jc w:val="both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List3">
    <w:name w:val="Table List 3"/>
    <w:basedOn w:val="TableNormal"/>
    <w:semiHidden/>
    <w:pPr>
      <w:widowControl w:val="0"/>
      <w:jc w:val="both"/>
    </w:p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single" w:sz="6" w:space="0" w:color="000000"/>
        <w:insideV w:val="none" w:sz="0" w:space="0" w:color="auto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semiHidden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5">
    <w:name w:val="Table Grid 5"/>
    <w:basedOn w:val="TableNormal"/>
    <w:semiHidden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000000"/>
          <w:tr2bl w:val="nil"/>
        </w:tcBorders>
      </w:tcPr>
    </w:tblStylePr>
  </w:style>
  <w:style w:type="table" w:styleId="TableList7">
    <w:name w:val="Table List 7"/>
    <w:basedOn w:val="TableNormal"/>
    <w:semiHidden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  <w:insideV w:val="none" w:sz="0" w:space="0" w:color="auto"/>
      </w:tblBorders>
    </w:tbl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single" w:sz="12" w:space="0" w:color="008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5" w:color="FFFF00" w:fill="FFFFFF"/>
      </w:tcPr>
    </w:tblStylePr>
  </w:style>
  <w:style w:type="table" w:styleId="Table3Deffects3">
    <w:name w:val="Table 3D effects 3"/>
    <w:basedOn w:val="TableNormal"/>
    <w:semiHidden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tblPr/>
      <w:tcPr>
        <w:tcBorders>
          <w:top w:val="nil"/>
          <w:left w:val="none" w:sz="0" w:space="0" w:color="auto"/>
          <w:bottom w:val="nil"/>
          <w:right w:val="single" w:sz="6" w:space="0" w:color="808080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6" w:space="0" w:color="FFFFFF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left w:val="none" w:sz="0" w:space="0" w:color="auto"/>
          <w:bottom w:val="single" w:sz="6" w:space="0" w:color="FFFFFF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Web1">
    <w:name w:val="Table Web 1"/>
    <w:basedOn w:val="TableNormal"/>
    <w:semiHidden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lorful3">
    <w:name w:val="Table Colorful 3"/>
    <w:basedOn w:val="TableNormal"/>
    <w:semiHidden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  <w:insideV w:val="none" w:sz="0" w:space="0" w:color="auto"/>
      </w:tblBorders>
    </w:tblPr>
    <w:tcPr>
      <w:shd w:val="pct25" w:color="008080" w:fill="FFFFFF"/>
    </w:tcPr>
    <w:tblStylePr w:type="firstRow"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one" w:sz="0" w:space="0" w:color="auto"/>
          <w:left w:val="single" w:sz="36" w:space="0" w:color="000000"/>
          <w:bottom w:val="none" w:sz="0" w:space="0" w:color="auto"/>
          <w:right w:val="single" w:sz="6" w:space="0" w:color="000000"/>
          <w:insideH w:val="none" w:sz="0" w:space="0" w:color="auto"/>
          <w:insideV w:val="none" w:sz="0" w:space="0" w:color="auto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00" w:fill="FFFFFF"/>
      </w:tcPr>
    </w:tblStylePr>
  </w:style>
  <w:style w:type="table" w:styleId="TableGrid7">
    <w:name w:val="Table Grid 7"/>
    <w:basedOn w:val="TableNormal"/>
    <w:semiHidden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single" w:sz="12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000000"/>
          <w:tr2bl w:val="nil"/>
        </w:tcBorders>
      </w:tcPr>
    </w:tblStylePr>
  </w:style>
  <w:style w:type="table" w:styleId="TableClassic3">
    <w:name w:val="Table Classic 3"/>
    <w:basedOn w:val="TableNormal"/>
    <w:semiHidden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Grid2">
    <w:name w:val="Table Grid 2"/>
    <w:basedOn w:val="TableNormal"/>
    <w:semiHidden/>
    <w:pPr>
      <w:widowControl w:val="0"/>
      <w:jc w:val="both"/>
    </w:pPr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List8">
    <w:name w:val="Table List 8"/>
    <w:basedOn w:val="TableNormal"/>
    <w:semiHidden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0" w:space="0" w:color="auto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single" w:sz="6" w:space="0" w:color="auto"/>
          <w:tr2bl w:val="nil"/>
        </w:tcBorders>
      </w:tcPr>
    </w:tblStylePr>
  </w:style>
  <w:style w:type="table" w:styleId="TableSimple1">
    <w:name w:val="Table Simple 1"/>
    <w:basedOn w:val="TableNormal"/>
    <w:semiHidden/>
    <w:pPr>
      <w:widowControl w:val="0"/>
      <w:jc w:val="both"/>
    </w:pPr>
    <w:tblPr>
      <w:tblBorders>
        <w:top w:val="single" w:sz="12" w:space="0" w:color="008000"/>
        <w:left w:val="none" w:sz="0" w:space="0" w:color="auto"/>
        <w:bottom w:val="single" w:sz="12" w:space="0" w:color="008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firstRow">
      <w:tblPr/>
      <w:tcPr>
        <w:tcBorders>
          <w:top w:val="none" w:sz="0" w:space="0" w:color="auto"/>
          <w:left w:val="none" w:sz="0" w:space="0" w:color="auto"/>
          <w:bottom w:val="single" w:sz="6" w:space="0" w:color="008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lumns2">
    <w:name w:val="Table Columns 2"/>
    <w:basedOn w:val="TableNormal"/>
    <w:semiHidden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List2">
    <w:name w:val="Table List 2"/>
    <w:basedOn w:val="TableNormal"/>
    <w:semiHidden/>
    <w:pPr>
      <w:widowControl w:val="0"/>
      <w:jc w:val="both"/>
    </w:pPr>
    <w:tblPr>
      <w:tblStyleRowBandSize w:val="2"/>
      <w:tblBorders>
        <w:top w:val="none" w:sz="0" w:space="0" w:color="auto"/>
        <w:left w:val="none" w:sz="0" w:space="0" w:color="auto"/>
        <w:bottom w:val="single" w:sz="12" w:space="0" w:color="808080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rPr>
        <w:b/>
        <w:bCs/>
        <w:color w:val="FFFFFF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  <w:style w:type="table" w:styleId="TableColumns4">
    <w:name w:val="Table Columns 4"/>
    <w:basedOn w:val="TableNormal"/>
    <w:semiHidden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Grid4">
    <w:name w:val="Table Grid 4"/>
    <w:basedOn w:val="TableNormal"/>
    <w:semiHidden/>
    <w:pPr>
      <w:widowControl w:val="0"/>
      <w:jc w:val="both"/>
    </w:pPr>
    <w:tblPr>
      <w:tblBorders>
        <w:top w:val="none" w:sz="0" w:space="0" w:color="auto"/>
        <w:left w:val="single" w:sz="12" w:space="0" w:color="000000"/>
        <w:bottom w:val="none" w:sz="0" w:space="0" w:color="auto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one" w:sz="0" w:space="0" w:color="auto"/>
          <w:left w:val="none" w:sz="0" w:space="0" w:color="auto"/>
          <w:bottom w:val="single" w:sz="6" w:space="0" w:color="000000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hyperlink" Target="https://d.book118.com/956113041214010103" TargetMode="External" /><Relationship Id="rId14" Type="http://schemas.openxmlformats.org/officeDocument/2006/relationships/footer" Target="footer10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6524</Words>
  <Characters>37193</Characters>
  <Application>Microsoft Office Word</Application>
  <DocSecurity>0</DocSecurity>
  <Lines>309</Lines>
  <Paragraphs>87</Paragraphs>
  <ScaleCrop>false</ScaleCrop>
  <Company>IT</Company>
  <LinksUpToDate>false</LinksUpToDate>
  <CharactersWithSpaces>43630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WPS_1559717548</cp:lastModifiedBy>
  <cp:revision>3165</cp:revision>
  <cp:lastPrinted>2021-07-29T07:08:00Z</cp:lastPrinted>
  <dcterms:created xsi:type="dcterms:W3CDTF">2021-03-23T06:40:00Z</dcterms:created>
  <dcterms:modified xsi:type="dcterms:W3CDTF">2024-03-20T08:02:29Z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