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煤矿相关行业公司成立报告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52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_Toc7525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58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_Toc25358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0" w:history="1">
        <w:r>
          <w:rPr>
            <w:rFonts w:ascii="仿宋" w:eastAsia="仿宋" w:hAnsi="仿宋" w:cs="仿宋" w:hint="eastAsia"/>
            <w:lang w:eastAsia="zh-CN"/>
          </w:rPr>
          <w:t>(一)、煤矿项目选址原则</w:t>
        </w:r>
        <w:r>
          <w:tab/>
        </w:r>
        <w:r>
          <w:fldChar w:fldCharType="begin"/>
        </w:r>
        <w:r>
          <w:instrText xml:space="preserve"> PAGEREF _Toc22630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_Toc16017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_Toc11753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_Toc23814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0" w:history="1">
        <w:r>
          <w:rPr>
            <w:rFonts w:ascii="仿宋" w:eastAsia="仿宋" w:hAnsi="仿宋" w:cs="仿宋" w:hint="eastAsia"/>
            <w:lang w:eastAsia="zh-CN"/>
          </w:rPr>
          <w:t>(五)、煤矿项目选址综合评价</w:t>
        </w:r>
        <w:r>
          <w:tab/>
        </w:r>
        <w:r>
          <w:fldChar w:fldCharType="begin"/>
        </w:r>
        <w:r>
          <w:instrText xml:space="preserve"> PAGEREF _Toc28720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08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_Toc19808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_Toc18738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_Toc21829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66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_Toc17766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_Toc16170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_Toc7639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_Toc24215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9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_Toc1009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_Toc9025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_Toc1195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_Toc6669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_Toc1524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_Toc29517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_Toc14474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_Toc8107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55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_Toc27055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_Toc24990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_Toc15186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_Toc24417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3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_Toc16035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_Toc25024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_Toc3119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5" w:history="1">
        <w:r>
          <w:rPr>
            <w:rFonts w:ascii="仿宋" w:eastAsia="仿宋" w:hAnsi="仿宋" w:cs="仿宋" w:hint="eastAsia"/>
            <w:lang w:eastAsia="zh-CN"/>
          </w:rPr>
          <w:t>(七)、煤矿项目建设必要性分析</w:t>
        </w:r>
        <w:r>
          <w:tab/>
        </w:r>
        <w:r>
          <w:fldChar w:fldCharType="begin"/>
        </w:r>
        <w:r>
          <w:instrText xml:space="preserve"> PAGEREF _Toc3645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74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_Toc3574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6" w:history="1">
        <w:r>
          <w:rPr>
            <w:rFonts w:ascii="仿宋" w:eastAsia="仿宋" w:hAnsi="仿宋" w:cs="仿宋" w:hint="eastAsia"/>
            <w:lang w:eastAsia="zh-CN"/>
          </w:rPr>
          <w:t>(一)、煤矿项目进度安排</w:t>
        </w:r>
        <w:r>
          <w:tab/>
        </w:r>
        <w:r>
          <w:fldChar w:fldCharType="begin"/>
        </w:r>
        <w:r>
          <w:instrText xml:space="preserve"> PAGEREF _Toc8016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2" w:history="1">
        <w:r>
          <w:rPr>
            <w:rFonts w:ascii="仿宋" w:eastAsia="仿宋" w:hAnsi="仿宋" w:cs="仿宋" w:hint="eastAsia"/>
            <w:lang w:eastAsia="zh-CN"/>
          </w:rPr>
          <w:t>(二)、煤矿项目实施保障措施</w:t>
        </w:r>
        <w:r>
          <w:tab/>
        </w:r>
        <w:r>
          <w:fldChar w:fldCharType="begin"/>
        </w:r>
        <w:r>
          <w:instrText xml:space="preserve"> PAGEREF _Toc4892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62" w:history="1">
        <w:r>
          <w:rPr>
            <w:rFonts w:ascii="仿宋" w:eastAsia="仿宋" w:hAnsi="仿宋" w:cs="仿宋" w:hint="eastAsia"/>
            <w:lang w:eastAsia="zh-CN"/>
          </w:rPr>
          <w:t>七、煤矿项目风险分析</w:t>
        </w:r>
        <w:r>
          <w:tab/>
        </w:r>
        <w:r>
          <w:fldChar w:fldCharType="begin"/>
        </w:r>
        <w:r>
          <w:instrText xml:space="preserve"> PAGEREF _Toc29662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2" w:history="1">
        <w:r>
          <w:rPr>
            <w:rFonts w:ascii="仿宋" w:eastAsia="仿宋" w:hAnsi="仿宋" w:cs="仿宋" w:hint="eastAsia"/>
            <w:lang w:eastAsia="zh-CN"/>
          </w:rPr>
          <w:t>(一)、煤矿项目风险分析</w:t>
        </w:r>
        <w:r>
          <w:tab/>
        </w:r>
        <w:r>
          <w:fldChar w:fldCharType="begin"/>
        </w:r>
        <w:r>
          <w:instrText xml:space="preserve"> PAGEREF _Toc16922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7" w:history="1">
        <w:r>
          <w:rPr>
            <w:rFonts w:ascii="仿宋" w:eastAsia="仿宋" w:hAnsi="仿宋" w:cs="仿宋" w:hint="eastAsia"/>
            <w:lang w:eastAsia="zh-CN"/>
          </w:rPr>
          <w:t>(二)、煤矿项目风险对策</w:t>
        </w:r>
        <w:r>
          <w:tab/>
        </w:r>
        <w:r>
          <w:fldChar w:fldCharType="begin"/>
        </w:r>
        <w:r>
          <w:instrText xml:space="preserve"> PAGEREF _Toc22287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22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_Toc26022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_Toc11308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_Toc12714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3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_Toc17973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_Toc18675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614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_Toc12614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4" w:history="1">
        <w:r>
          <w:rPr>
            <w:rFonts w:ascii="仿宋" w:eastAsia="仿宋" w:hAnsi="仿宋" w:cs="仿宋" w:hint="eastAsia"/>
            <w:lang w:eastAsia="zh-CN"/>
          </w:rPr>
          <w:t>(一)、煤矿项目背景分析</w:t>
        </w:r>
        <w:r>
          <w:tab/>
        </w:r>
        <w:r>
          <w:fldChar w:fldCharType="begin"/>
        </w:r>
        <w:r>
          <w:instrText xml:space="preserve"> PAGEREF _Toc20884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4" w:history="1">
        <w:r>
          <w:rPr>
            <w:rFonts w:ascii="仿宋" w:eastAsia="仿宋" w:hAnsi="仿宋" w:cs="仿宋" w:hint="eastAsia"/>
            <w:lang w:eastAsia="zh-CN"/>
          </w:rPr>
          <w:t>(二)、煤矿项目建设必要性分析</w:t>
        </w:r>
        <w:r>
          <w:tab/>
        </w:r>
        <w:r>
          <w:fldChar w:fldCharType="begin"/>
        </w:r>
        <w:r>
          <w:instrText xml:space="preserve"> PAGEREF _Toc9224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0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_Toc5380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_Toc16828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_Toc21117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5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_Toc22956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_Toc23863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_Toc30463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_Toc11617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9" w:history="1">
        <w:r>
          <w:rPr>
            <w:rFonts w:ascii="仿宋" w:eastAsia="仿宋" w:hAnsi="仿宋" w:cs="仿宋" w:hint="eastAsia"/>
            <w:lang w:eastAsia="zh-CN"/>
          </w:rPr>
          <w:t>(五)、煤矿项目总投资</w:t>
        </w:r>
        <w:r>
          <w:tab/>
        </w:r>
        <w:r>
          <w:fldChar w:fldCharType="begin"/>
        </w:r>
        <w:r>
          <w:instrText xml:space="preserve"> PAGEREF _Toc27709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_Toc528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13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_Toc8213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6" w:history="1">
        <w:r>
          <w:rPr>
            <w:rFonts w:ascii="仿宋" w:eastAsia="仿宋" w:hAnsi="仿宋" w:cs="仿宋" w:hint="eastAsia"/>
            <w:lang w:eastAsia="zh-CN"/>
          </w:rPr>
          <w:t>(一)、社会责任煤矿项目</w:t>
        </w:r>
        <w:r>
          <w:tab/>
        </w:r>
        <w:r>
          <w:fldChar w:fldCharType="begin"/>
        </w:r>
        <w:r>
          <w:instrText xml:space="preserve"> PAGEREF _Toc25466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9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_Toc19739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_Toc4152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57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_Toc13457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_Toc30052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_Toc1157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4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_Toc4294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35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_Toc29635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_Toc21886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_Toc27242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_Toc11966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_Toc1068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31" w:history="1">
        <w:r>
          <w:rPr>
            <w:rFonts w:ascii="仿宋" w:eastAsia="仿宋" w:hAnsi="仿宋" w:cs="仿宋" w:hint="eastAsia"/>
            <w:lang w:eastAsia="zh-CN"/>
          </w:rPr>
          <w:t>十四、未来计划和展望</w:t>
        </w:r>
        <w:r>
          <w:tab/>
        </w:r>
        <w:r>
          <w:fldChar w:fldCharType="begin"/>
        </w:r>
        <w:r>
          <w:instrText xml:space="preserve"> PAGEREF _Toc22931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_Toc24955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_Toc21975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52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358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630"/>
      <w:r>
        <w:rPr>
          <w:rFonts w:ascii="仿宋" w:eastAsia="仿宋" w:hAnsi="仿宋" w:cs="仿宋" w:hint="eastAsia"/>
          <w:lang w:eastAsia="zh-CN"/>
        </w:rPr>
        <w:t>(一)、煤矿项目选址原则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煤矿项目选址是决定工业煤矿项目成败的关键因素之一。根据现行政策，煤矿项目选址必须符合一系列要求，以确保城乡建设、环境保护和资源利用的协调。以下是一些关于煤矿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煤矿项目选址必须与当地城乡建设总体规划相一致。它应该符合工业煤矿项目占地使用规划的要求，并与大气污染防治、水资源和自然生态保护政策相协调。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煤矿项目选址应避开自然保护区、风景名胜区、生活饮用水源地和其他特别需要保护的敏感性目标。这有助于维护自然环境的完整性和生态系统的稳定。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煤矿项目选址应充分考虑土地资源的节约。最好选择空闲地、非耕地或荒地，以减少对良田或耕地的占用。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煤矿项目选址应提供足够的场地，以满足工艺和辅助生产设施的建设需要。这有助于确保生产流程的高效运行。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煤矿项目选址应具备良好的生产基础条件，包括充足的水源、电力、运输和可靠的能源供应。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煤矿项目选址应地势平缓，便于排除雨水和处理生产、生活废水。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煤矿项目选址应与居民区及环境污染敏感点保持足够的防护距离，以确保生产活动不会对人民健康和环境造成危害。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煤矿项目选址是煤矿项目成功的第一步，符合政策要求的选址将有助于确保煤矿项目的可持续发展，并避免对环境和社会造成不利影响。因此，在煤矿项目规划和选址阶段，应认真考虑这些原则和要求。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017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煤矿项目，坐落于中国东南沿海地带，占地面积约为XX平方公里。其地理位置堪称优越，距离市中心仅有短短的XX公里，具备出色的交通便捷性。在过去几十年的快速发展中，煤矿项目已经崭露头角，逐渐崭露头角，成为国内重要的经济和人口中心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https://d.book118.com/956115231200010042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煤矿相关行业公司成立报告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煤矿相关行业公司成立报告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煤矿相关行业公司成立报告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煤矿相关行业公司成立报告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煤矿相关行业公司成立报告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6115231200010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2024-01-18T10:11:00Z</dcterms:created>
  <dcterms:modified xsi:type="dcterms:W3CDTF">2024-01-18T10:11:42Z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A49AA36A60074D378F510D94BE32536B_11</vt:lpwstr>
  </property>
  <property fmtid="{D5CDD505-2E9C-101B-9397-08002B2CF9AE}" pid="3" name="KSOProductBuildVer">
    <vt:lpwstr>2052-12.1.0.16120</vt:lpwstr>
  </property>
</Properties>
</file>