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E5938" w:rsidP="009E5938" w14:paraId="0B82F49A" w14:textId="77777777">
      <w:pPr>
        <w:spacing w:before="48" w:beforeLines="20" w:after="360" w:afterLines="150" w:line="360" w:lineRule="auto"/>
        <w:jc w:val="center"/>
        <w:rPr>
          <w:rFonts w:ascii="华文中宋" w:eastAsia="华文中宋" w:hAnsi="华文中宋"/>
          <w:b/>
          <w:sz w:val="30"/>
        </w:rPr>
      </w:pPr>
      <w:r w:rsidRPr="009E5938">
        <w:rPr>
          <w:rFonts w:ascii="华文中宋" w:eastAsia="华文中宋" w:hAnsi="华文中宋"/>
          <w:b/>
          <w:sz w:val="30"/>
        </w:rPr>
        <w:t>2023</w:t>
      </w:r>
      <w:r w:rsidRPr="009E5938">
        <w:rPr>
          <w:rFonts w:ascii="华文中宋" w:eastAsia="华文中宋" w:hAnsi="华文中宋"/>
          <w:b/>
          <w:sz w:val="30"/>
        </w:rPr>
        <w:t>四川南充市阆中市国资国企服务中心招聘国有企业专业技术人员聘用结果笔试模拟试题及答案解析</w:t>
      </w:r>
    </w:p>
    <w:p w:rsidR="00A77B3E" w14:paraId="39EE655A"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9B30A63" w14:textId="77777777">
      <w:pPr>
        <w:spacing w:after="260" w:line="360" w:lineRule="auto"/>
      </w:pPr>
      <w:r>
        <w:rPr>
          <w:rFonts w:ascii="微软雅黑" w:eastAsia="微软雅黑" w:cs="微软雅黑"/>
        </w:rPr>
        <w:t>一、选择题</w:t>
      </w:r>
    </w:p>
    <w:p w:rsidR="00AD1216" w14:paraId="34A21F87"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《党政机关公文处理工作条例》规定，公文办理包括</w:t>
      </w:r>
      <w:r w:rsidRPr="00AD1216">
        <w:rPr>
          <w:rFonts w:ascii="微软雅黑" w:eastAsia="微软雅黑" w:cs="微软雅黑"/>
          <w:szCs w:val="14"/>
        </w:rPr>
        <w:t>()</w:t>
      </w:r>
      <w:r w:rsidRPr="00AD1216">
        <w:rPr>
          <w:rFonts w:ascii="微软雅黑" w:eastAsia="微软雅黑" w:cs="微软雅黑"/>
          <w:szCs w:val="14"/>
        </w:rPr>
        <w:t>。</w:t>
      </w:r>
    </w:p>
    <w:p w:rsidR="00AD1216" w14:paraId="4AA05449"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、发文办理、收文办理、整理归档</w:t>
      </w:r>
    </w:p>
    <w:p w:rsidR="00AD1216" w14:paraId="03CE50F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、起草、审核、签发</w:t>
      </w:r>
    </w:p>
    <w:p w:rsidR="00AD1216" w14:paraId="1D058C92"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、交拟、拟议、签发</w:t>
      </w:r>
    </w:p>
    <w:p w:rsidR="00AD1216" w14:paraId="78EE7947"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、登记、承办、分发</w:t>
      </w:r>
    </w:p>
    <w:p w:rsidR="00AD1216" w14:paraId="6FAF9A7E"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A</w:t>
      </w:r>
    </w:p>
    <w:p w:rsidR="00AD1216" w14:paraId="3EC6BDCC"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公文办理包括收文办理、发文办理和整理归档。故选</w:t>
      </w:r>
      <w:r w:rsidRPr="00AD1216">
        <w:rPr>
          <w:rFonts w:ascii="微软雅黑" w:eastAsia="微软雅黑" w:cs="微软雅黑"/>
          <w:szCs w:val="14"/>
        </w:rPr>
        <w:t>A</w:t>
      </w:r>
      <w:r w:rsidRPr="00AD1216">
        <w:rPr>
          <w:rFonts w:ascii="微软雅黑" w:eastAsia="微软雅黑" w:cs="微软雅黑"/>
          <w:szCs w:val="14"/>
        </w:rPr>
        <w:t>。</w:t>
      </w:r>
    </w:p>
    <w:p w:rsidR="00AD1216" w14:paraId="696C15D8" w14:textId="77777777">
      <w:pPr>
        <w:pStyle w:val="NormalWeb"/>
        <w:widowControl/>
        <w:spacing w:beforeAutospacing="0" w:after="260" w:afterAutospacing="0" w:line="360" w:lineRule="auto"/>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一切影响沟通的消极、负面、阻碍因素，在管理学中称为</w:t>
      </w:r>
      <w:r w:rsidRPr="00AD1216">
        <w:rPr>
          <w:rFonts w:ascii="微软雅黑" w:eastAsia="微软雅黑" w:cs="微软雅黑"/>
          <w:szCs w:val="14"/>
        </w:rPr>
        <w:t>()</w:t>
      </w:r>
      <w:r w:rsidRPr="00AD1216">
        <w:rPr>
          <w:rFonts w:ascii="微软雅黑" w:eastAsia="微软雅黑" w:cs="微软雅黑"/>
          <w:szCs w:val="14"/>
        </w:rPr>
        <w:t>。</w:t>
      </w:r>
    </w:p>
    <w:p w:rsidR="00AD1216" w14:paraId="728EFE65"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、沟通失真</w:t>
      </w:r>
    </w:p>
    <w:p w:rsidR="00AD1216" w14:paraId="72C25D5A"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、沟通损耗</w:t>
      </w:r>
    </w:p>
    <w:p w:rsidR="00AD1216" w14:paraId="25843EDB"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、沟通噪音</w:t>
      </w:r>
    </w:p>
    <w:p w:rsidR="00AD1216" w14:paraId="5D6C2675"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szCs w:val="14"/>
        </w:rPr>
        <w:t>D</w:t>
      </w:r>
      <w:r w:rsidRPr="00AD1216">
        <w:rPr>
          <w:rFonts w:ascii="微软雅黑" w:eastAsia="微软雅黑" w:cs="微软雅黑"/>
          <w:szCs w:val="14"/>
        </w:rPr>
        <w:t>、背景噪音</w:t>
      </w:r>
    </w:p>
    <w:p w:rsidR="00AD1216" w14:paraId="190C3A9C"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05313FED"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噪音是影响沟通的一切消极、负面因素。通常可以把沟通噪音定义为妨碍资讯沟通的任何因素。它存在于沟通过程的各个环节，并有可能造成资讯损耗或失真。典型的噪音主要包括发送噪音、传输噪音、接受噪音、系统噪音、环境噪音和背景噪音及数量噪音七大噪音。故选</w:t>
      </w:r>
      <w:r w:rsidRPr="00AD1216">
        <w:rPr>
          <w:rFonts w:ascii="微软雅黑" w:eastAsia="微软雅黑" w:cs="微软雅黑"/>
          <w:szCs w:val="14"/>
        </w:rPr>
        <w:t>C</w:t>
      </w:r>
      <w:r w:rsidRPr="00AD1216">
        <w:rPr>
          <w:rFonts w:ascii="微软雅黑" w:eastAsia="微软雅黑" w:cs="微软雅黑"/>
          <w:szCs w:val="14"/>
        </w:rPr>
        <w:t>。</w:t>
      </w:r>
    </w:p>
    <w:p w:rsidR="00AD1216" w14:paraId="4D6E24FD"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我国现行立法采取的是</w:t>
      </w:r>
      <w:r w:rsidRPr="00AD1216">
        <w:rPr>
          <w:rFonts w:ascii="微软雅黑" w:eastAsia="微软雅黑" w:cs="微软雅黑"/>
          <w:szCs w:val="14"/>
        </w:rPr>
        <w:t>()</w:t>
      </w:r>
      <w:r w:rsidRPr="00AD1216">
        <w:rPr>
          <w:rFonts w:ascii="微软雅黑" w:eastAsia="微软雅黑" w:cs="微软雅黑"/>
          <w:szCs w:val="14"/>
        </w:rPr>
        <w:t>立法观点。</w:t>
      </w:r>
    </w:p>
    <w:p w:rsidR="00AD1216" w14:paraId="158DD91A"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、民商分立</w:t>
      </w:r>
    </w:p>
    <w:p w:rsidR="00AD1216" w14:paraId="7DCE7017"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、民商合一</w:t>
      </w:r>
    </w:p>
    <w:p w:rsidR="00AD1216" w14:paraId="73AF24A7"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、民法优先</w:t>
      </w:r>
    </w:p>
    <w:p w:rsidR="00AD1216" w14:paraId="211E1614"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、商事优先</w:t>
      </w:r>
    </w:p>
    <w:p w:rsidR="00AD1216" w14:paraId="1A41B70A"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6617AFD4"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项错误，民商分立是指在民法典之外，另行制定商法典，民法典与商法典并存。采用民商分立的国家主要有法国、德国、日本以及以它们为模板的许多大陆法系国家。我国并未采取民商分立的立法观点。</w:t>
      </w:r>
      <w:r w:rsidRPr="00AD1216">
        <w:rPr>
          <w:rFonts w:ascii="微软雅黑" w:eastAsia="微软雅黑" w:cs="微软雅黑"/>
          <w:szCs w:val="14"/>
        </w:rPr>
        <w:t>B</w:t>
      </w:r>
      <w:r w:rsidRPr="00AD1216">
        <w:rPr>
          <w:rFonts w:ascii="微软雅黑" w:eastAsia="微软雅黑" w:cs="微软雅黑"/>
          <w:szCs w:val="14"/>
        </w:rPr>
        <w:t>项正确，民商合一是指民事和商事统一立法，将商事方面的内容编入民法典中，或以单行法规的形式出现。我国采取</w:t>
      </w:r>
      <w:r w:rsidRPr="00AD1216">
        <w:rPr>
          <w:rFonts w:ascii="微软雅黑" w:eastAsia="微软雅黑" w:cs="微软雅黑"/>
          <w:szCs w:val="14"/>
        </w:rPr>
        <w:t>“</w:t>
      </w:r>
      <w:r w:rsidRPr="00AD1216">
        <w:rPr>
          <w:rFonts w:ascii="微软雅黑" w:eastAsia="微软雅黑" w:cs="微软雅黑"/>
          <w:szCs w:val="14"/>
        </w:rPr>
        <w:t>民商合一</w:t>
      </w:r>
      <w:r w:rsidRPr="00AD1216">
        <w:rPr>
          <w:rFonts w:ascii="微软雅黑" w:eastAsia="微软雅黑" w:cs="微软雅黑"/>
          <w:szCs w:val="14"/>
        </w:rPr>
        <w:t>”</w:t>
      </w:r>
      <w:r w:rsidRPr="00AD1216">
        <w:rPr>
          <w:rFonts w:ascii="微软雅黑" w:eastAsia="微软雅黑" w:cs="微软雅黑"/>
          <w:szCs w:val="14"/>
        </w:rPr>
        <w:t>的立法形式，其理由在于：</w:t>
      </w:r>
      <w:r w:rsidRPr="00AD1216">
        <w:rPr>
          <w:rFonts w:ascii="微软雅黑" w:eastAsia="微软雅黑" w:cs="微软雅黑"/>
          <w:szCs w:val="14"/>
        </w:rPr>
        <w:t>1.</w:t>
      </w:r>
      <w:r w:rsidRPr="00AD1216">
        <w:rPr>
          <w:rFonts w:ascii="微软雅黑" w:eastAsia="微软雅黑" w:cs="微软雅黑"/>
          <w:szCs w:val="14"/>
        </w:rPr>
        <w:t>由于民法的商事化和商法的民事化，已经使得民商法的关系愈加密切</w:t>
      </w:r>
      <w:r w:rsidRPr="00AD1216">
        <w:rPr>
          <w:rFonts w:ascii="微软雅黑" w:eastAsia="微软雅黑" w:cs="微软雅黑"/>
          <w:szCs w:val="14"/>
        </w:rPr>
        <w:t>;2.</w:t>
      </w:r>
      <w:r w:rsidRPr="00AD1216">
        <w:rPr>
          <w:rFonts w:ascii="微软雅黑" w:eastAsia="微软雅黑" w:cs="微软雅黑"/>
          <w:szCs w:val="14"/>
        </w:rPr>
        <w:t>世界和中国的立法实践证明民商合一是可行的</w:t>
      </w:r>
      <w:r w:rsidRPr="00AD1216">
        <w:rPr>
          <w:rFonts w:ascii="微软雅黑" w:eastAsia="微软雅黑" w:cs="微软雅黑"/>
          <w:szCs w:val="14"/>
        </w:rPr>
        <w:t>;3.</w:t>
      </w:r>
      <w:r w:rsidRPr="00AD1216">
        <w:rPr>
          <w:rFonts w:ascii="微软雅黑" w:eastAsia="微软雅黑" w:cs="微软雅黑"/>
          <w:szCs w:val="14"/>
        </w:rPr>
        <w:t>建立社会主义市场经济法律体系的需要。</w:t>
      </w:r>
      <w:r w:rsidRPr="00AD1216">
        <w:rPr>
          <w:rFonts w:ascii="微软雅黑" w:eastAsia="微软雅黑" w:cs="微软雅黑"/>
          <w:szCs w:val="14"/>
        </w:rPr>
        <w:t>C</w:t>
      </w:r>
      <w:r w:rsidRPr="00AD1216">
        <w:rPr>
          <w:rFonts w:ascii="微软雅黑" w:eastAsia="微软雅黑" w:cs="微软雅黑"/>
          <w:szCs w:val="14"/>
        </w:rPr>
        <w:t>项、</w:t>
      </w:r>
      <w:r w:rsidRPr="00AD1216">
        <w:rPr>
          <w:rFonts w:ascii="微软雅黑" w:eastAsia="微软雅黑" w:cs="微软雅黑"/>
          <w:szCs w:val="14"/>
        </w:rPr>
        <w:t>D</w:t>
      </w:r>
      <w:r w:rsidRPr="00AD1216">
        <w:rPr>
          <w:rFonts w:ascii="微软雅黑" w:eastAsia="微软雅黑" w:cs="微软雅黑"/>
          <w:szCs w:val="14"/>
        </w:rPr>
        <w:t>项错误，一般法系中都不存在民法优先和商事优先观点。目前的主流观点为民商分立和民商合一两种。故选</w:t>
      </w:r>
      <w:r w:rsidRPr="00AD1216">
        <w:rPr>
          <w:rFonts w:ascii="微软雅黑" w:eastAsia="微软雅黑" w:cs="微软雅黑"/>
          <w:szCs w:val="14"/>
        </w:rPr>
        <w:t>B</w:t>
      </w:r>
      <w:r w:rsidRPr="00AD1216">
        <w:rPr>
          <w:rFonts w:ascii="微软雅黑" w:eastAsia="微软雅黑" w:cs="微软雅黑"/>
          <w:szCs w:val="14"/>
        </w:rPr>
        <w:t>。</w:t>
      </w:r>
    </w:p>
    <w:p w:rsidR="00AD1216" w14:paraId="35C156DF"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王芳将自己所有的一套房子卖给陆七，但王芳由于孩子上学还想再住一段时间，遂又与陆七达成协议，暂时租住两个月，陆七表示应允，陆七取得该房子所有权的交付方法为</w:t>
      </w:r>
      <w:r w:rsidRPr="00AD1216">
        <w:rPr>
          <w:rFonts w:ascii="微软雅黑" w:eastAsia="微软雅黑" w:cs="微软雅黑"/>
          <w:szCs w:val="14"/>
        </w:rPr>
        <w:t>()</w:t>
      </w:r>
      <w:r w:rsidRPr="00AD1216">
        <w:rPr>
          <w:rFonts w:ascii="微软雅黑" w:eastAsia="微软雅黑" w:cs="微软雅黑"/>
          <w:szCs w:val="14"/>
        </w:rPr>
        <w:t>。</w:t>
      </w:r>
    </w:p>
    <w:p w:rsidR="00AD1216" w14:paraId="552E7058"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、简易交付</w:t>
      </w:r>
    </w:p>
    <w:p w:rsidR="00AD1216" w14:paraId="7198B6CF"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、指示交付</w:t>
      </w:r>
    </w:p>
    <w:p w:rsidR="00AD1216" w14:paraId="0AAA110C"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、占有改定</w:t>
      </w:r>
    </w:p>
    <w:p w:rsidR="00AD1216" w14:paraId="395CB7ED"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、拟制交付</w:t>
      </w:r>
    </w:p>
    <w:p w:rsidR="00AD1216" w14:paraId="3508CC46"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2D9176B8"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中华人民共和国物权法》规定：不动产物权的设立、变更、转让和消灭，应当依照法律规定登记。动产物权的设立和转让，应当依照法律规定交付。交付包括现实交付与拟制交付。现实交付是指动产物权的让与人，将其对于动产的现实的直接支配力，移转于受让人。拟制交付包括简易交付、占有改定及指示交付。简易交付是指在买卖合同订立前买受人已经实际占有标的物时，则合同一经成立即视为交付完成，此前买受人虽然占有标的物，但不享有所有权，合同成立时转移的只是所有权</w:t>
      </w:r>
      <w:r w:rsidRPr="00AD1216">
        <w:rPr>
          <w:rFonts w:ascii="微软雅黑" w:eastAsia="微软雅黑" w:cs="微软雅黑"/>
          <w:szCs w:val="14"/>
        </w:rPr>
        <w:t>;</w:t>
      </w:r>
      <w:r w:rsidRPr="00AD1216">
        <w:rPr>
          <w:rFonts w:ascii="微软雅黑" w:eastAsia="微软雅黑" w:cs="微软雅黑"/>
          <w:szCs w:val="14"/>
        </w:rPr>
        <w:t>指示交付是指在标的物由第三人占有的情况下，出卖人将要求第三人返还标的物的请求权让与买受人，以此代替标的物的实际交付，这种返还请求权正是标的物所有权的体现</w:t>
      </w:r>
      <w:r w:rsidRPr="00AD1216">
        <w:rPr>
          <w:rFonts w:ascii="微软雅黑" w:eastAsia="微软雅黑" w:cs="微软雅黑"/>
          <w:szCs w:val="14"/>
        </w:rPr>
        <w:t>;</w:t>
      </w:r>
      <w:r w:rsidRPr="00AD1216">
        <w:rPr>
          <w:rFonts w:ascii="微软雅黑" w:eastAsia="微软雅黑" w:cs="微软雅黑"/>
          <w:szCs w:val="14"/>
        </w:rPr>
        <w:t>占有改定是指买卖合同约定，买受人取得标的物的所有权，但标的物在约定的期间仍由出卖人占有，此种交付中虽不转移占有，仅转移所有权，但仍能完成交付。本案中，王芳将房子卖给陆七，陆七取得房子所有权，但约定由王芳继续租用两个月。符合占有改定的构成要件。故选</w:t>
      </w:r>
      <w:r w:rsidRPr="00AD1216">
        <w:rPr>
          <w:rFonts w:ascii="微软雅黑" w:eastAsia="微软雅黑" w:cs="微软雅黑"/>
          <w:szCs w:val="14"/>
        </w:rPr>
        <w:t>C</w:t>
      </w:r>
      <w:r w:rsidRPr="00AD1216">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https://d.book118.com/956121101111010044</w:t>
        </w:r>
      </w:hyperlink>
    </w:p>
    <w:p w:rsidR="00AD1216">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rsidP="00966D7E" w14:paraId="27A243D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5938" w14:paraId="7A292B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rsidP="00966D7E" w14:paraId="17110E6F" w14:textId="770C14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E5938" w14:paraId="69BD5B5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paraId="53A1A36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rsidP="00966D7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593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rsidP="00966D7E" w14:textId="770C14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E593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rsidP="00966D7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593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rsidP="00966D7E" w14:textId="770C14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E593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paraId="343FC2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paraId="0DF3683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paraId="5D80964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93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966D7E"/>
    <w:rsid w:val="009E5938"/>
    <w:rsid w:val="00A77B3E"/>
    <w:rsid w:val="00AD1216"/>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609B1C5"/>
  <w15:docId w15:val="{024CF05B-A864-4ADC-8E7B-BD4F86C2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9E593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E5938"/>
    <w:rPr>
      <w:sz w:val="18"/>
      <w:szCs w:val="18"/>
    </w:rPr>
  </w:style>
  <w:style w:type="paragraph" w:styleId="Footer">
    <w:name w:val="footer"/>
    <w:basedOn w:val="Normal"/>
    <w:link w:val="a0"/>
    <w:rsid w:val="009E5938"/>
    <w:pPr>
      <w:tabs>
        <w:tab w:val="center" w:pos="4153"/>
        <w:tab w:val="right" w:pos="8306"/>
      </w:tabs>
      <w:snapToGrid w:val="0"/>
    </w:pPr>
    <w:rPr>
      <w:sz w:val="18"/>
      <w:szCs w:val="18"/>
    </w:rPr>
  </w:style>
  <w:style w:type="character" w:customStyle="1" w:styleId="a0">
    <w:name w:val="页脚 字符"/>
    <w:basedOn w:val="DefaultParagraphFont"/>
    <w:link w:val="Footer"/>
    <w:rsid w:val="009E5938"/>
    <w:rPr>
      <w:sz w:val="18"/>
      <w:szCs w:val="18"/>
    </w:rPr>
  </w:style>
  <w:style w:type="character" w:styleId="PageNumber">
    <w:name w:val="page number"/>
    <w:basedOn w:val="DefaultParagraphFont"/>
    <w:rsid w:val="009E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56121101111010044"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2024-02-06T13:33:00Z</dcterms:created>
  <dcterms:modified xsi:type="dcterms:W3CDTF">2024-02-06T13:33:00Z</dcterms:modified>
</cp:coreProperties>
</file>