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36271" w14:paraId="13CCF47A" w14:textId="77777777">
      <w:pPr>
        <w:adjustRightInd w:val="0"/>
        <w:spacing w:line="480" w:lineRule="auto"/>
        <w:rPr>
          <w:rFonts w:eastAsia="仿宋_GB2312"/>
        </w:rPr>
      </w:pPr>
      <w:bookmarkStart w:id="0" w:name="_Hlk103779818"/>
      <w:bookmarkEnd w:id="0"/>
    </w:p>
    <w:p w:rsidR="00F36271" w14:paraId="38CB97B4" w14:textId="03A9CD41">
      <w:pPr>
        <w:spacing w:line="480" w:lineRule="auto"/>
        <w:ind w:firstLine="883"/>
        <w:jc w:val="left"/>
        <w:rPr>
          <w:rFonts w:eastAsia="楷体_GB2312"/>
          <w:b/>
          <w:sz w:val="44"/>
        </w:rPr>
      </w:pPr>
    </w:p>
    <w:p w:rsidR="00F36271" w14:paraId="7587B4BF" w14:textId="77777777">
      <w:pPr>
        <w:spacing w:line="480" w:lineRule="auto"/>
        <w:ind w:firstLine="883"/>
        <w:rPr>
          <w:rFonts w:eastAsia="楷体_GB2312"/>
          <w:b/>
          <w:sz w:val="44"/>
        </w:rPr>
      </w:pPr>
    </w:p>
    <w:p w:rsidR="00F36271" w14:paraId="722DF3DA" w14:textId="77777777">
      <w:pPr>
        <w:spacing w:before="120" w:after="120" w:line="480" w:lineRule="auto"/>
        <w:ind w:firstLine="194" w:firstLineChars="27"/>
        <w:rPr>
          <w:rFonts w:eastAsia="黑体"/>
          <w:bCs/>
          <w:sz w:val="72"/>
        </w:rPr>
      </w:pPr>
      <w:r>
        <w:rPr>
          <w:rFonts w:eastAsia="黑体"/>
          <w:bCs/>
          <w:sz w:val="72"/>
        </w:rPr>
        <w:t>本</w:t>
      </w:r>
      <w:r>
        <w:rPr>
          <w:rFonts w:eastAsia="黑体"/>
          <w:bCs/>
          <w:sz w:val="72"/>
        </w:rPr>
        <w:t xml:space="preserve"> </w:t>
      </w:r>
      <w:r>
        <w:rPr>
          <w:rFonts w:eastAsia="黑体"/>
          <w:bCs/>
          <w:sz w:val="72"/>
        </w:rPr>
        <w:t>科</w:t>
      </w:r>
      <w:r>
        <w:rPr>
          <w:rFonts w:eastAsia="黑体"/>
          <w:bCs/>
          <w:sz w:val="72"/>
        </w:rPr>
        <w:t xml:space="preserve"> </w:t>
      </w:r>
      <w:r>
        <w:rPr>
          <w:rFonts w:eastAsia="黑体"/>
          <w:bCs/>
          <w:sz w:val="72"/>
        </w:rPr>
        <w:t>毕</w:t>
      </w:r>
      <w:r>
        <w:rPr>
          <w:rFonts w:eastAsia="黑体"/>
          <w:bCs/>
          <w:sz w:val="72"/>
        </w:rPr>
        <w:t xml:space="preserve"> </w:t>
      </w:r>
      <w:r>
        <w:rPr>
          <w:rFonts w:eastAsia="黑体"/>
          <w:bCs/>
          <w:sz w:val="72"/>
        </w:rPr>
        <w:t>业</w:t>
      </w:r>
      <w:r>
        <w:rPr>
          <w:rFonts w:eastAsia="黑体"/>
          <w:bCs/>
          <w:sz w:val="72"/>
        </w:rPr>
        <w:t xml:space="preserve"> </w:t>
      </w:r>
      <w:r>
        <w:rPr>
          <w:rFonts w:eastAsia="黑体"/>
          <w:bCs/>
          <w:sz w:val="72"/>
        </w:rPr>
        <w:t>论</w:t>
      </w:r>
      <w:r>
        <w:rPr>
          <w:rFonts w:eastAsia="黑体"/>
          <w:bCs/>
          <w:sz w:val="72"/>
        </w:rPr>
        <w:t xml:space="preserve"> </w:t>
      </w:r>
      <w:r>
        <w:rPr>
          <w:rFonts w:eastAsia="黑体"/>
          <w:bCs/>
          <w:sz w:val="72"/>
        </w:rPr>
        <w:t>文（设</w:t>
      </w:r>
      <w:r>
        <w:rPr>
          <w:rFonts w:eastAsia="黑体"/>
          <w:bCs/>
          <w:sz w:val="72"/>
        </w:rPr>
        <w:t xml:space="preserve"> </w:t>
      </w:r>
      <w:r>
        <w:rPr>
          <w:rFonts w:eastAsia="黑体"/>
          <w:bCs/>
          <w:sz w:val="72"/>
        </w:rPr>
        <w:t>计）</w:t>
      </w:r>
    </w:p>
    <w:p w:rsidR="00F36271" w14:paraId="67F0E4C2" w14:textId="77777777">
      <w:pPr>
        <w:spacing w:line="480" w:lineRule="auto"/>
        <w:ind w:firstLine="883"/>
        <w:rPr>
          <w:rFonts w:eastAsia="楷体_GB2312"/>
          <w:b/>
          <w:sz w:val="44"/>
        </w:rPr>
      </w:pPr>
    </w:p>
    <w:p w:rsidR="00F36271" w14:paraId="1F84DC57" w14:textId="77777777">
      <w:pPr>
        <w:spacing w:line="480" w:lineRule="auto"/>
        <w:ind w:firstLine="883"/>
        <w:rPr>
          <w:rFonts w:eastAsia="楷体_GB2312"/>
          <w:b/>
          <w:sz w:val="44"/>
        </w:rPr>
      </w:pPr>
    </w:p>
    <w:p w:rsidR="00F36271" w14:paraId="4705C4BB" w14:textId="77777777">
      <w:pPr>
        <w:pStyle w:val="2"/>
        <w:ind w:firstLine="480"/>
      </w:pPr>
    </w:p>
    <w:p w:rsidR="00F36271" w14:paraId="43590C94" w14:textId="77777777">
      <w:pPr>
        <w:spacing w:line="480" w:lineRule="auto"/>
        <w:ind w:firstLine="883"/>
        <w:rPr>
          <w:rFonts w:eastAsia="楷体_GB2312"/>
          <w:b/>
          <w:sz w:val="44"/>
        </w:rPr>
      </w:pPr>
    </w:p>
    <w:p w:rsidR="00F36271" w14:paraId="4A447104" w14:textId="77777777">
      <w:pPr>
        <w:spacing w:line="480" w:lineRule="auto"/>
        <w:ind w:firstLine="600"/>
        <w:jc w:val="center"/>
        <w:rPr>
          <w:rFonts w:eastAsia="楷体_GB2312"/>
          <w:sz w:val="44"/>
          <w:szCs w:val="44"/>
          <w:u w:val="single"/>
        </w:rPr>
      </w:pPr>
      <w:r>
        <w:rPr>
          <w:rFonts w:eastAsia="楷体_GB2312"/>
          <w:bCs/>
          <w:sz w:val="30"/>
          <w:szCs w:val="30"/>
        </w:rPr>
        <w:t>论文题目：</w:t>
      </w:r>
      <w:r>
        <w:rPr>
          <w:rFonts w:eastAsia="楷体_GB2312" w:hint="eastAsia"/>
          <w:sz w:val="44"/>
          <w:szCs w:val="44"/>
          <w:u w:val="single"/>
        </w:rPr>
        <w:t>SQ</w:t>
      </w:r>
      <w:r>
        <w:rPr>
          <w:rFonts w:eastAsia="楷体_GB2312" w:hint="eastAsia"/>
          <w:sz w:val="44"/>
          <w:szCs w:val="44"/>
          <w:u w:val="single"/>
        </w:rPr>
        <w:t>中转油库工艺设计</w:t>
      </w:r>
    </w:p>
    <w:p w:rsidR="00F36271" w14:paraId="3EB08BD5" w14:textId="77777777">
      <w:pPr>
        <w:spacing w:line="480" w:lineRule="auto"/>
        <w:ind w:firstLine="600"/>
        <w:rPr>
          <w:rFonts w:eastAsia="楷体_GB2312"/>
          <w:bCs/>
          <w:sz w:val="30"/>
          <w:szCs w:val="30"/>
        </w:rPr>
      </w:pPr>
    </w:p>
    <w:p w:rsidR="00F36271" w14:paraId="15F13B01" w14:textId="77777777">
      <w:pPr>
        <w:spacing w:line="480" w:lineRule="auto"/>
        <w:ind w:firstLine="600"/>
        <w:rPr>
          <w:rFonts w:eastAsia="楷体_GB2312"/>
          <w:bCs/>
          <w:sz w:val="30"/>
          <w:szCs w:val="30"/>
        </w:rPr>
      </w:pPr>
    </w:p>
    <w:p w:rsidR="00F36271" w14:paraId="627159EC" w14:textId="77777777">
      <w:pPr>
        <w:spacing w:line="480" w:lineRule="auto"/>
        <w:ind w:firstLine="600"/>
        <w:rPr>
          <w:rFonts w:eastAsia="楷体_GB2312"/>
          <w:bCs/>
          <w:sz w:val="30"/>
          <w:szCs w:val="30"/>
        </w:rPr>
      </w:pPr>
    </w:p>
    <w:p w:rsidR="00F36271" w14:paraId="3193944B" w14:textId="77777777">
      <w:pPr>
        <w:pStyle w:val="2"/>
        <w:ind w:firstLine="480"/>
      </w:pPr>
    </w:p>
    <w:p w:rsidR="00F36271" w14:paraId="05ACC7C2" w14:textId="77777777">
      <w:pPr>
        <w:pStyle w:val="2"/>
        <w:ind w:firstLine="480"/>
      </w:pPr>
    </w:p>
    <w:p w:rsidR="00F36271" w:rsidRPr="00A1623E" w14:paraId="24BD39C9" w14:textId="77777777">
      <w:pPr>
        <w:spacing w:line="240" w:lineRule="auto"/>
        <w:ind w:firstLine="723"/>
        <w:jc w:val="center"/>
        <w:rPr>
          <w:b/>
          <w:sz w:val="36"/>
          <w:szCs w:val="36"/>
        </w:rPr>
      </w:pPr>
    </w:p>
    <w:p w:rsidR="00F36271" w14:paraId="0A5EAAA4" w14:textId="77777777">
      <w:pPr>
        <w:spacing w:line="360" w:lineRule="auto"/>
        <w:ind w:left="480"/>
        <w:sectPr w:rsidSect="00C354AE">
          <w:headerReference w:type="even" r:id="rId6"/>
          <w:headerReference w:type="default" r:id="rId7"/>
          <w:footerReference w:type="even" r:id="rId8"/>
          <w:footerReference w:type="default" r:id="rId9"/>
          <w:headerReference w:type="first" r:id="rId10"/>
          <w:footerReference w:type="first" r:id="rId11"/>
          <w:endnotePr>
            <w:numFmt w:val="decimal"/>
          </w:endnotePr>
          <w:type w:val="continuous"/>
          <w:pgSz w:w="11850" w:h="16783"/>
          <w:pgMar w:top="1984" w:right="1417" w:bottom="1417" w:left="1417" w:header="851" w:footer="992" w:gutter="0"/>
          <w:cols w:space="0"/>
          <w:docGrid w:type="lines" w:linePitch="312"/>
        </w:sectPr>
      </w:pPr>
    </w:p>
    <w:p w:rsidR="00F36271" w14:paraId="2DCAD9CC" w14:textId="77777777">
      <w:pPr>
        <w:pStyle w:val="Heading1"/>
        <w:jc w:val="center"/>
      </w:pPr>
      <w:bookmarkStart w:id="1" w:name="_Toc103956190"/>
      <w:r>
        <w:t>摘</w:t>
      </w:r>
      <w:r>
        <w:t xml:space="preserve">  </w:t>
      </w:r>
      <w:r>
        <w:t>要</w:t>
      </w:r>
      <w:bookmarkEnd w:id="1"/>
    </w:p>
    <w:p w:rsidR="00F36271" w14:paraId="5A123987" w14:textId="77777777">
      <w:pPr>
        <w:pStyle w:val="BodyTextIndent"/>
        <w:ind w:firstLine="480"/>
      </w:pPr>
      <w:r>
        <w:rPr>
          <w:rFonts w:hint="eastAsia"/>
        </w:rPr>
        <w:t>油库是协调原油生产，原油加工，成品油供应及运输的纽带，是国家石油储备和供应的基地，它对于保障国防和促进国民经济高速发展具有相当重要的意义。随着我国经济的迅速发展，油品市场竞争日益激烈。特别是加入世贸组织后，国内油品市场将进一步开放，油库作为油品储存及销售的重要环节，在日益激烈的竞争面前将发挥出越来越重要的作用。油库的建设也显得非常有重要。作为已学习了石油天然气储运工程的大学生，更有必要掌握油库设计的基本步骤和方法，以便于为我们今后走上工作岗位进行实际工厂设计奠定坚实的基础。</w:t>
      </w:r>
    </w:p>
    <w:p w:rsidR="00F36271" w14:paraId="0835E8C2" w14:textId="77777777">
      <w:pPr>
        <w:pStyle w:val="BodyTextIndent"/>
        <w:ind w:firstLine="480"/>
      </w:pPr>
      <w:r>
        <w:rPr>
          <w:rFonts w:hint="eastAsia"/>
        </w:rPr>
        <w:t>本设计介绍了成品油库的设计内容和方法步骤，以及如何应用规范和材料进行参数的计算、设备的选型等。其主要内容包括</w:t>
      </w:r>
      <w:r>
        <w:rPr>
          <w:rFonts w:hint="eastAsia"/>
        </w:rPr>
        <w:t>:</w:t>
      </w:r>
      <w:r>
        <w:rPr>
          <w:rFonts w:hint="eastAsia"/>
        </w:rPr>
        <w:t>油库的工艺流程、油库的总图设计、储存与装卸作业、管路、泵房及消防等。本设计从理论上和方法上分析了油库的流程、总平面布置和工艺设计等。</w:t>
      </w:r>
    </w:p>
    <w:p w:rsidR="00F36271" w14:paraId="172EFF7E" w14:textId="77777777">
      <w:pPr>
        <w:pStyle w:val="BodyTextIndent"/>
        <w:ind w:firstLine="0" w:firstLineChars="0"/>
        <w:rPr>
          <w:color w:val="000000"/>
        </w:rPr>
      </w:pPr>
    </w:p>
    <w:p w:rsidR="00F36271" w14:paraId="010C5447" w14:textId="77777777">
      <w:pPr>
        <w:ind w:firstLine="482"/>
        <w:jc w:val="left"/>
        <w:rPr>
          <w:rFonts w:eastAsia="黑体"/>
          <w:b/>
          <w:bCs/>
          <w:color w:val="000000"/>
        </w:rPr>
      </w:pPr>
      <w:r>
        <w:rPr>
          <w:rFonts w:eastAsia="黑体"/>
          <w:b/>
          <w:bCs/>
          <w:color w:val="000000"/>
        </w:rPr>
        <w:t>关键词：</w:t>
      </w:r>
      <w:r>
        <w:rPr>
          <w:rFonts w:eastAsia="黑体" w:hint="eastAsia"/>
          <w:b/>
          <w:bCs/>
          <w:color w:val="000000"/>
        </w:rPr>
        <w:t>油库；</w:t>
      </w:r>
      <w:r>
        <w:rPr>
          <w:rFonts w:eastAsia="黑体"/>
          <w:b/>
          <w:bCs/>
          <w:color w:val="000000"/>
        </w:rPr>
        <w:t>工艺流程；</w:t>
      </w:r>
      <w:r>
        <w:rPr>
          <w:rFonts w:eastAsia="黑体" w:hint="eastAsia"/>
          <w:b/>
          <w:bCs/>
          <w:color w:val="000000"/>
        </w:rPr>
        <w:t>油库泵房</w:t>
      </w:r>
      <w:r>
        <w:rPr>
          <w:rFonts w:eastAsia="黑体"/>
          <w:b/>
          <w:bCs/>
          <w:color w:val="000000"/>
        </w:rPr>
        <w:t>；</w:t>
      </w:r>
      <w:r>
        <w:rPr>
          <w:rFonts w:eastAsia="黑体"/>
          <w:b/>
          <w:bCs/>
          <w:color w:val="000000"/>
        </w:rPr>
        <w:t>CAD</w:t>
      </w:r>
      <w:r>
        <w:rPr>
          <w:rFonts w:eastAsia="黑体"/>
          <w:b/>
          <w:bCs/>
          <w:color w:val="000000"/>
        </w:rPr>
        <w:t>制图</w:t>
      </w:r>
    </w:p>
    <w:p w:rsidR="00F36271" w14:paraId="5109D08E" w14:textId="77777777">
      <w:pPr>
        <w:pStyle w:val="2"/>
        <w:ind w:firstLine="480"/>
      </w:pPr>
    </w:p>
    <w:p w:rsidR="00F36271" w14:paraId="0092AA3D" w14:textId="77777777">
      <w:pPr>
        <w:ind w:firstLine="482"/>
        <w:rPr>
          <w:rFonts w:eastAsia="黑体"/>
          <w:b/>
          <w:szCs w:val="22"/>
        </w:rPr>
      </w:pPr>
      <w:r>
        <w:rPr>
          <w:rFonts w:eastAsia="黑体"/>
          <w:b/>
          <w:szCs w:val="22"/>
        </w:rPr>
        <w:t>论文类型：工程设计</w:t>
      </w:r>
    </w:p>
    <w:p w:rsidR="00F36271" w14:paraId="15998C27" w14:textId="77777777">
      <w:pPr>
        <w:pStyle w:val="2"/>
        <w:ind w:firstLine="480"/>
      </w:pPr>
    </w:p>
    <w:p w:rsidR="00F36271" w14:paraId="3EA26B2B" w14:textId="77777777">
      <w:pPr>
        <w:ind w:firstLine="720"/>
        <w:rPr>
          <w:rFonts w:eastAsia="黑体"/>
          <w:sz w:val="36"/>
          <w:szCs w:val="36"/>
        </w:rPr>
      </w:pPr>
    </w:p>
    <w:p w:rsidR="00F36271" w14:paraId="77F61C09" w14:textId="77777777">
      <w:pPr>
        <w:pStyle w:val="2"/>
        <w:ind w:firstLine="480"/>
        <w:rPr>
          <w:rFonts w:ascii="Times New Roman" w:hAnsi="Times New Roman" w:cs="Times New Roman"/>
        </w:rPr>
      </w:pPr>
    </w:p>
    <w:p w:rsidR="00F36271" w14:paraId="379E6B79" w14:textId="77777777">
      <w:pPr>
        <w:pStyle w:val="2"/>
        <w:ind w:firstLine="480"/>
        <w:rPr>
          <w:rFonts w:ascii="Times New Roman" w:hAnsi="Times New Roman" w:cs="Times New Roman"/>
        </w:rPr>
      </w:pPr>
    </w:p>
    <w:p w:rsidR="00F36271" w14:paraId="538DD181" w14:textId="77777777">
      <w:pPr>
        <w:pStyle w:val="2"/>
        <w:ind w:firstLine="480"/>
        <w:rPr>
          <w:rFonts w:ascii="Times New Roman" w:hAnsi="Times New Roman" w:cs="Times New Roman"/>
        </w:rPr>
      </w:pPr>
    </w:p>
    <w:p w:rsidR="00F36271" w14:paraId="02AB25D2" w14:textId="77777777">
      <w:pPr>
        <w:pStyle w:val="2"/>
        <w:ind w:firstLine="480"/>
        <w:rPr>
          <w:rFonts w:ascii="Times New Roman" w:hAnsi="Times New Roman" w:cs="Times New Roman"/>
        </w:rPr>
      </w:pPr>
    </w:p>
    <w:p w:rsidR="00F36271" w14:paraId="7AD6A89A" w14:textId="77777777">
      <w:pPr>
        <w:pStyle w:val="2"/>
        <w:ind w:firstLine="480"/>
        <w:rPr>
          <w:rFonts w:ascii="Times New Roman" w:hAnsi="Times New Roman" w:cs="Times New Roman"/>
        </w:rPr>
      </w:pPr>
    </w:p>
    <w:p w:rsidR="00F36271" w14:paraId="180F0872" w14:textId="77777777">
      <w:pPr>
        <w:pStyle w:val="2"/>
        <w:ind w:firstLine="480"/>
        <w:rPr>
          <w:rFonts w:ascii="Times New Roman" w:hAnsi="Times New Roman" w:cs="Times New Roman"/>
        </w:rPr>
      </w:pPr>
    </w:p>
    <w:p w:rsidR="00F36271" w14:paraId="13C3C892" w14:textId="77777777">
      <w:pPr>
        <w:pStyle w:val="2"/>
        <w:ind w:firstLine="480"/>
        <w:rPr>
          <w:rFonts w:ascii="Times New Roman" w:hAnsi="Times New Roman" w:cs="Times New Roman"/>
        </w:rPr>
      </w:pPr>
    </w:p>
    <w:p w:rsidR="00F36271" w14:paraId="58F243A2" w14:textId="77777777">
      <w:pPr>
        <w:pStyle w:val="2"/>
        <w:ind w:firstLine="480"/>
        <w:rPr>
          <w:rFonts w:ascii="Times New Roman" w:hAnsi="Times New Roman" w:cs="Times New Roman"/>
        </w:rPr>
      </w:pPr>
    </w:p>
    <w:p w:rsidR="00F36271" w14:paraId="61197956" w14:textId="77777777">
      <w:pPr>
        <w:pStyle w:val="2"/>
        <w:ind w:firstLine="0" w:firstLineChars="0"/>
        <w:rPr>
          <w:rFonts w:ascii="Times New Roman" w:hAnsi="Times New Roman" w:cs="Times New Roman"/>
        </w:rPr>
        <w:sectPr w:rsidSect="00C354AE">
          <w:headerReference w:type="even" r:id="rId12"/>
          <w:headerReference w:type="default" r:id="rId13"/>
          <w:footerReference w:type="even" r:id="rId14"/>
          <w:footerReference w:type="default" r:id="rId15"/>
          <w:headerReference w:type="first" r:id="rId16"/>
          <w:footerReference w:type="first" r:id="rId17"/>
          <w:endnotePr>
            <w:numFmt w:val="decimal"/>
          </w:endnotePr>
          <w:pgSz w:w="11906" w:h="16838"/>
          <w:pgMar w:top="1417" w:right="1701" w:bottom="1417" w:left="1701" w:header="1417" w:footer="1134" w:gutter="0"/>
          <w:pgNumType w:fmt="upperRoman" w:start="1"/>
          <w:cols w:space="0"/>
          <w:docGrid w:type="lines" w:linePitch="326"/>
        </w:sectPr>
      </w:pPr>
    </w:p>
    <w:p w:rsidR="00F36271" w14:paraId="2950D021" w14:textId="77777777">
      <w:pPr>
        <w:pStyle w:val="Heading1"/>
        <w:jc w:val="center"/>
        <w:rPr>
          <w:b/>
          <w:bCs/>
          <w:szCs w:val="30"/>
        </w:rPr>
      </w:pPr>
      <w:bookmarkStart w:id="2" w:name="_Toc103956191"/>
      <w:r>
        <w:rPr>
          <w:b/>
          <w:bCs/>
          <w:szCs w:val="30"/>
        </w:rPr>
        <w:t>ABSTRACT</w:t>
      </w:r>
      <w:bookmarkEnd w:id="2"/>
    </w:p>
    <w:p w:rsidR="00F36271" w14:paraId="1C4D4D72" w14:textId="77777777">
      <w:pPr>
        <w:pStyle w:val="2"/>
        <w:snapToGrid w:val="0"/>
        <w:spacing w:line="300" w:lineRule="auto"/>
        <w:ind w:firstLine="480"/>
        <w:jc w:val="both"/>
        <w:rPr>
          <w:rFonts w:ascii="Times New Roman" w:hAnsi="Times New Roman" w:cs="Times New Roman"/>
        </w:rPr>
      </w:pPr>
      <w:r>
        <w:rPr>
          <w:rFonts w:ascii="Times New Roman" w:hAnsi="Times New Roman" w:cs="Times New Roman"/>
        </w:rPr>
        <w:t xml:space="preserve">The combined station is very important </w:t>
      </w:r>
      <w:r>
        <w:rPr>
          <w:rFonts w:ascii="Times New Roman" w:hAnsi="Times New Roman" w:cs="Times New Roman"/>
        </w:rPr>
        <w:t>inthe</w:t>
      </w:r>
      <w:r>
        <w:rPr>
          <w:rFonts w:ascii="Times New Roman" w:hAnsi="Times New Roman" w:cs="Times New Roman"/>
        </w:rPr>
        <w:t xml:space="preserve"> oil and gas gathering and transportation system. The main functions of the station are </w:t>
      </w:r>
      <w:r>
        <w:rPr>
          <w:rFonts w:ascii="Times New Roman" w:hAnsi="Times New Roman" w:cs="Times New Roman"/>
        </w:rPr>
        <w:t>oiltransportation</w:t>
      </w:r>
      <w:r>
        <w:rPr>
          <w:rFonts w:ascii="Times New Roman" w:hAnsi="Times New Roman" w:cs="Times New Roman"/>
        </w:rPr>
        <w:t xml:space="preserve">, crude oil </w:t>
      </w:r>
      <w:r>
        <w:rPr>
          <w:rFonts w:ascii="Times New Roman" w:hAnsi="Times New Roman" w:cs="Times New Roman"/>
        </w:rPr>
        <w:t>dehydration,desalting</w:t>
      </w:r>
      <w:r>
        <w:rPr>
          <w:rFonts w:ascii="Times New Roman" w:hAnsi="Times New Roman" w:cs="Times New Roman"/>
        </w:rPr>
        <w:t xml:space="preserve">, desulfurization, natural gas dehydration, </w:t>
      </w:r>
      <w:r>
        <w:rPr>
          <w:rFonts w:ascii="Times New Roman" w:hAnsi="Times New Roman" w:cs="Times New Roman"/>
        </w:rPr>
        <w:t>deoiling</w:t>
      </w:r>
      <w:r>
        <w:rPr>
          <w:rFonts w:ascii="Times New Roman" w:hAnsi="Times New Roman" w:cs="Times New Roman"/>
        </w:rPr>
        <w:t xml:space="preserve">, sewage </w:t>
      </w:r>
      <w:r>
        <w:rPr>
          <w:rFonts w:ascii="Times New Roman" w:hAnsi="Times New Roman" w:cs="Times New Roman"/>
        </w:rPr>
        <w:t>deoiling,natural</w:t>
      </w:r>
      <w:r>
        <w:rPr>
          <w:rFonts w:ascii="Times New Roman" w:hAnsi="Times New Roman" w:cs="Times New Roman"/>
        </w:rPr>
        <w:t xml:space="preserve"> gas purification, crude </w:t>
      </w:r>
      <w:r>
        <w:rPr>
          <w:rFonts w:ascii="Times New Roman" w:hAnsi="Times New Roman" w:cs="Times New Roman"/>
        </w:rPr>
        <w:t>oilstabilization</w:t>
      </w:r>
      <w:r>
        <w:rPr>
          <w:rFonts w:ascii="Times New Roman" w:hAnsi="Times New Roman" w:cs="Times New Roman"/>
        </w:rPr>
        <w:t>, and export of commercial crude oil, etc. After the crude oil from the field is processed, the qualified oil will be transferred to the field oil depot or refinery through the pipeline network; The qualified natural gas will be transported to the first station of the gas transmission pipeline through the gas transmission pipe network.</w:t>
      </w:r>
    </w:p>
    <w:p w:rsidR="00F36271" w14:paraId="5CA0BE84" w14:textId="77777777">
      <w:pPr>
        <w:pStyle w:val="2"/>
        <w:ind w:firstLine="480"/>
        <w:jc w:val="both"/>
        <w:rPr>
          <w:rFonts w:ascii="Times New Roman" w:hAnsi="Times New Roman" w:cs="Times New Roman"/>
        </w:rPr>
      </w:pPr>
    </w:p>
    <w:p w:rsidR="00F36271" w14:paraId="1DB9BF52" w14:textId="77777777">
      <w:pPr>
        <w:ind w:firstLine="482"/>
        <w:rPr>
          <w:b/>
        </w:rPr>
      </w:pPr>
      <w:r>
        <w:rPr>
          <w:b/>
        </w:rPr>
        <w:t>Key Words: Process flow; Chart with CAD</w:t>
      </w:r>
    </w:p>
    <w:p w:rsidR="00F36271" w14:paraId="79ED7FCE" w14:textId="77777777">
      <w:pPr>
        <w:rPr>
          <w:bCs/>
        </w:rPr>
        <w:sectPr w:rsidSect="00C354AE">
          <w:headerReference w:type="even" r:id="rId18"/>
          <w:headerReference w:type="default" r:id="rId19"/>
          <w:footerReference w:type="even" r:id="rId20"/>
          <w:footerReference w:type="default" r:id="rId21"/>
          <w:headerReference w:type="first" r:id="rId22"/>
          <w:footerReference w:type="first" r:id="rId23"/>
          <w:endnotePr>
            <w:numFmt w:val="decimal"/>
          </w:endnotePr>
          <w:type w:val="nextPage"/>
          <w:pgSz w:w="11906" w:h="16838"/>
          <w:pgMar w:top="1417" w:right="1701" w:bottom="1417" w:left="1701" w:header="1417" w:footer="1134" w:gutter="0"/>
          <w:pgNumType w:fmt="upperRoman" w:start="2"/>
          <w:cols w:space="0"/>
          <w:titlePg w:val="0"/>
          <w:docGrid w:type="lines" w:linePitch="326"/>
        </w:sectPr>
      </w:pPr>
    </w:p>
    <w:p w:rsidR="00F36271" w14:paraId="274D0BEE" w14:textId="77777777">
      <w:pPr>
        <w:pStyle w:val="Heading1"/>
        <w:rPr>
          <w:rFonts w:ascii="黑体" w:hAnsi="黑体"/>
        </w:rPr>
      </w:pPr>
      <w:bookmarkStart w:id="3" w:name="_Toc103956193"/>
      <w:bookmarkStart w:id="4" w:name="_Toc27088_WPSOffice_Level1"/>
      <w:bookmarkStart w:id="5" w:name="_Toc14465_WPSOffice_Level1"/>
      <w:r>
        <w:rPr>
          <w:rFonts w:ascii="黑体" w:hAnsi="黑体"/>
        </w:rPr>
        <w:t>第1章 绪论</w:t>
      </w:r>
      <w:bookmarkEnd w:id="3"/>
      <w:bookmarkEnd w:id="4"/>
      <w:bookmarkEnd w:id="5"/>
    </w:p>
    <w:p w:rsidR="00F36271" w14:paraId="51CF7A4F" w14:textId="77777777">
      <w:pPr>
        <w:pStyle w:val="Heading2"/>
        <w:spacing w:before="163"/>
        <w:rPr>
          <w:rFonts w:ascii="黑体" w:hAnsi="黑体"/>
        </w:rPr>
      </w:pPr>
      <w:bookmarkStart w:id="6" w:name="_Toc30173_WPSOffice_Level2"/>
      <w:bookmarkStart w:id="7" w:name="_Toc103956194"/>
      <w:r>
        <w:rPr>
          <w:rFonts w:ascii="黑体" w:hAnsi="黑体"/>
        </w:rPr>
        <w:t xml:space="preserve">1.1 </w:t>
      </w:r>
      <w:r>
        <w:rPr>
          <w:rFonts w:ascii="黑体" w:hAnsi="黑体" w:hint="eastAsia"/>
        </w:rPr>
        <w:t>设计</w:t>
      </w:r>
      <w:bookmarkEnd w:id="6"/>
      <w:r>
        <w:rPr>
          <w:rFonts w:ascii="黑体" w:hAnsi="黑体" w:hint="eastAsia"/>
        </w:rPr>
        <w:t>背景及意义</w:t>
      </w:r>
      <w:bookmarkEnd w:id="7"/>
    </w:p>
    <w:p w:rsidR="00F36271" w14:paraId="1F94022A" w14:textId="77777777">
      <w:pPr>
        <w:pStyle w:val="BodyTextIndent"/>
        <w:ind w:firstLine="480"/>
        <w:sectPr w:rsidSect="00C354AE">
          <w:headerReference w:type="even" r:id="rId24"/>
          <w:headerReference w:type="default" r:id="rId25"/>
          <w:footerReference w:type="even" r:id="rId26"/>
          <w:footerReference w:type="default" r:id="rId27"/>
          <w:headerReference w:type="first" r:id="rId28"/>
          <w:footerReference w:type="first" r:id="rId29"/>
          <w:endnotePr>
            <w:numFmt w:val="decimal"/>
          </w:endnotePr>
          <w:pgSz w:w="11906" w:h="16838"/>
          <w:pgMar w:top="1417" w:right="1701" w:bottom="1417" w:left="1701" w:header="1417" w:footer="1134" w:gutter="0"/>
          <w:pgNumType w:start="1"/>
          <w:cols w:space="0"/>
          <w:docGrid w:type="lines" w:linePitch="326"/>
        </w:sectPr>
      </w:pPr>
    </w:p>
    <w:p w:rsidR="00F36271" w14:paraId="0C23DA74" w14:textId="77777777">
      <w:pPr>
        <w:spacing w:line="400" w:lineRule="exact"/>
      </w:pPr>
      <w:r>
        <w:rPr>
          <w:rFonts w:hint="eastAsia"/>
        </w:rPr>
        <w:t>油库是接收、储存、发放石油或石油产品的企业或单位。它是协调原油生产、原油加工、成品油供应及运输的纽带，是国家石油储备和供应的基地，它对于保障国防和促进国民经济高速发展具有相当重要的意义。此外，油库是我国现代化建设和军队后勤建设的重要组成部分，也是油料储存、供应的基础。</w:t>
      </w:r>
    </w:p>
    <w:p w:rsidR="00F36271" w14:paraId="56805BC5" w14:textId="77777777">
      <w:pPr>
        <w:spacing w:line="400" w:lineRule="exact"/>
      </w:pPr>
      <w:r>
        <w:rPr>
          <w:rFonts w:hint="eastAsia"/>
        </w:rPr>
        <w:t>随着石油工业的飞速发展，油库建设取得了长足的进步。现代油库已从传统意义上的单一储存石油的仓库向综合储存和</w:t>
      </w:r>
      <w:r>
        <w:rPr>
          <w:rFonts w:hint="eastAsia"/>
        </w:rPr>
        <w:t>输转石油</w:t>
      </w:r>
      <w:r>
        <w:rPr>
          <w:rFonts w:hint="eastAsia"/>
        </w:rPr>
        <w:t>、液化气、化工产品、物资等方向发展，并且在其他企业，如铁道、交通、电力、冶金等部门也建有各种类型的油库，以保证生产和运输的正常进行。我国油库的发展是在较为薄弱的工业基础上起步的，它与石油工业和国民建设的发展息息相关。经过较短的时间，我国油库已有了较快发展。目前，我国成品油库的单库容量已超过了百万吨级，油库中单个油罐的容量也超过了数万吨乃至数十万吨，而商业性油库也向着中型化方向发展。</w:t>
      </w:r>
    </w:p>
    <w:p w:rsidR="00F36271" w14:paraId="154D8749" w14:textId="77777777">
      <w:pPr>
        <w:spacing w:line="400" w:lineRule="exact"/>
      </w:pPr>
      <w:r>
        <w:rPr>
          <w:rFonts w:hint="eastAsia"/>
        </w:rPr>
        <w:t>本次设计的中转</w:t>
      </w:r>
      <w:r>
        <w:rPr>
          <w:rFonts w:hint="eastAsia"/>
        </w:rPr>
        <w:t>兼分配</w:t>
      </w:r>
      <w:r>
        <w:rPr>
          <w:rFonts w:hint="eastAsia"/>
        </w:rPr>
        <w:t>型成品油库是成品油供应及运输的纽带，也是石油储备和供应的基地。其主要任务是向本省各三级油库及本市各加油站、企事业单位、农村用户等供油。为此，本设计将依据相关原始资料及设计标准规范，对该油库的总平面布置、收发油流程、消防系统等作业区进行合理的设计，并对主要工艺设备进行选型计算。</w:t>
      </w:r>
    </w:p>
    <w:p w:rsidR="00F36271" w14:paraId="5A4BB284" w14:textId="77777777">
      <w:pPr>
        <w:pStyle w:val="BodyTextIndent"/>
        <w:ind w:firstLine="480"/>
      </w:pPr>
    </w:p>
    <w:p w:rsidR="00F36271" w14:paraId="250C583B" w14:textId="77777777">
      <w:pPr>
        <w:pStyle w:val="Heading2"/>
        <w:spacing w:before="163"/>
        <w:rPr>
          <w:rFonts w:ascii="黑体" w:hAnsi="黑体"/>
        </w:rPr>
      </w:pPr>
      <w:bookmarkStart w:id="8" w:name="_Toc103956195"/>
      <w:r>
        <w:rPr>
          <w:rFonts w:ascii="黑体" w:hAnsi="黑体"/>
        </w:rPr>
        <w:t xml:space="preserve">1.2 </w:t>
      </w:r>
      <w:r>
        <w:rPr>
          <w:rFonts w:ascii="黑体" w:hAnsi="黑体" w:hint="eastAsia"/>
        </w:rPr>
        <w:t>国内外研究现状</w:t>
      </w:r>
      <w:bookmarkEnd w:id="8"/>
    </w:p>
    <w:p w:rsidR="00F36271" w14:paraId="65A1A6F3" w14:textId="77777777">
      <w:pPr>
        <w:pStyle w:val="Heading3"/>
        <w:spacing w:before="163"/>
        <w:rPr>
          <w:rFonts w:ascii="黑体" w:hAnsi="黑体"/>
        </w:rPr>
      </w:pPr>
      <w:bookmarkStart w:id="9" w:name="_Toc103956196"/>
      <w:r>
        <w:rPr>
          <w:rFonts w:ascii="黑体" w:hAnsi="黑体"/>
        </w:rPr>
        <w:t>1.2.1</w:t>
      </w:r>
      <w:r>
        <w:rPr>
          <w:rFonts w:ascii="黑体" w:hAnsi="黑体" w:cs="宋体" w:hint="eastAsia"/>
        </w:rPr>
        <w:t>国内研究现状</w:t>
      </w:r>
      <w:bookmarkEnd w:id="9"/>
    </w:p>
    <w:p w:rsidR="00F36271" w14:paraId="058E981D" w14:textId="77777777">
      <w:bookmarkStart w:id="10" w:name="_Toc103956197"/>
      <w:r>
        <w:rPr>
          <w:rFonts w:hint="eastAsia"/>
        </w:rPr>
        <w:t>尽管国的石油资源十分丰富，储量居世界第十位，但经过数十年的开采，国大型油田</w:t>
      </w:r>
      <w:r>
        <w:rPr>
          <w:rFonts w:hint="eastAsia"/>
        </w:rPr>
        <w:t>都己不同</w:t>
      </w:r>
      <w:r>
        <w:rPr>
          <w:rFonts w:hint="eastAsia"/>
        </w:rPr>
        <w:t>程度地进入了衰竭期，而曾经被寄予厚望的塔里木油田和海洋石油的开发却由于地质条件复杂而进展缓慢。</w:t>
      </w:r>
    </w:p>
    <w:p w:rsidR="00F36271" w14:paraId="4A6E5039" w14:textId="77777777">
      <w:r>
        <w:rPr>
          <w:rFonts w:hint="eastAsia"/>
        </w:rPr>
        <w:t>在持续</w:t>
      </w:r>
      <w:r>
        <w:rPr>
          <w:rFonts w:hint="eastAsia"/>
        </w:rPr>
        <w:t>20</w:t>
      </w:r>
      <w:r>
        <w:rPr>
          <w:rFonts w:hint="eastAsia"/>
        </w:rPr>
        <w:t>年的高速开展之后</w:t>
      </w:r>
      <w:r>
        <w:rPr>
          <w:rFonts w:hint="eastAsia"/>
        </w:rPr>
        <w:t>,</w:t>
      </w:r>
      <w:r>
        <w:rPr>
          <w:rFonts w:hint="eastAsia"/>
        </w:rPr>
        <w:t>国经济和普通百姓的日常生活已经与石油产品密不可分。</w:t>
      </w:r>
    </w:p>
    <w:p w:rsidR="00F36271" w14:paraId="050883AF" w14:textId="77777777">
      <w:pPr>
        <w:sectPr>
          <w:headerReference w:type="even" r:id="rId30"/>
          <w:headerReference w:type="default" r:id="rId31"/>
          <w:footerReference w:type="even" r:id="rId32"/>
          <w:footerReference w:type="default" r:id="rId33"/>
          <w:headerReference w:type="first" r:id="rId34"/>
          <w:footerReference w:type="first" r:id="rId35"/>
          <w:endnotePr>
            <w:numFmt w:val="decimal"/>
          </w:endnotePr>
          <w:type w:val="continuous"/>
          <w:pgSz w:w="11906" w:h="16838"/>
          <w:pgMar w:top="1417" w:right="1701" w:bottom="1417" w:left="1701" w:header="851" w:footer="992" w:gutter="0"/>
          <w:pgNumType w:start="1"/>
          <w:cols w:space="0"/>
          <w:docGrid w:type="lines" w:linePitch="326"/>
        </w:sectPr>
      </w:pPr>
      <w:r>
        <w:rPr>
          <w:rFonts w:hint="eastAsia"/>
        </w:rPr>
        <w:t>为了解决</w:t>
      </w:r>
      <w:r>
        <w:rPr>
          <w:rFonts w:hint="eastAsia"/>
        </w:rPr>
        <w:t>国供应</w:t>
      </w:r>
      <w:r>
        <w:rPr>
          <w:rFonts w:hint="eastAsia"/>
        </w:rPr>
        <w:t>的有限增长与石油需求的急速扩</w:t>
      </w:r>
      <w:r>
        <w:rPr>
          <w:rFonts w:hint="eastAsia"/>
        </w:rPr>
        <w:t>,</w:t>
      </w:r>
      <w:r>
        <w:rPr>
          <w:rFonts w:hint="eastAsia"/>
        </w:rPr>
        <w:t>进口贸易已成为</w:t>
      </w:r>
      <w:r>
        <w:rPr>
          <w:rFonts w:hint="eastAsia"/>
        </w:rPr>
        <w:t>弥补国</w:t>
      </w:r>
      <w:r>
        <w:rPr>
          <w:rFonts w:hint="eastAsia"/>
        </w:rPr>
        <w:t>供需缺口的有效手段。我国已经参加</w:t>
      </w:r>
      <w:r>
        <w:rPr>
          <w:rFonts w:hint="eastAsia"/>
        </w:rPr>
        <w:t>WTO,</w:t>
      </w:r>
    </w:p>
    <w:p w:rsidR="00F36271" w14:textId="77777777">
      <w:r>
        <w:rPr>
          <w:rFonts w:hint="eastAsia"/>
        </w:rPr>
        <w:t>这更为石油与其产品进口贸易创造了有利条件。正在快速开展的石油和天然气管道行业</w:t>
      </w:r>
      <w:r>
        <w:rPr>
          <w:rFonts w:hint="eastAsia"/>
        </w:rPr>
        <w:t>,</w:t>
      </w:r>
      <w:r>
        <w:rPr>
          <w:rFonts w:hint="eastAsia"/>
        </w:rPr>
        <w:t>管道施工和运营经理们也面临着新的</w:t>
      </w:r>
      <w:r>
        <w:rPr>
          <w:rFonts w:hint="eastAsia"/>
        </w:rPr>
        <w:t>挑战。自第十个五年计划期间以来，全新</w:t>
      </w:r>
      <w:r>
        <w:rPr>
          <w:rFonts w:hint="eastAsia"/>
        </w:rPr>
        <w:t>QHSE</w:t>
      </w:r>
      <w:r>
        <w:rPr>
          <w:rFonts w:hint="eastAsia"/>
        </w:rPr>
        <w:t>经营理念引入了管道工程管理。结合制定企业标准，已经通过国际先进水平，从而进一步提高了管道建设的质量和技术水平。</w:t>
      </w:r>
    </w:p>
    <w:p w:rsidR="00F36271" w14:paraId="32B09669" w14:textId="77777777">
      <w:pPr>
        <w:pStyle w:val="Heading3"/>
        <w:spacing w:before="163"/>
        <w:rPr>
          <w:rFonts w:ascii="黑体" w:hAnsi="黑体"/>
        </w:rPr>
      </w:pPr>
      <w:r>
        <w:rPr>
          <w:rFonts w:ascii="黑体" w:hAnsi="黑体"/>
        </w:rPr>
        <w:t>1.2.2</w:t>
      </w:r>
      <w:r>
        <w:rPr>
          <w:rFonts w:ascii="黑体" w:hAnsi="黑体" w:cs="宋体" w:hint="eastAsia"/>
        </w:rPr>
        <w:t>国外研究现状</w:t>
      </w:r>
      <w:bookmarkEnd w:id="10"/>
    </w:p>
    <w:p w:rsidR="00F36271" w14:paraId="3B86F8B6" w14:textId="77777777">
      <w:r>
        <w:t xml:space="preserve">   </w:t>
      </w:r>
      <w:r>
        <w:rPr>
          <w:rFonts w:hint="eastAsia"/>
        </w:rPr>
        <w:t>长期以来，石油与其产品一直是世界各国广泛采用的一次能源。随着石油资源的开采、消耗，石油储量逐步减少，各国均在研究开发新能源，如核能、太阳能、地热能和海洋能等。但是现阶段甚至更长一段时间，石油与其产品仍然是世界各国使用的主要能源。</w:t>
      </w:r>
    </w:p>
    <w:p w:rsidR="00F36271" w14:paraId="44002B4B" w14:textId="77777777">
      <w:r>
        <w:rPr>
          <w:rFonts w:hint="eastAsia"/>
        </w:rPr>
        <w:t>随着世界各国经济的开展，对石油与其产品的消费量也在增长。目前，北美、亚太和欧洲三个地区的石油产品的消费占世界石油产品消费量的</w:t>
      </w:r>
      <w:r>
        <w:rPr>
          <w:rFonts w:hint="eastAsia"/>
        </w:rPr>
        <w:t>80%</w:t>
      </w:r>
      <w:r>
        <w:rPr>
          <w:rFonts w:hint="eastAsia"/>
        </w:rPr>
        <w:t>。美国的油库是纯管理单位，本身并不经营，它分属于各个石油公司的地方公司。产销一体化的美国石油公司根据市场的容量在城市附近设炼油厂，炼厂的原油全部靠油轮或管道输送，成品油由管道输送至中转油库，再由大型油罐车运输至所属加油站</w:t>
      </w:r>
      <w:r>
        <w:rPr>
          <w:rFonts w:hint="eastAsia"/>
        </w:rPr>
        <w:t>9</w:t>
      </w:r>
      <w:r>
        <w:rPr>
          <w:rFonts w:hint="eastAsia"/>
        </w:rPr>
        <w:t>。美国石油公司的油库分为炼厂油库和管道输送中转油库，其中中转油库又分为有人管理和无人管理两类。美国的炼厂至所属中转油库，大多使用一根油管顺序输送，输送程序由电脑控制，根据在线检测油品密度来进展油品切换，顺序输送之间不使用隔离球和隔离液。美国的油库几乎全部实行电脑管理，司机装油作业根本上是自动化。油库的调度、计量、收发油、报表、开关阀门等全由电脑程序控制。美国人认为，库区有人本身就是不安全因素。油库的保卫、安全由专职保安公司和保险公司负责，油库只有一般消防设备，泡沫消防车均由附近的</w:t>
      </w:r>
      <w:r>
        <w:rPr>
          <w:rFonts w:hint="eastAsia"/>
        </w:rPr>
        <w:t>的</w:t>
      </w:r>
      <w:r>
        <w:rPr>
          <w:rFonts w:hint="eastAsia"/>
        </w:rPr>
        <w:t>政府消防管理部门所属的消防队负责。由于所有石油公司都采用联网作业</w:t>
      </w:r>
      <w:r>
        <w:rPr>
          <w:rFonts w:hint="eastAsia"/>
        </w:rPr>
        <w:t>,</w:t>
      </w:r>
      <w:r>
        <w:rPr>
          <w:rFonts w:hint="eastAsia"/>
        </w:rPr>
        <w:t>所有</w:t>
      </w:r>
      <w:r>
        <w:rPr>
          <w:rFonts w:hint="eastAsia"/>
        </w:rPr>
        <w:t>库一切收发输转</w:t>
      </w:r>
      <w:r>
        <w:rPr>
          <w:rFonts w:hint="eastAsia"/>
        </w:rPr>
        <w:t>和经营情况</w:t>
      </w:r>
      <w:r>
        <w:rPr>
          <w:rFonts w:hint="eastAsia"/>
        </w:rPr>
        <w:t>,</w:t>
      </w:r>
      <w:r>
        <w:rPr>
          <w:rFonts w:hint="eastAsia"/>
        </w:rPr>
        <w:t>油库的直属上级分公司和总公司随时可从电脑显示屏幕上查阅，也可从定时打印的报表中获取全部营运资料。</w:t>
      </w:r>
    </w:p>
    <w:p w:rsidR="00F36271" w14:paraId="5589B988" w14:textId="77777777">
      <w:r>
        <w:rPr>
          <w:rFonts w:hint="eastAsia"/>
        </w:rPr>
        <w:t>我国所处的亚太地区，石油与其产品之间的供需矛盾尤为突出。过去</w:t>
      </w:r>
      <w:r>
        <w:rPr>
          <w:rFonts w:hint="eastAsia"/>
        </w:rPr>
        <w:t>10</w:t>
      </w:r>
      <w:r>
        <w:rPr>
          <w:rFonts w:hint="eastAsia"/>
        </w:rPr>
        <w:t>年间，亚太地区石油消费量年平均增长</w:t>
      </w:r>
      <w:r>
        <w:rPr>
          <w:rFonts w:hint="eastAsia"/>
        </w:rPr>
        <w:t>5.4%</w:t>
      </w:r>
      <w:r>
        <w:rPr>
          <w:rFonts w:hint="eastAsia"/>
        </w:rPr>
        <w:t>，大大高于世界平均水平。</w:t>
      </w:r>
      <w:r>
        <w:rPr>
          <w:rFonts w:hint="eastAsia"/>
        </w:rPr>
        <w:t>1992</w:t>
      </w:r>
      <w:r>
        <w:rPr>
          <w:rFonts w:hint="eastAsia"/>
        </w:rPr>
        <w:t>年超过欧洲</w:t>
      </w:r>
      <w:r>
        <w:rPr>
          <w:rFonts w:hint="eastAsia"/>
        </w:rPr>
        <w:t>,</w:t>
      </w:r>
      <w:r>
        <w:rPr>
          <w:rFonts w:hint="eastAsia"/>
        </w:rPr>
        <w:t>成为世界第二石油消费区。而亚太地区目前剩余的石油可开采储量仅占世界总量的</w:t>
      </w:r>
      <w:r>
        <w:rPr>
          <w:rFonts w:hint="eastAsia"/>
        </w:rPr>
        <w:t>4.2%</w:t>
      </w:r>
      <w:r>
        <w:rPr>
          <w:rFonts w:hint="eastAsia"/>
        </w:rPr>
        <w:t>，石油产量占世界总产量的</w:t>
      </w:r>
      <w:r>
        <w:rPr>
          <w:rFonts w:hint="eastAsia"/>
        </w:rPr>
        <w:t>10.4%</w:t>
      </w:r>
      <w:r>
        <w:rPr>
          <w:rFonts w:hint="eastAsia"/>
        </w:rPr>
        <w:t>，消费量却占世界消费量的</w:t>
      </w:r>
      <w:r>
        <w:rPr>
          <w:rFonts w:hint="eastAsia"/>
        </w:rPr>
        <w:t>26.4%</w:t>
      </w:r>
      <w:r>
        <w:rPr>
          <w:rFonts w:hint="eastAsia"/>
        </w:rPr>
        <w:t>。据预测</w:t>
      </w:r>
      <w:r>
        <w:rPr>
          <w:rFonts w:hint="eastAsia"/>
        </w:rPr>
        <w:t>,</w:t>
      </w:r>
      <w:r>
        <w:rPr>
          <w:rFonts w:hint="eastAsia"/>
        </w:rPr>
        <w:t>到</w:t>
      </w:r>
      <w:r>
        <w:rPr>
          <w:rFonts w:hint="eastAsia"/>
        </w:rPr>
        <w:t>2005</w:t>
      </w:r>
      <w:r>
        <w:rPr>
          <w:rFonts w:hint="eastAsia"/>
        </w:rPr>
        <w:t>年，亚太地区的石油消费将超过北美，我国与世界主要石油消费国分享世界石油资源的竞争将更加激烈。今后，围绕石油资源的竞争将主要集中在中东—北非、中亚—俄罗斯和我国南海等地区。</w:t>
      </w:r>
    </w:p>
    <w:p w:rsidR="00F36271" w14:paraId="1F9F75B8" w14:textId="77777777">
      <w:pPr>
        <w:sectPr>
          <w:headerReference w:type="even" r:id="rId36"/>
          <w:headerReference w:type="default" r:id="rId37"/>
          <w:footerReference w:type="even" r:id="rId38"/>
          <w:footerReference w:type="default" r:id="rId39"/>
          <w:headerReference w:type="first" r:id="rId40"/>
          <w:footerReference w:type="first" r:id="rId41"/>
          <w:endnotePr>
            <w:numFmt w:val="decimal"/>
          </w:endnotePr>
          <w:type w:val="nextPage"/>
          <w:pgSz w:w="11906" w:h="16838"/>
          <w:pgMar w:top="1417" w:right="1701" w:bottom="1417" w:left="1701" w:header="851" w:footer="992" w:gutter="0"/>
          <w:pgNumType w:start="2"/>
          <w:cols w:space="0"/>
          <w:titlePg w:val="0"/>
          <w:docGrid w:type="lines" w:linePitch="326"/>
        </w:sectPr>
      </w:pPr>
    </w:p>
    <w:p w:rsidR="00F36271" w14:textId="77777777">
      <w:r>
        <w:rPr>
          <w:rFonts w:hint="eastAsia"/>
        </w:rPr>
        <w:t>经济全球化是当今世界经济开展的大趋势，而经济全球化与国家石油安全战略密切相关。石油资源已成为世界政治、经济、军事和外交斗争的特殊武器。石油领域的竞争已远远超出了一般商业</w:t>
      </w:r>
      <w:r>
        <w:rPr>
          <w:rFonts w:hint="eastAsia"/>
        </w:rPr>
        <w:t>畴</w:t>
      </w:r>
      <w:r>
        <w:rPr>
          <w:rFonts w:hint="eastAsia"/>
        </w:rPr>
        <w:t>。目前，国际资本正以前所未有的速度向石油</w:t>
      </w:r>
      <w:r>
        <w:rPr>
          <w:rFonts w:hint="eastAsia"/>
        </w:rPr>
        <w:t>领域转移，国际超级石油垄断集团已逐步形成，正加紧对石油与其产品的控制。可以说，每次石油价格的震荡，都会对石油生产国和消费国的国家安全构成一定的威胁。</w:t>
      </w:r>
    </w:p>
    <w:p w:rsidR="00F36271" w14:paraId="4373C91E" w14:textId="77777777">
      <w:pPr>
        <w:pStyle w:val="Heading2"/>
        <w:spacing w:before="163"/>
        <w:rPr>
          <w:rFonts w:ascii="黑体" w:hAnsi="黑体"/>
        </w:rPr>
      </w:pPr>
      <w:bookmarkStart w:id="11" w:name="_Toc103956198"/>
      <w:r>
        <w:rPr>
          <w:rFonts w:ascii="黑体" w:hAnsi="黑体"/>
        </w:rPr>
        <w:t xml:space="preserve">1.3 </w:t>
      </w:r>
      <w:r>
        <w:rPr>
          <w:rFonts w:ascii="黑体" w:hAnsi="黑体" w:hint="eastAsia"/>
        </w:rPr>
        <w:t>设计</w:t>
      </w:r>
      <w:bookmarkEnd w:id="11"/>
      <w:r>
        <w:rPr>
          <w:rFonts w:ascii="黑体" w:hAnsi="黑体" w:hint="eastAsia"/>
        </w:rPr>
        <w:t>内容</w:t>
      </w:r>
    </w:p>
    <w:p w:rsidR="00F36271" w14:paraId="4BF7635B" w14:textId="77777777">
      <w:pPr>
        <w:pStyle w:val="Heading3"/>
        <w:spacing w:before="163" w:line="480" w:lineRule="auto"/>
        <w:rPr>
          <w:rFonts w:ascii="黑体" w:hAnsi="黑体"/>
        </w:rPr>
      </w:pPr>
      <w:bookmarkStart w:id="12" w:name="_Toc103956199"/>
      <w:r>
        <w:rPr>
          <w:rFonts w:ascii="黑体" w:hAnsi="黑体"/>
        </w:rPr>
        <w:t xml:space="preserve">1.3.1 </w:t>
      </w:r>
      <w:bookmarkEnd w:id="12"/>
      <w:r>
        <w:rPr>
          <w:rFonts w:ascii="黑体" w:hAnsi="黑体" w:cs="宋体" w:hint="eastAsia"/>
        </w:rPr>
        <w:t>油库建设区域状况</w:t>
      </w:r>
    </w:p>
    <w:p w:rsidR="00F36271" w14:paraId="6CAB83A1" w14:textId="77777777">
      <w:pPr>
        <w:pStyle w:val="Header"/>
        <w:tabs>
          <w:tab w:val="clear" w:pos="4153"/>
          <w:tab w:val="clear" w:pos="8306"/>
        </w:tabs>
        <w:snapToGrid/>
        <w:spacing w:line="440" w:lineRule="exact"/>
        <w:rPr>
          <w:sz w:val="24"/>
        </w:rPr>
      </w:pPr>
      <w:r>
        <w:rPr>
          <w:sz w:val="24"/>
        </w:rPr>
        <w:t>某油库是一座中转型的成品油库。面积为</w:t>
      </w:r>
      <w:r>
        <w:rPr>
          <w:sz w:val="24"/>
        </w:rPr>
        <w:t>510×450m2</w:t>
      </w:r>
      <w:r>
        <w:rPr>
          <w:sz w:val="24"/>
        </w:rPr>
        <w:t>，其主要任务是向本省各三级油库及本市各加油站、企事业单位、农村用户等供油。</w:t>
      </w:r>
    </w:p>
    <w:p w:rsidR="00F36271" w14:paraId="0AE5B512" w14:textId="77777777">
      <w:pPr>
        <w:pStyle w:val="Header"/>
        <w:tabs>
          <w:tab w:val="clear" w:pos="4153"/>
          <w:tab w:val="clear" w:pos="8306"/>
        </w:tabs>
        <w:snapToGrid/>
        <w:spacing w:line="440" w:lineRule="exact"/>
        <w:rPr>
          <w:sz w:val="24"/>
        </w:rPr>
      </w:pPr>
      <w:r>
        <w:rPr>
          <w:sz w:val="24"/>
        </w:rPr>
        <w:t xml:space="preserve">   </w:t>
      </w:r>
      <w:r>
        <w:rPr>
          <w:sz w:val="24"/>
        </w:rPr>
        <w:t>油品进库：油品全部由铁路运入。油品出库：由铁路散装、公路散装和整装发运。</w:t>
      </w:r>
      <w:r>
        <w:rPr>
          <w:sz w:val="24"/>
        </w:rPr>
        <w:t xml:space="preserve">   </w:t>
      </w:r>
    </w:p>
    <w:p w:rsidR="00F36271" w14:paraId="29603780" w14:textId="77777777">
      <w:pPr>
        <w:pStyle w:val="Header"/>
        <w:tabs>
          <w:tab w:val="clear" w:pos="4153"/>
          <w:tab w:val="clear" w:pos="8306"/>
        </w:tabs>
        <w:snapToGrid/>
        <w:spacing w:line="440" w:lineRule="exact"/>
        <w:rPr>
          <w:sz w:val="24"/>
        </w:rPr>
      </w:pPr>
      <w:r>
        <w:rPr>
          <w:sz w:val="24"/>
        </w:rPr>
        <w:t>油库</w:t>
      </w:r>
      <w:r>
        <w:rPr>
          <w:sz w:val="24"/>
        </w:rPr>
        <w:t>库址周围</w:t>
      </w:r>
      <w:r>
        <w:rPr>
          <w:sz w:val="24"/>
        </w:rPr>
        <w:t>无大型企事业单位及大型建（构）筑物，铁路编组站位于</w:t>
      </w:r>
      <w:r>
        <w:rPr>
          <w:sz w:val="24"/>
        </w:rPr>
        <w:t>库址南</w:t>
      </w:r>
      <w:r>
        <w:rPr>
          <w:sz w:val="24"/>
        </w:rPr>
        <w:t>偏西</w:t>
      </w:r>
      <w:r>
        <w:rPr>
          <w:sz w:val="24"/>
        </w:rPr>
        <w:t>30</w:t>
      </w:r>
      <w:r>
        <w:rPr>
          <w:sz w:val="24"/>
        </w:rPr>
        <w:t>公里处，铁路机车牵引定数为</w:t>
      </w:r>
      <w:r>
        <w:rPr>
          <w:sz w:val="24"/>
        </w:rPr>
        <w:t>3500t</w:t>
      </w:r>
      <w:r>
        <w:rPr>
          <w:sz w:val="24"/>
        </w:rPr>
        <w:t>。公路主干线在库</w:t>
      </w:r>
      <w:r>
        <w:rPr>
          <w:sz w:val="24"/>
        </w:rPr>
        <w:t>址</w:t>
      </w:r>
      <w:r>
        <w:rPr>
          <w:sz w:val="24"/>
        </w:rPr>
        <w:t>西面，距库区约</w:t>
      </w:r>
      <w:r>
        <w:rPr>
          <w:sz w:val="24"/>
        </w:rPr>
        <w:t>1.5</w:t>
      </w:r>
      <w:r>
        <w:rPr>
          <w:sz w:val="24"/>
        </w:rPr>
        <w:t>公里，公路为南北走向。</w:t>
      </w:r>
    </w:p>
    <w:p w:rsidR="00F36271" w14:paraId="6B3DF9AC" w14:textId="77777777">
      <w:pPr>
        <w:pStyle w:val="BodyTextIndent"/>
        <w:ind w:firstLine="480"/>
      </w:pPr>
    </w:p>
    <w:p w:rsidR="00F36271" w14:paraId="43A022F6" w14:textId="77777777">
      <w:pPr>
        <w:pStyle w:val="Heading3"/>
        <w:keepNext/>
        <w:keepLines/>
        <w:spacing w:before="163" w:line="480" w:lineRule="auto"/>
        <w:rPr>
          <w:rFonts w:ascii="黑体" w:hAnsi="黑体" w:cs="宋体"/>
        </w:rPr>
      </w:pPr>
      <w:bookmarkStart w:id="13" w:name="_Toc103956200"/>
      <w:r>
        <w:rPr>
          <w:rFonts w:ascii="黑体" w:hAnsi="黑体"/>
        </w:rPr>
        <w:t xml:space="preserve">1.3.2 </w:t>
      </w:r>
      <w:bookmarkEnd w:id="13"/>
      <w:r>
        <w:rPr>
          <w:rFonts w:ascii="黑体" w:hAnsi="黑体" w:cs="宋体" w:hint="eastAsia"/>
        </w:rPr>
        <w:t>水文、气象及地质条件</w:t>
      </w:r>
    </w:p>
    <w:p w:rsidR="00F36271" w14:paraId="716A0B5C" w14:textId="77777777">
      <w:pPr>
        <w:spacing w:line="440" w:lineRule="exact"/>
      </w:pPr>
      <w:r>
        <w:t>油库所在地区年平均地温为</w:t>
      </w:r>
      <w:r>
        <w:t>16.4℃</w:t>
      </w:r>
      <w:r>
        <w:t>，最冷月平均气温为</w:t>
      </w:r>
      <w:r>
        <w:t>3.2℃</w:t>
      </w:r>
      <w:r>
        <w:t>，最热月极限气温为</w:t>
      </w:r>
      <w:r>
        <w:t>28.8℃</w:t>
      </w:r>
      <w:r>
        <w:t>。油库所在地区属于季低温阴雨，春夏季暴雨，夏秋干旱和干热风，冬季寒潮大风和冻害</w:t>
      </w:r>
      <w:r>
        <w:t>,</w:t>
      </w:r>
      <w:r>
        <w:t>夏季大气压为</w:t>
      </w:r>
      <w:r>
        <w:t>0.991×10</w:t>
      </w:r>
      <w:r>
        <w:rPr>
          <w:vertAlign w:val="superscript"/>
        </w:rPr>
        <w:t>5</w:t>
      </w:r>
      <w:r>
        <w:t>Pa</w:t>
      </w:r>
      <w:r>
        <w:t>，冬季大气压为</w:t>
      </w:r>
      <w:r>
        <w:t>0.996×10</w:t>
      </w:r>
      <w:r>
        <w:rPr>
          <w:vertAlign w:val="superscript"/>
        </w:rPr>
        <w:t>5</w:t>
      </w:r>
      <w:r>
        <w:t>Pa</w:t>
      </w:r>
      <w:r>
        <w:t>。最大动土层深度为地表下</w:t>
      </w:r>
      <w:r>
        <w:t>0.2m</w:t>
      </w:r>
      <w:r>
        <w:t>；最高地下水位为地表下</w:t>
      </w:r>
      <w:r>
        <w:t>5.9m</w:t>
      </w:r>
      <w:r>
        <w:t>，承载能力为</w:t>
      </w:r>
      <w:r>
        <w:t>17t/m</w:t>
      </w:r>
      <w:r>
        <w:rPr>
          <w:vertAlign w:val="superscript"/>
        </w:rPr>
        <w:t>2</w:t>
      </w:r>
      <w:r>
        <w:t>。</w:t>
      </w:r>
    </w:p>
    <w:p w:rsidR="00F36271" w14:paraId="0C42BA04" w14:textId="77777777"/>
    <w:p w:rsidR="00F36271" w14:paraId="76E6ED03" w14:textId="77777777">
      <w:pPr>
        <w:pStyle w:val="Heading3"/>
        <w:spacing w:before="163"/>
        <w:rPr>
          <w:rFonts w:ascii="黑体" w:hAnsi="黑体"/>
        </w:rPr>
      </w:pPr>
      <w:bookmarkStart w:id="14" w:name="_Toc103956201"/>
      <w:r>
        <w:rPr>
          <w:rFonts w:ascii="黑体" w:hAnsi="黑体"/>
        </w:rPr>
        <w:t xml:space="preserve">1.3.3 </w:t>
      </w:r>
      <w:r>
        <w:rPr>
          <w:rFonts w:ascii="黑体" w:hAnsi="黑体" w:hint="eastAsia"/>
        </w:rPr>
        <w:t>原油和天然气的物性参数</w:t>
      </w:r>
      <w:bookmarkEnd w:id="14"/>
    </w:p>
    <w:p w:rsidR="00F36271" w14:paraId="141F89D3" w14:textId="77777777">
      <w:pPr>
        <w:spacing w:line="240" w:lineRule="auto"/>
        <w:ind w:firstLine="420"/>
        <w:jc w:val="center"/>
        <w:rPr>
          <w:rFonts w:eastAsia="黑体"/>
          <w:color w:val="000000"/>
          <w:sz w:val="21"/>
          <w:szCs w:val="21"/>
        </w:rPr>
      </w:pPr>
      <w:r>
        <w:rPr>
          <w:rFonts w:eastAsia="黑体"/>
          <w:color w:val="000000"/>
          <w:sz w:val="21"/>
          <w:szCs w:val="21"/>
        </w:rPr>
        <w:t>表</w:t>
      </w:r>
      <w:r>
        <w:rPr>
          <w:rFonts w:eastAsia="黑体"/>
          <w:color w:val="000000"/>
          <w:sz w:val="21"/>
          <w:szCs w:val="21"/>
        </w:rPr>
        <w:t xml:space="preserve">1.1 </w:t>
      </w:r>
      <w:r>
        <w:rPr>
          <w:rFonts w:eastAsia="黑体"/>
          <w:color w:val="000000"/>
          <w:sz w:val="21"/>
          <w:szCs w:val="21"/>
        </w:rPr>
        <w:t>原油以及天然气物性参数</w:t>
      </w:r>
    </w:p>
    <w:tbl>
      <w:tblPr>
        <w:tblStyle w:val="TableNormal"/>
        <w:tblW w:w="70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63"/>
        <w:gridCol w:w="1258"/>
        <w:gridCol w:w="1439"/>
        <w:gridCol w:w="2080"/>
      </w:tblGrid>
      <w:tr w14:paraId="75ED0E27" w14:textId="77777777">
        <w:tblPrEx>
          <w:tblW w:w="70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22"/>
          <w:jc w:val="center"/>
        </w:trPr>
        <w:tc>
          <w:tcPr>
            <w:tcW w:w="3521" w:type="dxa"/>
            <w:gridSpan w:val="2"/>
            <w:vAlign w:val="center"/>
          </w:tcPr>
          <w:p w:rsidR="00F36271" w14:paraId="18F70F57" w14:textId="77777777">
            <w:pPr>
              <w:spacing w:line="380" w:lineRule="atLeast"/>
              <w:ind w:firstLine="420"/>
              <w:jc w:val="center"/>
              <w:rPr>
                <w:color w:val="000000"/>
                <w:sz w:val="21"/>
                <w:szCs w:val="21"/>
              </w:rPr>
            </w:pPr>
            <w:r>
              <w:rPr>
                <w:color w:val="000000"/>
                <w:sz w:val="21"/>
                <w:szCs w:val="21"/>
              </w:rPr>
              <w:t>原油物性</w:t>
            </w:r>
          </w:p>
        </w:tc>
        <w:tc>
          <w:tcPr>
            <w:tcW w:w="3519" w:type="dxa"/>
            <w:gridSpan w:val="2"/>
            <w:vAlign w:val="center"/>
          </w:tcPr>
          <w:p w:rsidR="00F36271" w14:paraId="59142C1C" w14:textId="77777777">
            <w:pPr>
              <w:spacing w:line="380" w:lineRule="atLeast"/>
              <w:ind w:firstLine="420"/>
              <w:jc w:val="center"/>
              <w:rPr>
                <w:color w:val="000000"/>
                <w:sz w:val="21"/>
                <w:szCs w:val="21"/>
              </w:rPr>
            </w:pPr>
            <w:r>
              <w:rPr>
                <w:color w:val="000000"/>
                <w:sz w:val="21"/>
                <w:szCs w:val="21"/>
              </w:rPr>
              <w:t>天然气物性</w:t>
            </w:r>
          </w:p>
        </w:tc>
      </w:tr>
      <w:tr w14:paraId="017A021D" w14:textId="77777777">
        <w:tblPrEx>
          <w:tblW w:w="7040" w:type="dxa"/>
          <w:jc w:val="center"/>
          <w:tblLayout w:type="fixed"/>
          <w:tblLook w:val="04A0"/>
        </w:tblPrEx>
        <w:trPr>
          <w:trHeight w:val="336"/>
          <w:jc w:val="center"/>
        </w:trPr>
        <w:tc>
          <w:tcPr>
            <w:tcW w:w="2263" w:type="dxa"/>
            <w:vAlign w:val="center"/>
          </w:tcPr>
          <w:p w:rsidR="00F36271" w14:paraId="2244E229" w14:textId="77777777">
            <w:pPr>
              <w:spacing w:line="276" w:lineRule="auto"/>
              <w:ind w:firstLine="420"/>
              <w:jc w:val="center"/>
              <w:rPr>
                <w:color w:val="000000"/>
                <w:sz w:val="21"/>
                <w:szCs w:val="21"/>
              </w:rPr>
            </w:pPr>
            <w:r>
              <w:rPr>
                <w:color w:val="000000"/>
                <w:sz w:val="21"/>
                <w:szCs w:val="21"/>
              </w:rPr>
              <w:t>物性</w:t>
            </w:r>
          </w:p>
        </w:tc>
        <w:tc>
          <w:tcPr>
            <w:tcW w:w="1258" w:type="dxa"/>
            <w:vAlign w:val="center"/>
          </w:tcPr>
          <w:p w:rsidR="00F36271" w14:paraId="47A4F943" w14:textId="77777777">
            <w:pPr>
              <w:spacing w:line="276" w:lineRule="auto"/>
              <w:ind w:firstLine="420"/>
              <w:jc w:val="center"/>
              <w:rPr>
                <w:color w:val="000000"/>
                <w:sz w:val="21"/>
                <w:szCs w:val="21"/>
              </w:rPr>
            </w:pPr>
            <w:r>
              <w:rPr>
                <w:color w:val="000000"/>
                <w:sz w:val="21"/>
                <w:szCs w:val="21"/>
              </w:rPr>
              <w:t>数值</w:t>
            </w:r>
          </w:p>
        </w:tc>
        <w:tc>
          <w:tcPr>
            <w:tcW w:w="1439" w:type="dxa"/>
            <w:vAlign w:val="center"/>
          </w:tcPr>
          <w:p w:rsidR="00F36271" w14:paraId="1EFB6C4A" w14:textId="77777777">
            <w:pPr>
              <w:spacing w:line="276" w:lineRule="auto"/>
              <w:ind w:firstLine="420"/>
              <w:jc w:val="center"/>
              <w:rPr>
                <w:color w:val="000000"/>
                <w:sz w:val="21"/>
                <w:szCs w:val="21"/>
              </w:rPr>
            </w:pPr>
            <w:r>
              <w:rPr>
                <w:color w:val="000000"/>
                <w:sz w:val="21"/>
                <w:szCs w:val="21"/>
              </w:rPr>
              <w:t>所含组分</w:t>
            </w:r>
          </w:p>
        </w:tc>
        <w:tc>
          <w:tcPr>
            <w:tcW w:w="2080" w:type="dxa"/>
            <w:vAlign w:val="center"/>
          </w:tcPr>
          <w:p w:rsidR="00F36271" w14:paraId="2E760A68" w14:textId="77777777">
            <w:pPr>
              <w:spacing w:line="276" w:lineRule="auto"/>
              <w:ind w:firstLine="420"/>
              <w:jc w:val="center"/>
              <w:rPr>
                <w:color w:val="000000"/>
                <w:sz w:val="21"/>
                <w:szCs w:val="21"/>
              </w:rPr>
            </w:pPr>
            <w:r>
              <w:rPr>
                <w:color w:val="000000"/>
                <w:sz w:val="21"/>
                <w:szCs w:val="21"/>
              </w:rPr>
              <w:t>质量分数</w:t>
            </w:r>
          </w:p>
        </w:tc>
      </w:tr>
      <w:tr w14:paraId="16C638D8" w14:textId="77777777">
        <w:tblPrEx>
          <w:tblW w:w="7040" w:type="dxa"/>
          <w:jc w:val="center"/>
          <w:tblLayout w:type="fixed"/>
          <w:tblLook w:val="04A0"/>
        </w:tblPrEx>
        <w:trPr>
          <w:trHeight w:val="282"/>
          <w:jc w:val="center"/>
        </w:trPr>
        <w:tc>
          <w:tcPr>
            <w:tcW w:w="2263" w:type="dxa"/>
            <w:vAlign w:val="center"/>
          </w:tcPr>
          <w:p w:rsidR="00F36271" w14:paraId="40AFCD34" w14:textId="77777777">
            <w:pPr>
              <w:spacing w:line="276" w:lineRule="auto"/>
              <w:ind w:firstLine="420"/>
              <w:jc w:val="center"/>
              <w:rPr>
                <w:color w:val="000000"/>
                <w:sz w:val="21"/>
                <w:szCs w:val="21"/>
              </w:rPr>
            </w:pPr>
            <w:r>
              <w:rPr>
                <w:color w:val="000000"/>
                <w:sz w:val="21"/>
                <w:szCs w:val="21"/>
              </w:rPr>
              <w:t>相对密度</w:t>
            </w:r>
          </w:p>
        </w:tc>
        <w:tc>
          <w:tcPr>
            <w:tcW w:w="1258" w:type="dxa"/>
            <w:vAlign w:val="center"/>
          </w:tcPr>
          <w:p w:rsidR="00F36271" w14:paraId="33602659" w14:textId="77777777">
            <w:pPr>
              <w:spacing w:line="276" w:lineRule="auto"/>
              <w:ind w:firstLine="420"/>
              <w:jc w:val="center"/>
              <w:rPr>
                <w:color w:val="000000"/>
                <w:sz w:val="21"/>
                <w:szCs w:val="21"/>
              </w:rPr>
            </w:pPr>
            <w:r>
              <w:rPr>
                <w:color w:val="000000"/>
                <w:sz w:val="21"/>
                <w:szCs w:val="21"/>
              </w:rPr>
              <w:t>0.85</w:t>
            </w:r>
          </w:p>
        </w:tc>
        <w:tc>
          <w:tcPr>
            <w:tcW w:w="1439" w:type="dxa"/>
            <w:vAlign w:val="center"/>
          </w:tcPr>
          <w:p w:rsidR="00F36271" w14:paraId="0AABFD33" w14:textId="77777777">
            <w:pPr>
              <w:spacing w:line="276" w:lineRule="auto"/>
              <w:ind w:firstLine="420"/>
              <w:jc w:val="center"/>
              <w:rPr>
                <w:color w:val="000000"/>
                <w:sz w:val="21"/>
                <w:szCs w:val="21"/>
              </w:rPr>
            </w:pPr>
            <w:r>
              <w:rPr>
                <w:color w:val="000000"/>
                <w:sz w:val="21"/>
                <w:szCs w:val="21"/>
              </w:rPr>
              <w:t>甲烷</w:t>
            </w:r>
          </w:p>
        </w:tc>
        <w:tc>
          <w:tcPr>
            <w:tcW w:w="2080" w:type="dxa"/>
            <w:vAlign w:val="center"/>
          </w:tcPr>
          <w:p w:rsidR="00F36271" w14:paraId="031D5157" w14:textId="77777777">
            <w:pPr>
              <w:spacing w:line="276" w:lineRule="auto"/>
              <w:ind w:firstLine="420"/>
              <w:jc w:val="center"/>
              <w:rPr>
                <w:color w:val="000000"/>
                <w:sz w:val="21"/>
                <w:szCs w:val="21"/>
              </w:rPr>
            </w:pPr>
            <w:r>
              <w:rPr>
                <w:color w:val="000000"/>
                <w:sz w:val="21"/>
                <w:szCs w:val="21"/>
              </w:rPr>
              <w:t>73.26</w:t>
            </w:r>
          </w:p>
        </w:tc>
      </w:tr>
      <w:tr w14:paraId="14340144" w14:textId="77777777">
        <w:tblPrEx>
          <w:tblW w:w="7040" w:type="dxa"/>
          <w:jc w:val="center"/>
          <w:tblLayout w:type="fixed"/>
          <w:tblLook w:val="04A0"/>
        </w:tblPrEx>
        <w:trPr>
          <w:trHeight w:val="202"/>
          <w:jc w:val="center"/>
        </w:trPr>
        <w:tc>
          <w:tcPr>
            <w:tcW w:w="2263" w:type="dxa"/>
            <w:vAlign w:val="center"/>
          </w:tcPr>
          <w:p w:rsidR="00F36271" w14:paraId="4D7F7FD3" w14:textId="77777777">
            <w:pPr>
              <w:spacing w:line="276" w:lineRule="auto"/>
              <w:ind w:firstLine="420"/>
              <w:jc w:val="center"/>
              <w:rPr>
                <w:color w:val="000000"/>
                <w:sz w:val="21"/>
                <w:szCs w:val="21"/>
              </w:rPr>
            </w:pPr>
            <w:r>
              <w:rPr>
                <w:color w:val="000000"/>
                <w:sz w:val="21"/>
                <w:szCs w:val="21"/>
              </w:rPr>
              <w:t>含蜡率</w:t>
            </w:r>
          </w:p>
        </w:tc>
        <w:tc>
          <w:tcPr>
            <w:tcW w:w="1258" w:type="dxa"/>
            <w:vAlign w:val="center"/>
          </w:tcPr>
          <w:p w:rsidR="00F36271" w14:paraId="2F57ABD4" w14:textId="77777777">
            <w:pPr>
              <w:spacing w:line="276" w:lineRule="auto"/>
              <w:ind w:firstLine="420"/>
              <w:jc w:val="center"/>
              <w:rPr>
                <w:color w:val="000000"/>
                <w:sz w:val="21"/>
                <w:szCs w:val="21"/>
              </w:rPr>
            </w:pPr>
            <w:r>
              <w:rPr>
                <w:color w:val="000000"/>
                <w:sz w:val="21"/>
                <w:szCs w:val="21"/>
              </w:rPr>
              <w:t>14.68%</w:t>
            </w:r>
          </w:p>
        </w:tc>
        <w:tc>
          <w:tcPr>
            <w:tcW w:w="1439" w:type="dxa"/>
            <w:vAlign w:val="center"/>
          </w:tcPr>
          <w:p w:rsidR="00F36271" w14:paraId="5167A640" w14:textId="77777777">
            <w:pPr>
              <w:spacing w:line="276" w:lineRule="auto"/>
              <w:ind w:firstLine="420"/>
              <w:jc w:val="center"/>
              <w:rPr>
                <w:color w:val="000000"/>
                <w:sz w:val="21"/>
                <w:szCs w:val="21"/>
              </w:rPr>
            </w:pPr>
            <w:r>
              <w:rPr>
                <w:color w:val="000000"/>
                <w:sz w:val="21"/>
                <w:szCs w:val="21"/>
              </w:rPr>
              <w:t>乙烷</w:t>
            </w:r>
          </w:p>
        </w:tc>
        <w:tc>
          <w:tcPr>
            <w:tcW w:w="2080" w:type="dxa"/>
            <w:vAlign w:val="center"/>
          </w:tcPr>
          <w:p w:rsidR="00F36271" w14:paraId="1061D4F9" w14:textId="77777777">
            <w:pPr>
              <w:spacing w:line="276" w:lineRule="auto"/>
              <w:ind w:firstLine="420"/>
              <w:jc w:val="center"/>
              <w:rPr>
                <w:color w:val="000000"/>
                <w:sz w:val="21"/>
                <w:szCs w:val="21"/>
              </w:rPr>
            </w:pPr>
            <w:r>
              <w:rPr>
                <w:color w:val="000000"/>
                <w:sz w:val="21"/>
                <w:szCs w:val="21"/>
              </w:rPr>
              <w:t>11.30</w:t>
            </w:r>
          </w:p>
        </w:tc>
      </w:tr>
      <w:tr w14:paraId="2F3F8EBF" w14:textId="77777777">
        <w:tblPrEx>
          <w:tblW w:w="7040" w:type="dxa"/>
          <w:jc w:val="center"/>
          <w:tblLayout w:type="fixed"/>
          <w:tblLook w:val="04A0"/>
        </w:tblPrEx>
        <w:trPr>
          <w:trHeight w:val="265"/>
          <w:jc w:val="center"/>
        </w:trPr>
        <w:tc>
          <w:tcPr>
            <w:tcW w:w="2263" w:type="dxa"/>
            <w:vAlign w:val="center"/>
          </w:tcPr>
          <w:p w:rsidR="00F36271" w14:paraId="2A215902" w14:textId="77777777">
            <w:pPr>
              <w:spacing w:line="276" w:lineRule="auto"/>
              <w:ind w:firstLine="420"/>
              <w:jc w:val="center"/>
              <w:rPr>
                <w:color w:val="000000"/>
                <w:sz w:val="21"/>
                <w:szCs w:val="21"/>
              </w:rPr>
            </w:pPr>
            <w:r>
              <w:rPr>
                <w:color w:val="000000"/>
                <w:sz w:val="21"/>
                <w:szCs w:val="21"/>
              </w:rPr>
              <w:t>含胶质量</w:t>
            </w:r>
          </w:p>
        </w:tc>
        <w:tc>
          <w:tcPr>
            <w:tcW w:w="1258" w:type="dxa"/>
            <w:vAlign w:val="center"/>
          </w:tcPr>
          <w:p w:rsidR="00F36271" w14:paraId="5C606A41" w14:textId="77777777">
            <w:pPr>
              <w:spacing w:line="276" w:lineRule="auto"/>
              <w:ind w:firstLine="420"/>
              <w:jc w:val="center"/>
              <w:rPr>
                <w:color w:val="000000"/>
                <w:sz w:val="21"/>
                <w:szCs w:val="21"/>
              </w:rPr>
            </w:pPr>
            <w:r>
              <w:rPr>
                <w:color w:val="000000"/>
                <w:sz w:val="21"/>
                <w:szCs w:val="21"/>
              </w:rPr>
              <w:t>6.55%</w:t>
            </w:r>
          </w:p>
        </w:tc>
        <w:tc>
          <w:tcPr>
            <w:tcW w:w="1439" w:type="dxa"/>
            <w:vAlign w:val="center"/>
          </w:tcPr>
          <w:p w:rsidR="00F36271" w14:paraId="79D93938" w14:textId="77777777">
            <w:pPr>
              <w:spacing w:line="276" w:lineRule="auto"/>
              <w:ind w:firstLine="420"/>
              <w:jc w:val="center"/>
              <w:rPr>
                <w:color w:val="000000"/>
                <w:sz w:val="21"/>
                <w:szCs w:val="21"/>
              </w:rPr>
            </w:pPr>
            <w:r>
              <w:rPr>
                <w:color w:val="000000"/>
                <w:sz w:val="21"/>
                <w:szCs w:val="21"/>
              </w:rPr>
              <w:t>丙烷</w:t>
            </w:r>
          </w:p>
        </w:tc>
        <w:tc>
          <w:tcPr>
            <w:tcW w:w="2080" w:type="dxa"/>
            <w:vAlign w:val="center"/>
          </w:tcPr>
          <w:p w:rsidR="00F36271" w14:paraId="1D7511FB" w14:textId="77777777">
            <w:pPr>
              <w:spacing w:line="276" w:lineRule="auto"/>
              <w:ind w:firstLine="420"/>
              <w:jc w:val="center"/>
              <w:rPr>
                <w:color w:val="000000"/>
                <w:sz w:val="21"/>
                <w:szCs w:val="21"/>
              </w:rPr>
            </w:pPr>
            <w:r>
              <w:rPr>
                <w:color w:val="000000"/>
                <w:sz w:val="21"/>
                <w:szCs w:val="21"/>
              </w:rPr>
              <w:t>7.21</w:t>
            </w:r>
          </w:p>
        </w:tc>
      </w:tr>
      <w:tr w14:paraId="085CFD22" w14:textId="77777777">
        <w:tblPrEx>
          <w:tblW w:w="7040" w:type="dxa"/>
          <w:jc w:val="center"/>
          <w:tblLayout w:type="fixed"/>
          <w:tblLook w:val="04A0"/>
        </w:tblPrEx>
        <w:trPr>
          <w:trHeight w:val="312"/>
          <w:jc w:val="center"/>
        </w:trPr>
        <w:tc>
          <w:tcPr>
            <w:tcW w:w="2263" w:type="dxa"/>
            <w:vAlign w:val="center"/>
          </w:tcPr>
          <w:p w:rsidR="00F36271" w14:paraId="3453F095" w14:textId="77777777">
            <w:pPr>
              <w:spacing w:line="276" w:lineRule="auto"/>
              <w:ind w:firstLine="420"/>
              <w:jc w:val="center"/>
              <w:rPr>
                <w:color w:val="000000"/>
                <w:sz w:val="21"/>
                <w:szCs w:val="21"/>
              </w:rPr>
            </w:pPr>
            <w:r>
              <w:rPr>
                <w:color w:val="000000"/>
                <w:sz w:val="21"/>
                <w:szCs w:val="21"/>
              </w:rPr>
              <w:t>含沥青质量</w:t>
            </w:r>
          </w:p>
        </w:tc>
        <w:tc>
          <w:tcPr>
            <w:tcW w:w="1258" w:type="dxa"/>
            <w:vAlign w:val="center"/>
          </w:tcPr>
          <w:p w:rsidR="00F36271" w14:paraId="13414AA4" w14:textId="77777777">
            <w:pPr>
              <w:spacing w:line="276" w:lineRule="auto"/>
              <w:ind w:firstLine="420"/>
              <w:jc w:val="center"/>
              <w:rPr>
                <w:color w:val="000000"/>
                <w:sz w:val="21"/>
                <w:szCs w:val="21"/>
              </w:rPr>
            </w:pPr>
            <w:r>
              <w:rPr>
                <w:color w:val="000000"/>
                <w:sz w:val="21"/>
                <w:szCs w:val="21"/>
              </w:rPr>
              <w:t>1.3%</w:t>
            </w:r>
          </w:p>
        </w:tc>
        <w:tc>
          <w:tcPr>
            <w:tcW w:w="1439" w:type="dxa"/>
            <w:vAlign w:val="center"/>
          </w:tcPr>
          <w:p w:rsidR="00F36271" w14:paraId="4AD92622" w14:textId="77777777">
            <w:pPr>
              <w:spacing w:line="276" w:lineRule="auto"/>
              <w:ind w:firstLine="420"/>
              <w:jc w:val="center"/>
              <w:rPr>
                <w:color w:val="000000"/>
                <w:sz w:val="21"/>
                <w:szCs w:val="21"/>
              </w:rPr>
            </w:pPr>
            <w:r>
              <w:rPr>
                <w:color w:val="000000"/>
                <w:sz w:val="21"/>
                <w:szCs w:val="21"/>
              </w:rPr>
              <w:t>丁烷</w:t>
            </w:r>
          </w:p>
        </w:tc>
        <w:tc>
          <w:tcPr>
            <w:tcW w:w="2080" w:type="dxa"/>
            <w:vAlign w:val="center"/>
          </w:tcPr>
          <w:p w:rsidR="00F36271" w14:paraId="0798B4CE" w14:textId="77777777">
            <w:pPr>
              <w:spacing w:line="276" w:lineRule="auto"/>
              <w:ind w:firstLine="420"/>
              <w:jc w:val="center"/>
              <w:rPr>
                <w:color w:val="000000"/>
                <w:sz w:val="21"/>
                <w:szCs w:val="21"/>
              </w:rPr>
            </w:pPr>
            <w:r>
              <w:rPr>
                <w:color w:val="000000"/>
                <w:sz w:val="21"/>
                <w:szCs w:val="21"/>
              </w:rPr>
              <w:t>3.38</w:t>
            </w:r>
          </w:p>
        </w:tc>
      </w:tr>
    </w:tbl>
    <w:p>
      <w:pPr>
        <w:sectPr>
          <w:headerReference w:type="even" r:id="rId42"/>
          <w:headerReference w:type="default" r:id="rId43"/>
          <w:footerReference w:type="even" r:id="rId44"/>
          <w:footerReference w:type="default" r:id="rId45"/>
          <w:headerReference w:type="first" r:id="rId46"/>
          <w:footerReference w:type="first" r:id="rId47"/>
          <w:endnotePr>
            <w:numFmt w:val="decimal"/>
          </w:endnotePr>
          <w:type w:val="nextPage"/>
          <w:pgSz w:w="11906" w:h="16838"/>
          <w:pgMar w:top="1417" w:right="1701" w:bottom="1417" w:left="1701" w:header="851" w:footer="992" w:gutter="0"/>
          <w:pgNumType w:start="3"/>
          <w:cols w:space="0"/>
          <w:titlePg w:val="0"/>
          <w:docGrid w:type="lines" w:linePitch="326"/>
        </w:sectPr>
      </w:pPr>
    </w:p>
    <w:tbl>
      <w:tblPr>
        <w:tblStyle w:val="TableNormal"/>
        <w:tblW w:w="70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63"/>
        <w:gridCol w:w="1258"/>
        <w:gridCol w:w="1439"/>
        <w:gridCol w:w="2080"/>
      </w:tblGrid>
      <w:tr w14:paraId="5708858D" w14:textId="77777777">
        <w:tblPrEx>
          <w:tblW w:w="70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232"/>
          <w:jc w:val="center"/>
        </w:trPr>
        <w:tc>
          <w:tcPr>
            <w:tcW w:w="2263" w:type="dxa"/>
            <w:vAlign w:val="center"/>
          </w:tcPr>
          <w:p w:rsidR="00F36271" w14:paraId="7267C0F7" w14:textId="77777777">
            <w:pPr>
              <w:spacing w:line="276" w:lineRule="auto"/>
              <w:ind w:firstLine="420"/>
              <w:jc w:val="center"/>
              <w:rPr>
                <w:color w:val="000000"/>
                <w:sz w:val="21"/>
                <w:szCs w:val="21"/>
              </w:rPr>
            </w:pPr>
            <w:r>
              <w:rPr>
                <w:color w:val="000000"/>
                <w:sz w:val="21"/>
                <w:szCs w:val="21"/>
              </w:rPr>
              <w:t>凝固点温度</w:t>
            </w:r>
          </w:p>
        </w:tc>
        <w:tc>
          <w:tcPr>
            <w:tcW w:w="1258" w:type="dxa"/>
            <w:vAlign w:val="center"/>
          </w:tcPr>
          <w:p w:rsidR="00F36271" w14:paraId="1162A5BD" w14:textId="77777777">
            <w:pPr>
              <w:spacing w:line="276" w:lineRule="auto"/>
              <w:ind w:firstLine="420"/>
              <w:jc w:val="center"/>
              <w:rPr>
                <w:color w:val="000000"/>
                <w:sz w:val="21"/>
                <w:szCs w:val="21"/>
              </w:rPr>
            </w:pPr>
            <w:r>
              <w:rPr>
                <w:color w:val="000000"/>
                <w:sz w:val="21"/>
                <w:szCs w:val="21"/>
              </w:rPr>
              <w:t>16</w:t>
            </w:r>
          </w:p>
        </w:tc>
        <w:tc>
          <w:tcPr>
            <w:tcW w:w="1439" w:type="dxa"/>
            <w:vAlign w:val="center"/>
          </w:tcPr>
          <w:p w:rsidR="00F36271" w14:paraId="107D0D9E" w14:textId="77777777">
            <w:pPr>
              <w:spacing w:line="276" w:lineRule="auto"/>
              <w:ind w:firstLine="420"/>
              <w:jc w:val="center"/>
              <w:rPr>
                <w:color w:val="000000"/>
                <w:sz w:val="21"/>
                <w:szCs w:val="21"/>
              </w:rPr>
            </w:pPr>
            <w:r>
              <w:rPr>
                <w:color w:val="000000"/>
                <w:sz w:val="21"/>
                <w:szCs w:val="21"/>
              </w:rPr>
              <w:t>戊烷</w:t>
            </w:r>
          </w:p>
        </w:tc>
        <w:tc>
          <w:tcPr>
            <w:tcW w:w="2080" w:type="dxa"/>
            <w:vAlign w:val="center"/>
          </w:tcPr>
          <w:p w:rsidR="00F36271" w14:paraId="28802497" w14:textId="77777777">
            <w:pPr>
              <w:spacing w:line="276" w:lineRule="auto"/>
              <w:ind w:firstLine="420"/>
              <w:jc w:val="center"/>
              <w:rPr>
                <w:color w:val="000000"/>
                <w:sz w:val="21"/>
                <w:szCs w:val="21"/>
              </w:rPr>
            </w:pPr>
            <w:r>
              <w:rPr>
                <w:color w:val="000000"/>
                <w:sz w:val="21"/>
                <w:szCs w:val="21"/>
              </w:rPr>
              <w:t>2.60</w:t>
            </w:r>
          </w:p>
        </w:tc>
      </w:tr>
      <w:tr w14:paraId="55994F19" w14:textId="77777777">
        <w:tblPrEx>
          <w:tblW w:w="7040" w:type="dxa"/>
          <w:jc w:val="center"/>
          <w:tblLayout w:type="fixed"/>
          <w:tblLook w:val="04A0"/>
        </w:tblPrEx>
        <w:trPr>
          <w:trHeight w:val="293"/>
          <w:jc w:val="center"/>
        </w:trPr>
        <w:tc>
          <w:tcPr>
            <w:tcW w:w="2263" w:type="dxa"/>
            <w:vAlign w:val="center"/>
          </w:tcPr>
          <w:p w:rsidR="00F36271" w14:paraId="7CF8641C" w14:textId="77777777">
            <w:pPr>
              <w:spacing w:line="276" w:lineRule="auto"/>
              <w:ind w:firstLine="420"/>
              <w:jc w:val="center"/>
              <w:rPr>
                <w:color w:val="000000"/>
                <w:sz w:val="21"/>
                <w:szCs w:val="21"/>
              </w:rPr>
            </w:pPr>
            <w:r>
              <w:rPr>
                <w:color w:val="000000"/>
                <w:sz w:val="21"/>
                <w:szCs w:val="21"/>
              </w:rPr>
              <w:t>初馏点温度</w:t>
            </w:r>
          </w:p>
        </w:tc>
        <w:tc>
          <w:tcPr>
            <w:tcW w:w="1258" w:type="dxa"/>
            <w:vAlign w:val="center"/>
          </w:tcPr>
          <w:p w:rsidR="00F36271" w14:paraId="602589F8" w14:textId="77777777">
            <w:pPr>
              <w:spacing w:line="276" w:lineRule="auto"/>
              <w:ind w:firstLine="420"/>
              <w:jc w:val="center"/>
              <w:rPr>
                <w:color w:val="000000"/>
                <w:sz w:val="21"/>
                <w:szCs w:val="21"/>
              </w:rPr>
            </w:pPr>
            <w:r>
              <w:rPr>
                <w:color w:val="000000"/>
                <w:sz w:val="21"/>
                <w:szCs w:val="21"/>
              </w:rPr>
              <w:t>97</w:t>
            </w:r>
          </w:p>
        </w:tc>
        <w:tc>
          <w:tcPr>
            <w:tcW w:w="1439" w:type="dxa"/>
            <w:vAlign w:val="center"/>
          </w:tcPr>
          <w:p w:rsidR="00F36271" w14:paraId="1B2ADC6B" w14:textId="77777777">
            <w:pPr>
              <w:spacing w:line="276" w:lineRule="auto"/>
              <w:ind w:firstLine="420"/>
              <w:jc w:val="center"/>
              <w:rPr>
                <w:color w:val="000000"/>
                <w:sz w:val="21"/>
                <w:szCs w:val="21"/>
              </w:rPr>
            </w:pPr>
            <w:r>
              <w:rPr>
                <w:color w:val="000000"/>
                <w:sz w:val="21"/>
                <w:szCs w:val="21"/>
              </w:rPr>
              <w:t>己烷</w:t>
            </w:r>
          </w:p>
        </w:tc>
        <w:tc>
          <w:tcPr>
            <w:tcW w:w="2080" w:type="dxa"/>
            <w:vAlign w:val="center"/>
          </w:tcPr>
          <w:p w:rsidR="00F36271" w14:paraId="5656A8DF" w14:textId="77777777">
            <w:pPr>
              <w:spacing w:line="276" w:lineRule="auto"/>
              <w:ind w:firstLine="420"/>
              <w:jc w:val="center"/>
              <w:rPr>
                <w:color w:val="000000"/>
                <w:sz w:val="21"/>
                <w:szCs w:val="21"/>
              </w:rPr>
            </w:pPr>
            <w:r>
              <w:rPr>
                <w:color w:val="000000"/>
                <w:sz w:val="21"/>
                <w:szCs w:val="21"/>
              </w:rPr>
              <w:t>0.09</w:t>
            </w:r>
          </w:p>
        </w:tc>
      </w:tr>
      <w:tr w14:paraId="312673E9" w14:textId="77777777">
        <w:tblPrEx>
          <w:tblW w:w="7040" w:type="dxa"/>
          <w:jc w:val="center"/>
          <w:tblLayout w:type="fixed"/>
          <w:tblLook w:val="04A0"/>
        </w:tblPrEx>
        <w:trPr>
          <w:trHeight w:val="446"/>
          <w:jc w:val="center"/>
        </w:trPr>
        <w:tc>
          <w:tcPr>
            <w:tcW w:w="2263" w:type="dxa"/>
            <w:vAlign w:val="center"/>
          </w:tcPr>
          <w:p w:rsidR="00F36271" w14:paraId="757C54FC" w14:textId="77777777">
            <w:pPr>
              <w:spacing w:line="276" w:lineRule="auto"/>
              <w:ind w:firstLine="420"/>
              <w:jc w:val="center"/>
              <w:rPr>
                <w:color w:val="000000"/>
                <w:sz w:val="21"/>
                <w:szCs w:val="21"/>
              </w:rPr>
            </w:pPr>
            <w:r>
              <w:rPr>
                <w:color w:val="000000"/>
                <w:sz w:val="21"/>
                <w:szCs w:val="21"/>
              </w:rPr>
              <w:t>平均气油比</w:t>
            </w:r>
          </w:p>
        </w:tc>
        <w:tc>
          <w:tcPr>
            <w:tcW w:w="1258" w:type="dxa"/>
            <w:vAlign w:val="center"/>
          </w:tcPr>
          <w:p w:rsidR="00F36271" w14:paraId="3DD53EC2" w14:textId="77777777">
            <w:pPr>
              <w:spacing w:line="276" w:lineRule="auto"/>
              <w:ind w:firstLine="420"/>
              <w:jc w:val="center"/>
              <w:rPr>
                <w:color w:val="000000"/>
                <w:sz w:val="21"/>
                <w:szCs w:val="21"/>
              </w:rPr>
            </w:pPr>
            <w:r>
              <w:rPr>
                <w:color w:val="000000"/>
                <w:sz w:val="21"/>
                <w:szCs w:val="21"/>
              </w:rPr>
              <w:t>128</w:t>
            </w:r>
          </w:p>
        </w:tc>
        <w:tc>
          <w:tcPr>
            <w:tcW w:w="1439" w:type="dxa"/>
            <w:vAlign w:val="center"/>
          </w:tcPr>
          <w:p w:rsidR="00F36271" w14:paraId="38D57204" w14:textId="77777777">
            <w:pPr>
              <w:spacing w:line="276" w:lineRule="auto"/>
              <w:ind w:firstLine="420"/>
              <w:jc w:val="center"/>
              <w:rPr>
                <w:color w:val="000000"/>
                <w:sz w:val="21"/>
                <w:szCs w:val="21"/>
              </w:rPr>
            </w:pPr>
            <w:r>
              <w:rPr>
                <w:color w:val="000000"/>
                <w:sz w:val="21"/>
                <w:szCs w:val="21"/>
              </w:rPr>
              <w:t>庚烷</w:t>
            </w:r>
          </w:p>
        </w:tc>
        <w:tc>
          <w:tcPr>
            <w:tcW w:w="2080" w:type="dxa"/>
            <w:vAlign w:val="center"/>
          </w:tcPr>
          <w:p w:rsidR="00F36271" w14:paraId="6F83DF9D" w14:textId="77777777">
            <w:pPr>
              <w:spacing w:line="276" w:lineRule="auto"/>
              <w:ind w:firstLine="420"/>
              <w:jc w:val="center"/>
              <w:rPr>
                <w:color w:val="000000"/>
                <w:sz w:val="21"/>
                <w:szCs w:val="21"/>
              </w:rPr>
            </w:pPr>
            <w:r>
              <w:rPr>
                <w:color w:val="000000"/>
                <w:sz w:val="21"/>
                <w:szCs w:val="21"/>
              </w:rPr>
              <w:t>0.26</w:t>
            </w:r>
          </w:p>
        </w:tc>
      </w:tr>
      <w:tr w14:paraId="5D9BB0BA" w14:textId="77777777">
        <w:tblPrEx>
          <w:tblW w:w="7040" w:type="dxa"/>
          <w:jc w:val="center"/>
          <w:tblLayout w:type="fixed"/>
          <w:tblLook w:val="04A0"/>
        </w:tblPrEx>
        <w:trPr>
          <w:trHeight w:val="446"/>
          <w:jc w:val="center"/>
        </w:trPr>
        <w:tc>
          <w:tcPr>
            <w:tcW w:w="2263" w:type="dxa"/>
            <w:vMerge w:val="restart"/>
            <w:vAlign w:val="center"/>
          </w:tcPr>
          <w:p w:rsidR="00F36271" w14:paraId="2B397E73" w14:textId="77777777">
            <w:pPr>
              <w:spacing w:line="276" w:lineRule="auto"/>
              <w:ind w:firstLine="420"/>
              <w:jc w:val="center"/>
              <w:rPr>
                <w:color w:val="000000"/>
                <w:sz w:val="21"/>
                <w:szCs w:val="21"/>
              </w:rPr>
            </w:pPr>
            <w:r>
              <w:rPr>
                <w:color w:val="000000"/>
                <w:sz w:val="21"/>
                <w:szCs w:val="21"/>
              </w:rPr>
              <w:t>在五十摄氏度的动力粘度</w:t>
            </w:r>
          </w:p>
        </w:tc>
        <w:tc>
          <w:tcPr>
            <w:tcW w:w="1258" w:type="dxa"/>
            <w:vMerge w:val="restart"/>
            <w:vAlign w:val="center"/>
          </w:tcPr>
          <w:p w:rsidR="00F36271" w14:paraId="57B4BC38" w14:textId="77777777">
            <w:pPr>
              <w:spacing w:line="276" w:lineRule="auto"/>
              <w:ind w:firstLine="420"/>
              <w:jc w:val="center"/>
              <w:rPr>
                <w:color w:val="000000"/>
                <w:sz w:val="21"/>
                <w:szCs w:val="21"/>
              </w:rPr>
            </w:pPr>
            <w:r>
              <w:rPr>
                <w:color w:val="000000"/>
                <w:sz w:val="21"/>
                <w:szCs w:val="21"/>
              </w:rPr>
              <w:t xml:space="preserve">80.26 </w:t>
            </w:r>
          </w:p>
        </w:tc>
        <w:tc>
          <w:tcPr>
            <w:tcW w:w="1439" w:type="dxa"/>
            <w:vAlign w:val="center"/>
          </w:tcPr>
          <w:p w:rsidR="00F36271" w14:paraId="4BA5A442" w14:textId="77777777">
            <w:pPr>
              <w:spacing w:line="276" w:lineRule="auto"/>
              <w:ind w:firstLine="420"/>
              <w:jc w:val="center"/>
              <w:rPr>
                <w:color w:val="000000"/>
                <w:sz w:val="21"/>
                <w:szCs w:val="21"/>
              </w:rPr>
            </w:pPr>
            <w:r>
              <w:rPr>
                <w:color w:val="000000"/>
                <w:sz w:val="21"/>
                <w:szCs w:val="21"/>
              </w:rPr>
              <w:t>辛烷</w:t>
            </w:r>
          </w:p>
        </w:tc>
        <w:tc>
          <w:tcPr>
            <w:tcW w:w="2080" w:type="dxa"/>
            <w:vAlign w:val="center"/>
          </w:tcPr>
          <w:p w:rsidR="00F36271" w14:paraId="2C9B51BE" w14:textId="77777777">
            <w:pPr>
              <w:spacing w:line="276" w:lineRule="auto"/>
              <w:ind w:firstLine="420"/>
              <w:jc w:val="center"/>
              <w:rPr>
                <w:color w:val="000000"/>
                <w:sz w:val="21"/>
                <w:szCs w:val="21"/>
              </w:rPr>
            </w:pPr>
            <w:r>
              <w:rPr>
                <w:color w:val="000000"/>
                <w:sz w:val="21"/>
                <w:szCs w:val="21"/>
              </w:rPr>
              <w:t>0.20</w:t>
            </w:r>
          </w:p>
        </w:tc>
      </w:tr>
      <w:tr w14:paraId="4BF81580" w14:textId="77777777">
        <w:tblPrEx>
          <w:tblW w:w="7040" w:type="dxa"/>
          <w:jc w:val="center"/>
          <w:tblLayout w:type="fixed"/>
          <w:tblLook w:val="04A0"/>
        </w:tblPrEx>
        <w:trPr>
          <w:trHeight w:val="269"/>
          <w:jc w:val="center"/>
        </w:trPr>
        <w:tc>
          <w:tcPr>
            <w:tcW w:w="2263" w:type="dxa"/>
            <w:vMerge/>
            <w:vAlign w:val="center"/>
          </w:tcPr>
          <w:p w:rsidR="00F36271" w14:paraId="38D7AD15" w14:textId="77777777">
            <w:pPr>
              <w:spacing w:line="380" w:lineRule="atLeast"/>
              <w:ind w:firstLine="420"/>
              <w:jc w:val="center"/>
              <w:rPr>
                <w:color w:val="000000"/>
                <w:sz w:val="21"/>
                <w:szCs w:val="21"/>
              </w:rPr>
            </w:pPr>
          </w:p>
        </w:tc>
        <w:tc>
          <w:tcPr>
            <w:tcW w:w="1258" w:type="dxa"/>
            <w:vMerge/>
            <w:vAlign w:val="center"/>
          </w:tcPr>
          <w:p w:rsidR="00F36271" w14:paraId="4517CC7B" w14:textId="77777777">
            <w:pPr>
              <w:spacing w:line="380" w:lineRule="atLeast"/>
              <w:ind w:firstLine="420"/>
              <w:jc w:val="center"/>
              <w:rPr>
                <w:color w:val="000000"/>
                <w:sz w:val="21"/>
                <w:szCs w:val="21"/>
              </w:rPr>
            </w:pPr>
          </w:p>
        </w:tc>
        <w:tc>
          <w:tcPr>
            <w:tcW w:w="1439" w:type="dxa"/>
            <w:vAlign w:val="center"/>
          </w:tcPr>
          <w:p w:rsidR="00F36271" w14:paraId="3D0C59F5" w14:textId="77777777">
            <w:pPr>
              <w:spacing w:line="276" w:lineRule="auto"/>
              <w:ind w:firstLine="420"/>
              <w:jc w:val="center"/>
              <w:rPr>
                <w:color w:val="000000"/>
                <w:sz w:val="21"/>
                <w:szCs w:val="21"/>
              </w:rPr>
            </w:pPr>
            <w:r>
              <w:rPr>
                <w:color w:val="000000"/>
                <w:sz w:val="21"/>
                <w:szCs w:val="21"/>
              </w:rPr>
              <w:t>氮气</w:t>
            </w:r>
          </w:p>
        </w:tc>
        <w:tc>
          <w:tcPr>
            <w:tcW w:w="2080" w:type="dxa"/>
            <w:vAlign w:val="center"/>
          </w:tcPr>
          <w:p w:rsidR="00F36271" w14:paraId="1DE3EC97" w14:textId="77777777">
            <w:pPr>
              <w:spacing w:line="276" w:lineRule="auto"/>
              <w:ind w:firstLine="420"/>
              <w:jc w:val="center"/>
              <w:rPr>
                <w:color w:val="000000"/>
                <w:sz w:val="21"/>
                <w:szCs w:val="21"/>
              </w:rPr>
            </w:pPr>
            <w:r>
              <w:rPr>
                <w:color w:val="000000"/>
                <w:sz w:val="21"/>
                <w:szCs w:val="21"/>
              </w:rPr>
              <w:t>1.7</w:t>
            </w:r>
          </w:p>
        </w:tc>
      </w:tr>
    </w:tbl>
    <w:p w:rsidR="00F36271" w14:paraId="075DB5A2" w14:textId="77777777">
      <w:pPr>
        <w:sectPr>
          <w:headerReference w:type="even" r:id="rId48"/>
          <w:headerReference w:type="default" r:id="rId49"/>
          <w:footerReference w:type="even" r:id="rId50"/>
          <w:footerReference w:type="default" r:id="rId51"/>
          <w:headerReference w:type="first" r:id="rId52"/>
          <w:footerReference w:type="first" r:id="rId53"/>
          <w:endnotePr>
            <w:numFmt w:val="decimal"/>
          </w:endnotePr>
          <w:type w:val="nextPage"/>
          <w:pgSz w:w="11906" w:h="16838"/>
          <w:pgMar w:top="1417" w:right="1701" w:bottom="1417" w:left="1701" w:header="851" w:footer="992" w:gutter="0"/>
          <w:pgNumType w:start="4"/>
          <w:cols w:space="0"/>
          <w:titlePg w:val="0"/>
          <w:docGrid w:type="lines" w:linePitch="326"/>
        </w:sectPr>
      </w:pPr>
    </w:p>
    <w:p w:rsidR="00F36271" w14:paraId="310DAB12" w14:textId="77777777">
      <w:pPr>
        <w:pStyle w:val="Heading1"/>
        <w:numPr>
          <w:ilvl w:val="0"/>
          <w:numId w:val="1"/>
        </w:numPr>
      </w:pPr>
      <w:r>
        <w:rPr>
          <w:rFonts w:hint="eastAsia"/>
        </w:rPr>
        <w:t>总平面布置</w:t>
      </w:r>
    </w:p>
    <w:p w:rsidR="00F36271" w14:paraId="74689340" w14:textId="77777777">
      <w:pPr>
        <w:pStyle w:val="Heading2"/>
        <w:spacing w:before="163"/>
      </w:pPr>
      <w:r>
        <w:rPr>
          <w:rFonts w:hint="eastAsia"/>
        </w:rPr>
        <w:t>2.1</w:t>
      </w:r>
      <w:r>
        <w:rPr>
          <w:rFonts w:hint="eastAsia"/>
        </w:rPr>
        <w:t>总图布置原则</w:t>
      </w:r>
    </w:p>
    <w:p w:rsidR="00F36271" w14:paraId="6AE5E38D" w14:textId="77777777">
      <w:r>
        <w:rPr>
          <w:rFonts w:hint="eastAsia"/>
        </w:rPr>
        <w:t>(1)</w:t>
      </w:r>
      <w:r>
        <w:rPr>
          <w:rFonts w:hint="eastAsia"/>
        </w:rPr>
        <w:t>便于收发作业，油库装卸和发放区要尽可能地靠近交通线，使铁路专用线</w:t>
      </w:r>
    </w:p>
    <w:p w:rsidR="00F36271" w14:paraId="1057883E" w14:textId="77777777">
      <w:r>
        <w:rPr>
          <w:rFonts w:hint="eastAsia"/>
        </w:rPr>
        <w:t>和公路支线较短</w:t>
      </w:r>
      <w:r>
        <w:rPr>
          <w:rFonts w:hint="eastAsia"/>
        </w:rPr>
        <w:t>;</w:t>
      </w:r>
    </w:p>
    <w:p w:rsidR="00F36271" w14:paraId="09127B48" w14:textId="77777777">
      <w:r>
        <w:rPr>
          <w:rFonts w:hint="eastAsia"/>
        </w:rPr>
        <w:t>(2</w:t>
      </w:r>
      <w:r>
        <w:rPr>
          <w:rFonts w:hint="eastAsia"/>
        </w:rPr>
        <w:t>）库内油品尽量做到单向流动，避免在库内往返交叉</w:t>
      </w:r>
      <w:r>
        <w:rPr>
          <w:rFonts w:hint="eastAsia"/>
        </w:rPr>
        <w:t>;</w:t>
      </w:r>
    </w:p>
    <w:p w:rsidR="00F36271" w14:paraId="25103AF2" w14:textId="77777777">
      <w:r>
        <w:rPr>
          <w:rFonts w:hint="eastAsia"/>
        </w:rPr>
        <w:t>(3</w:t>
      </w:r>
      <w:r>
        <w:rPr>
          <w:rFonts w:hint="eastAsia"/>
        </w:rPr>
        <w:t>）合理分区，以便于各种作业安全生产，避免非生产人员来往于工作区域，特别是储油区和装卸区。</w:t>
      </w:r>
    </w:p>
    <w:p w:rsidR="00F36271" w14:paraId="7AB21BD2" w14:textId="77777777">
      <w:r>
        <w:rPr>
          <w:rFonts w:hint="eastAsia"/>
        </w:rPr>
        <w:t>(4)</w:t>
      </w:r>
      <w:r>
        <w:rPr>
          <w:rFonts w:hint="eastAsia"/>
        </w:rPr>
        <w:t>库内布置的各种设施，必须符合防火、卫生等有关设计规范，确保油库安全。同时应力求布置紧凑，减少用地</w:t>
      </w:r>
      <w:r>
        <w:rPr>
          <w:rFonts w:hint="eastAsia"/>
        </w:rPr>
        <w:t>;</w:t>
      </w:r>
    </w:p>
    <w:p w:rsidR="00F36271" w14:paraId="1DE23330" w14:textId="77777777">
      <w:r>
        <w:rPr>
          <w:rFonts w:hint="eastAsia"/>
        </w:rPr>
        <w:t>(5)</w:t>
      </w:r>
      <w:r>
        <w:rPr>
          <w:rFonts w:hint="eastAsia"/>
        </w:rPr>
        <w:t>变配电间等辅助设施尽量靠近主要用电用</w:t>
      </w:r>
      <w:r>
        <w:rPr>
          <w:rFonts w:hint="eastAsia"/>
        </w:rPr>
        <w:t>汽单位</w:t>
      </w:r>
      <w:r>
        <w:rPr>
          <w:rFonts w:hint="eastAsia"/>
        </w:rPr>
        <w:t>,</w:t>
      </w:r>
      <w:r>
        <w:rPr>
          <w:rFonts w:hint="eastAsia"/>
        </w:rPr>
        <w:t>以节省投资和经营费用</w:t>
      </w:r>
      <w:r>
        <w:rPr>
          <w:rFonts w:hint="eastAsia"/>
        </w:rPr>
        <w:t>;</w:t>
      </w:r>
    </w:p>
    <w:p w:rsidR="00F36271" w14:paraId="09D2817F" w14:textId="77777777">
      <w:r>
        <w:rPr>
          <w:rFonts w:hint="eastAsia"/>
        </w:rPr>
        <w:t>(6</w:t>
      </w:r>
      <w:r>
        <w:rPr>
          <w:rFonts w:hint="eastAsia"/>
        </w:rPr>
        <w:t>）尽可能利用地形进行自流作业</w:t>
      </w:r>
      <w:r>
        <w:rPr>
          <w:rFonts w:hint="eastAsia"/>
        </w:rPr>
        <w:t>;</w:t>
      </w:r>
    </w:p>
    <w:p w:rsidR="00F36271" w14:paraId="6BBE9C6E" w14:textId="77777777">
      <w:r>
        <w:rPr>
          <w:rFonts w:hint="eastAsia"/>
        </w:rPr>
        <w:t>(7</w:t>
      </w:r>
      <w:r>
        <w:rPr>
          <w:rFonts w:hint="eastAsia"/>
        </w:rPr>
        <w:t>〉</w:t>
      </w:r>
      <w:r>
        <w:rPr>
          <w:rFonts w:hint="eastAsia"/>
        </w:rPr>
        <w:t>油库对外单位要设置在靠近发放区的地方，以便提货人员联系</w:t>
      </w:r>
      <w:r>
        <w:rPr>
          <w:rFonts w:hint="eastAsia"/>
        </w:rPr>
        <w:t>;</w:t>
      </w:r>
    </w:p>
    <w:p w:rsidR="00F36271" w14:paraId="0A842A1D" w14:textId="77777777">
      <w:pPr>
        <w:numPr>
          <w:ilvl w:val="0"/>
          <w:numId w:val="2"/>
        </w:numPr>
      </w:pPr>
      <w:r>
        <w:rPr>
          <w:rFonts w:hint="eastAsia"/>
        </w:rPr>
        <w:t>考虑到油库的今后发展，应适当留有扩建余地；</w:t>
      </w:r>
    </w:p>
    <w:p w:rsidR="00F36271" w14:paraId="0B5061A5" w14:textId="77777777">
      <w:pPr>
        <w:numPr>
          <w:ilvl w:val="0"/>
          <w:numId w:val="2"/>
        </w:numPr>
      </w:pPr>
      <w:r>
        <w:rPr>
          <w:rFonts w:hint="eastAsia"/>
        </w:rPr>
        <w:t>充分利用地形，做好隐蔽工作。</w:t>
      </w:r>
    </w:p>
    <w:p w:rsidR="00F36271" w14:paraId="25BEB8E1" w14:textId="77777777">
      <w:pPr>
        <w:pStyle w:val="Heading2"/>
        <w:spacing w:before="163"/>
      </w:pPr>
      <w:r>
        <w:rPr>
          <w:rFonts w:hint="eastAsia"/>
        </w:rPr>
        <w:t xml:space="preserve">2.2 </w:t>
      </w:r>
      <w:r>
        <w:rPr>
          <w:rFonts w:hint="eastAsia"/>
        </w:rPr>
        <w:t>平面布置</w:t>
      </w:r>
      <w:r>
        <w:rPr>
          <w:rFonts w:hint="eastAsia"/>
        </w:rPr>
        <w:t xml:space="preserve">                            </w:t>
      </w:r>
    </w:p>
    <w:p w:rsidR="00F36271" w14:paraId="20C76396" w14:textId="77777777">
      <w:r>
        <w:t>(1</w:t>
      </w:r>
      <w:r>
        <w:t>）铁路装卸区</w:t>
      </w:r>
    </w:p>
    <w:p w:rsidR="00F36271" w14:paraId="1C442EC9" w14:textId="77777777">
      <w:r>
        <w:t>铁路</w:t>
      </w:r>
      <w:r>
        <w:t>装卸区宜布置</w:t>
      </w:r>
      <w:r>
        <w:t>在油库的边缘地带</w:t>
      </w:r>
      <w:r>
        <w:t>,</w:t>
      </w:r>
      <w:r>
        <w:t>以避免铁路油罐车的进出影响其他各分区的操作和管理，也减少铁路与库内道路的交叉，有利于安全与消防。</w:t>
      </w:r>
    </w:p>
    <w:p w:rsidR="00F36271" w14:paraId="7EC39ED2" w14:textId="77777777">
      <w:r>
        <w:t>(2</w:t>
      </w:r>
      <w:r>
        <w:t>）水运装卸区</w:t>
      </w:r>
    </w:p>
    <w:p w:rsidR="00F36271" w14:paraId="31B0DB45" w14:textId="77777777">
      <w:r>
        <w:t>水运</w:t>
      </w:r>
      <w:r>
        <w:t>装卸区宜布置</w:t>
      </w:r>
      <w:r>
        <w:t>在港口的边缘地区和下游，其作业区独立设置。</w:t>
      </w:r>
    </w:p>
    <w:p w:rsidR="00F36271" w14:paraId="68D8BF01" w14:textId="77777777">
      <w:r>
        <w:t>(3</w:t>
      </w:r>
      <w:r>
        <w:t>）公路装卸区</w:t>
      </w:r>
    </w:p>
    <w:p w:rsidR="00F36271" w14:paraId="5E247A81" w14:textId="77777777">
      <w:r>
        <w:t>油库的公路装卸区应布置在库外面向公路的一侧</w:t>
      </w:r>
      <w:r>
        <w:t>,</w:t>
      </w:r>
      <w:r>
        <w:t>并单独设出入口与库外公路相连接。</w:t>
      </w:r>
    </w:p>
    <w:p w:rsidR="00F36271" w14:paraId="387C8B58" w14:textId="77777777">
      <w:r>
        <w:t>(4)</w:t>
      </w:r>
      <w:r>
        <w:t>储油区</w:t>
      </w:r>
    </w:p>
    <w:p w:rsidR="00F36271" w14:paraId="1CFA78B3" w14:textId="77777777">
      <w:r>
        <w:t>储油区的位置在工艺上应使收发油的作业比较方便</w:t>
      </w:r>
      <w:r>
        <w:t>,</w:t>
      </w:r>
      <w:r>
        <w:t>油品流向合理</w:t>
      </w:r>
      <w:r>
        <w:t>,</w:t>
      </w:r>
      <w:r>
        <w:t>输油线路短。</w:t>
      </w:r>
    </w:p>
    <w:p w:rsidR="00F36271" w14:paraId="4FF53AAD" w14:textId="77777777">
      <w:r>
        <w:t>(5</w:t>
      </w:r>
      <w:r>
        <w:t>）辅助生产区</w:t>
      </w:r>
    </w:p>
    <w:p w:rsidR="00F36271" w14:paraId="0DD8DBE9" w14:textId="77777777">
      <w:r>
        <w:t>辅助生产区是为生产服务的，但在操作上亦有其独立体系，一般将其集中布置，形成辅助生产区以便管理，又能保证安全。</w:t>
      </w:r>
    </w:p>
    <w:p w:rsidR="00F36271" w14:paraId="5379440C" w14:textId="77777777">
      <w:r>
        <w:t>(6</w:t>
      </w:r>
      <w:r>
        <w:t>）行政管理区</w:t>
      </w:r>
    </w:p>
    <w:p w:rsidR="00F36271" w14:paraId="6E34685B" w14:textId="77777777">
      <w:r>
        <w:t>行政管理区宜设</w:t>
      </w:r>
      <w:r>
        <w:t>围墙与其他各区隔开，并设有单的出入口。</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https://d.book118.com/956153013054010100</w:t>
        </w:r>
      </w:hyperlink>
    </w:p>
    <w:p w:rsidR="00F36271"/>
    <w:sectPr>
      <w:headerReference w:type="even" r:id="rId55"/>
      <w:headerReference w:type="default" r:id="rId56"/>
      <w:footerReference w:type="even" r:id="rId57"/>
      <w:footerReference w:type="default" r:id="rId58"/>
      <w:headerReference w:type="first" r:id="rId59"/>
      <w:footerReference w:type="first" r:id="rId60"/>
      <w:endnotePr>
        <w:numFmt w:val="decimal"/>
      </w:endnotePr>
      <w:type w:val="nextPage"/>
      <w:pgSz w:w="11906" w:h="16838"/>
      <w:pgMar w:top="1417" w:right="1701" w:bottom="1417" w:left="1701" w:header="851" w:footer="992" w:gutter="0"/>
      <w:pgNumType w:start="5"/>
      <w:cols w:space="0"/>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paraId="49ADB3C3" w14:textId="77777777">
    <w:pPr>
      <w:pStyle w:val="Footer"/>
      <w:ind w:firstLine="360"/>
      <w:jc w:val="center"/>
    </w:pPr>
  </w:p>
  <w:p w:rsidR="00F36271" w14:paraId="27D62213"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paraId="10C58A80"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paraId="67044260"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6909078"/>
      <w:richText/>
    </w:sdtPr>
    <w:sdtContent>
      <w:p w:rsidR="00F36271" w14:paraId="0C0BA3E3" w14:textId="77777777">
        <w:pPr>
          <w:pStyle w:val="Footer"/>
          <w:ind w:firstLine="360"/>
          <w:jc w:val="center"/>
        </w:pPr>
        <w:r>
          <w:fldChar w:fldCharType="begin"/>
        </w:r>
        <w:r>
          <w:instrText>PAGE   \* MERGEFORMAT</w:instrText>
        </w:r>
        <w:r>
          <w:fldChar w:fldCharType="separate"/>
        </w:r>
        <w:r>
          <w:rPr>
            <w:lang w:val="zh-CN"/>
          </w:rPr>
          <w:t>18</w:t>
        </w:r>
        <w:r>
          <w:fldChar w:fldCharType="end"/>
        </w:r>
      </w:p>
    </w:sdtContent>
  </w:sdt>
  <w:p w:rsidR="00F36271" w14:paraId="359AEDE4"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1697662"/>
      <w:richText/>
    </w:sdtPr>
    <w:sdtContent>
      <w:p w:rsidR="00F36271" w14:paraId="41D74AA1" w14:textId="77777777">
        <w:pPr>
          <w:pStyle w:val="Footer"/>
          <w:ind w:firstLine="360"/>
          <w:jc w:val="center"/>
        </w:pPr>
        <w:r>
          <w:fldChar w:fldCharType="begin"/>
        </w:r>
        <w:r>
          <w:instrText>PAGE   \* MERGEFORMAT</w:instrText>
        </w:r>
        <w:r>
          <w:fldChar w:fldCharType="separate"/>
        </w:r>
        <w:r>
          <w:rPr>
            <w:lang w:val="zh-CN"/>
          </w:rPr>
          <w:t>I</w:t>
        </w:r>
        <w:r>
          <w:fldChar w:fldCharType="end"/>
        </w:r>
      </w:p>
    </w:sdtContent>
  </w:sdt>
  <w:p w:rsidR="00F36271" w14:paraId="7B56CB77"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1833637"/>
      <w:richText/>
    </w:sdtPr>
    <w:sdtContent>
      <w:p w:rsidR="00F36271" w14:textId="77777777">
        <w:pPr>
          <w:pStyle w:val="Footer"/>
          <w:ind w:firstLine="360"/>
          <w:jc w:val="center"/>
        </w:pPr>
        <w:r>
          <w:fldChar w:fldCharType="begin"/>
        </w:r>
        <w:r>
          <w:instrText>PAGE   \* MERGEFORMAT</w:instrText>
        </w:r>
        <w:r>
          <w:fldChar w:fldCharType="separate"/>
        </w:r>
        <w:r>
          <w:rPr>
            <w:lang w:val="zh-CN"/>
          </w:rPr>
          <w:t>II</w:t>
        </w:r>
        <w:r>
          <w:fldChar w:fldCharType="end"/>
        </w:r>
      </w:p>
    </w:sdtContent>
  </w:sdt>
  <w:p w:rsidR="00F36271"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1725133"/>
      <w:richText/>
    </w:sdtPr>
    <w:sdtContent>
      <w:p w:rsidR="00F36271" w14:textId="77777777">
        <w:pPr>
          <w:pStyle w:val="Footer"/>
          <w:ind w:firstLine="360"/>
          <w:jc w:val="center"/>
        </w:pPr>
        <w:r>
          <w:fldChar w:fldCharType="begin"/>
        </w:r>
        <w:r>
          <w:instrText>PAGE   \* MERGEFORMAT</w:instrText>
        </w:r>
        <w:r>
          <w:fldChar w:fldCharType="separate"/>
        </w:r>
        <w:r>
          <w:rPr>
            <w:lang w:val="zh-CN"/>
          </w:rPr>
          <w:t>I</w:t>
        </w:r>
        <w:r>
          <w:fldChar w:fldCharType="end"/>
        </w:r>
      </w:p>
    </w:sdtContent>
  </w:sdt>
  <w:p w:rsidR="00F36271"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888737"/>
      <w:richText/>
    </w:sdtPr>
    <w:sdtContent>
      <w:p w:rsidR="00F36271" w14:textId="77777777">
        <w:pPr>
          <w:pStyle w:val="Footer"/>
          <w:ind w:firstLine="360"/>
          <w:jc w:val="center"/>
        </w:pPr>
        <w:r>
          <w:fldChar w:fldCharType="begin"/>
        </w:r>
        <w:r>
          <w:instrText>PAGE   \* MERGEFORMAT</w:instrText>
        </w:r>
        <w:r>
          <w:fldChar w:fldCharType="separate"/>
        </w:r>
        <w:r>
          <w:rPr>
            <w:lang w:val="zh-CN"/>
          </w:rPr>
          <w:t>18</w:t>
        </w:r>
        <w:r>
          <w:fldChar w:fldCharType="end"/>
        </w:r>
      </w:p>
    </w:sdtContent>
  </w:sdt>
  <w:p w:rsidR="00F36271"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2381973"/>
      <w:richText/>
    </w:sdtPr>
    <w:sdtContent>
      <w:p w:rsidR="00F36271" w14:paraId="687A7D80" w14:textId="77777777">
        <w:pPr>
          <w:pStyle w:val="Footer"/>
          <w:ind w:firstLine="360"/>
          <w:jc w:val="center"/>
        </w:pPr>
        <w:r>
          <w:fldChar w:fldCharType="begin"/>
        </w:r>
        <w:r>
          <w:instrText>PAGE   \* MERGEFORMAT</w:instrText>
        </w:r>
        <w:r>
          <w:fldChar w:fldCharType="separate"/>
        </w:r>
        <w:r>
          <w:rPr>
            <w:lang w:val="zh-CN"/>
          </w:rPr>
          <w:t>1</w:t>
        </w:r>
        <w:r>
          <w:fldChar w:fldCharType="end"/>
        </w:r>
      </w:p>
    </w:sdtContent>
  </w:sdt>
  <w:p w:rsidR="00F36271" w14:paraId="3E2D8B7D" w14:textId="77777777">
    <w:pPr>
      <w:pStyle w:val="Footer"/>
      <w:tabs>
        <w:tab w:val="clear" w:pos="4153"/>
        <w:tab w:val="center" w:pos="4252"/>
        <w:tab w:val="clear" w:pos="8306"/>
      </w:tabs>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5410671"/>
      <w:richText/>
    </w:sdtPr>
    <w:sdtContent>
      <w:p w:rsidR="00F36271" w14:textId="77777777">
        <w:pPr>
          <w:pStyle w:val="Footer"/>
          <w:ind w:firstLine="360"/>
          <w:jc w:val="center"/>
        </w:pPr>
        <w:r>
          <w:fldChar w:fldCharType="begin"/>
        </w:r>
        <w:r>
          <w:instrText>PAGE   \* MERGEFORMAT</w:instrText>
        </w:r>
        <w:r>
          <w:fldChar w:fldCharType="separate"/>
        </w:r>
        <w:r>
          <w:rPr>
            <w:lang w:val="zh-CN"/>
          </w:rPr>
          <w:t>18</w:t>
        </w:r>
        <w:r>
          <w:fldChar w:fldCharType="end"/>
        </w:r>
      </w:p>
    </w:sdtContent>
  </w:sdt>
  <w:p w:rsidR="00F36271" w14:textId="77777777">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2375732"/>
      <w:richText/>
    </w:sdtPr>
    <w:sdtContent>
      <w:p w:rsidR="00F36271" w14:textId="77777777">
        <w:pPr>
          <w:pStyle w:val="Footer"/>
          <w:ind w:firstLine="360"/>
          <w:jc w:val="center"/>
        </w:pPr>
        <w:r>
          <w:fldChar w:fldCharType="begin"/>
        </w:r>
        <w:r>
          <w:instrText>PAGE   \* MERGEFORMAT</w:instrText>
        </w:r>
        <w:r>
          <w:fldChar w:fldCharType="separate"/>
        </w:r>
        <w:r>
          <w:rPr>
            <w:lang w:val="zh-CN"/>
          </w:rPr>
          <w:t>17</w:t>
        </w:r>
        <w:r>
          <w:fldChar w:fldCharType="end"/>
        </w:r>
      </w:p>
    </w:sdtContent>
  </w:sdt>
  <w:p w:rsidR="00F36271" w14:textId="77777777">
    <w:pPr>
      <w:pStyle w:val="Footer"/>
      <w:tabs>
        <w:tab w:val="clear" w:pos="4153"/>
        <w:tab w:val="center" w:pos="4252"/>
        <w:tab w:val="clear" w:pos="8306"/>
      </w:tabs>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5918015"/>
      <w:richText/>
    </w:sdtPr>
    <w:sdtContent>
      <w:p w:rsidR="00F36271" w14:textId="77777777">
        <w:pPr>
          <w:pStyle w:val="Footer"/>
          <w:ind w:firstLine="360"/>
          <w:jc w:val="center"/>
        </w:pPr>
        <w:r>
          <w:fldChar w:fldCharType="begin"/>
        </w:r>
        <w:r>
          <w:instrText>PAGE   \* MERGEFORMAT</w:instrText>
        </w:r>
        <w:r>
          <w:fldChar w:fldCharType="separate"/>
        </w:r>
        <w:r>
          <w:rPr>
            <w:lang w:val="zh-CN"/>
          </w:rPr>
          <w:t>2</w:t>
        </w:r>
        <w:r>
          <w:fldChar w:fldCharType="end"/>
        </w:r>
      </w:p>
    </w:sdtContent>
  </w:sdt>
  <w:p w:rsidR="00F36271" w14:textId="77777777">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1181541"/>
      <w:richText/>
    </w:sdtPr>
    <w:sdtContent>
      <w:p w:rsidR="00F36271" w14:textId="77777777">
        <w:pPr>
          <w:pStyle w:val="Footer"/>
          <w:ind w:firstLine="360"/>
          <w:jc w:val="center"/>
        </w:pPr>
        <w:r>
          <w:fldChar w:fldCharType="begin"/>
        </w:r>
        <w:r>
          <w:instrText>PAGE   \* MERGEFORMAT</w:instrText>
        </w:r>
        <w:r>
          <w:fldChar w:fldCharType="separate"/>
        </w:r>
        <w:r>
          <w:rPr>
            <w:lang w:val="zh-CN"/>
          </w:rPr>
          <w:t>17</w:t>
        </w:r>
        <w:r>
          <w:fldChar w:fldCharType="end"/>
        </w:r>
      </w:p>
    </w:sdtContent>
  </w:sdt>
  <w:p w:rsidR="00F36271" w14:textId="77777777">
    <w:pPr>
      <w:pStyle w:val="Footer"/>
      <w:tabs>
        <w:tab w:val="clear" w:pos="4153"/>
        <w:tab w:val="center" w:pos="4252"/>
        <w:tab w:val="clear" w:pos="8306"/>
      </w:tabs>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2608991"/>
      <w:richText/>
    </w:sdtPr>
    <w:sdtContent>
      <w:p w:rsidR="00F36271" w14:textId="77777777">
        <w:pPr>
          <w:pStyle w:val="Footer"/>
          <w:ind w:firstLine="360"/>
          <w:jc w:val="center"/>
        </w:pPr>
        <w:r>
          <w:fldChar w:fldCharType="begin"/>
        </w:r>
        <w:r>
          <w:instrText>PAGE   \* MERGEFORMAT</w:instrText>
        </w:r>
        <w:r>
          <w:fldChar w:fldCharType="separate"/>
        </w:r>
        <w:r>
          <w:rPr>
            <w:lang w:val="zh-CN"/>
          </w:rPr>
          <w:t>4</w:t>
        </w:r>
        <w:r>
          <w:fldChar w:fldCharType="end"/>
        </w:r>
      </w:p>
    </w:sdtContent>
  </w:sdt>
  <w:p w:rsidR="00F36271" w14:textId="77777777">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9766522"/>
      <w:richText/>
    </w:sdtPr>
    <w:sdtContent>
      <w:p w:rsidR="00F36271" w14:textId="77777777">
        <w:pPr>
          <w:pStyle w:val="Footer"/>
          <w:ind w:firstLine="360"/>
          <w:jc w:val="center"/>
        </w:pPr>
        <w:r>
          <w:fldChar w:fldCharType="begin"/>
        </w:r>
        <w:r>
          <w:instrText>PAGE   \* MERGEFORMAT</w:instrText>
        </w:r>
        <w:r>
          <w:fldChar w:fldCharType="separate"/>
        </w:r>
        <w:r>
          <w:rPr>
            <w:lang w:val="zh-CN"/>
          </w:rPr>
          <w:t>3</w:t>
        </w:r>
        <w:r>
          <w:fldChar w:fldCharType="end"/>
        </w:r>
      </w:p>
    </w:sdtContent>
  </w:sdt>
  <w:p w:rsidR="00F36271" w14:textId="77777777">
    <w:pPr>
      <w:pStyle w:val="Footer"/>
      <w:tabs>
        <w:tab w:val="clear" w:pos="4153"/>
        <w:tab w:val="center" w:pos="4252"/>
        <w:tab w:val="clear" w:pos="8306"/>
      </w:tabs>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4230426"/>
      <w:richText/>
    </w:sdtPr>
    <w:sdtContent>
      <w:p w:rsidR="00F36271" w14:textId="77777777">
        <w:pPr>
          <w:pStyle w:val="Footer"/>
          <w:ind w:firstLine="360"/>
          <w:jc w:val="center"/>
        </w:pPr>
        <w:r>
          <w:fldChar w:fldCharType="begin"/>
        </w:r>
        <w:r>
          <w:instrText>PAGE   \* MERGEFORMAT</w:instrText>
        </w:r>
        <w:r>
          <w:fldChar w:fldCharType="separate"/>
        </w:r>
        <w:r>
          <w:rPr>
            <w:lang w:val="zh-CN"/>
          </w:rPr>
          <w:t>4</w:t>
        </w:r>
        <w:r>
          <w:fldChar w:fldCharType="end"/>
        </w:r>
      </w:p>
    </w:sdtContent>
  </w:sdt>
  <w:p w:rsidR="00F36271" w14:textId="77777777">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2316325"/>
      <w:richText/>
    </w:sdtPr>
    <w:sdtContent>
      <w:p w:rsidR="00F36271" w14:textId="77777777">
        <w:pPr>
          <w:pStyle w:val="Footer"/>
          <w:ind w:firstLine="360"/>
          <w:jc w:val="center"/>
        </w:pPr>
        <w:r>
          <w:fldChar w:fldCharType="begin"/>
        </w:r>
        <w:r>
          <w:instrText>PAGE   \* MERGEFORMAT</w:instrText>
        </w:r>
        <w:r>
          <w:fldChar w:fldCharType="separate"/>
        </w:r>
        <w:r>
          <w:rPr>
            <w:lang w:val="zh-CN"/>
          </w:rPr>
          <w:t>17</w:t>
        </w:r>
        <w:r>
          <w:fldChar w:fldCharType="end"/>
        </w:r>
      </w:p>
    </w:sdtContent>
  </w:sdt>
  <w:p w:rsidR="00F36271" w14:textId="77777777">
    <w:pPr>
      <w:pStyle w:val="Footer"/>
      <w:tabs>
        <w:tab w:val="clear" w:pos="4153"/>
        <w:tab w:val="center" w:pos="4252"/>
        <w:tab w:val="clear" w:pos="8306"/>
      </w:tabs>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4884770"/>
      <w:richText/>
    </w:sdtPr>
    <w:sdtContent>
      <w:p w:rsidR="00F36271" w14:textId="77777777">
        <w:pPr>
          <w:pStyle w:val="Footer"/>
          <w:ind w:firstLine="360"/>
          <w:jc w:val="center"/>
        </w:pPr>
        <w:r>
          <w:fldChar w:fldCharType="begin"/>
        </w:r>
        <w:r>
          <w:instrText>PAGE   \* MERGEFORMAT</w:instrText>
        </w:r>
        <w:r>
          <w:fldChar w:fldCharType="separate"/>
        </w:r>
        <w:r>
          <w:rPr>
            <w:lang w:val="zh-CN"/>
          </w:rPr>
          <w:t>18</w:t>
        </w:r>
        <w:r>
          <w:fldChar w:fldCharType="end"/>
        </w:r>
      </w:p>
    </w:sdtContent>
  </w:sdt>
  <w:p w:rsidR="00F36271" w14:textId="77777777">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1710207"/>
      <w:richText/>
    </w:sdtPr>
    <w:sdtContent>
      <w:p w:rsidR="00F36271" w14:textId="77777777">
        <w:pPr>
          <w:pStyle w:val="Footer"/>
          <w:ind w:firstLine="360"/>
          <w:jc w:val="center"/>
        </w:pPr>
        <w:r>
          <w:fldChar w:fldCharType="begin"/>
        </w:r>
        <w:r>
          <w:instrText>PAGE   \* MERGEFORMAT</w:instrText>
        </w:r>
        <w:r>
          <w:fldChar w:fldCharType="separate"/>
        </w:r>
        <w:r>
          <w:rPr>
            <w:lang w:val="zh-CN"/>
          </w:rPr>
          <w:t>5</w:t>
        </w:r>
        <w:r>
          <w:fldChar w:fldCharType="end"/>
        </w:r>
      </w:p>
    </w:sdtContent>
  </w:sdt>
  <w:p w:rsidR="00F36271" w14:textId="77777777">
    <w:pPr>
      <w:pStyle w:val="Footer"/>
      <w:tabs>
        <w:tab w:val="clear" w:pos="4153"/>
        <w:tab w:val="center" w:pos="4252"/>
        <w:tab w:val="clear" w:pos="8306"/>
      </w:tabs>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paraId="495F2F9C" w14:textId="77777777">
    <w:pPr>
      <w:pStyle w:val="Header"/>
      <w:pBdr>
        <w:top w:val="none" w:sz="0" w:space="0" w:color="auto"/>
        <w:left w:val="none" w:sz="0" w:space="0" w:color="auto"/>
        <w:bottom w:val="none" w:sz="0" w:space="0" w:color="auto"/>
        <w:right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paraId="6B94DCBB" w14:textId="777777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paraId="2BF9DF08"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paraId="0D928115"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paraId="486EC89D" w14:textId="77777777">
    <w:pPr>
      <w:pStyle w:val="Header"/>
      <w:pBdr>
        <w:top w:val="none" w:sz="0" w:space="0" w:color="auto"/>
        <w:left w:val="none" w:sz="0" w:space="0" w:color="auto"/>
        <w:bottom w:val="none" w:sz="0" w:space="0" w:color="auto"/>
        <w:right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rsidP="00A1623E" w14:paraId="3C48A211" w14:textId="29734D6B">
    <w:pPr>
      <w:tabs>
        <w:tab w:val="center" w:pos="4153"/>
        <w:tab w:val="right" w:pos="8306"/>
      </w:tabs>
      <w:snapToGrid w:val="0"/>
      <w:spacing w:line="440" w:lineRule="exact"/>
      <w:ind w:firstLine="0" w:firstLineChars="0"/>
      <w:rPr>
        <w:rFonts w:hint="eastAsia"/>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rsidP="00A1623E" w14:textId="29734D6B">
    <w:pPr>
      <w:tabs>
        <w:tab w:val="center" w:pos="4153"/>
        <w:tab w:val="right" w:pos="8306"/>
      </w:tabs>
      <w:snapToGrid w:val="0"/>
      <w:spacing w:line="440" w:lineRule="exact"/>
      <w:ind w:firstLine="0" w:firstLineChars="0"/>
      <w:rPr>
        <w:rFonts w:hint="eastAsia"/>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rsidP="00A1623E" w14:textId="29734D6B">
    <w:pPr>
      <w:tabs>
        <w:tab w:val="center" w:pos="4153"/>
        <w:tab w:val="right" w:pos="8306"/>
      </w:tabs>
      <w:snapToGrid w:val="0"/>
      <w:spacing w:line="440" w:lineRule="exact"/>
      <w:ind w:firstLine="0" w:firstLineChars="0"/>
      <w:rPr>
        <w:rFonts w:hint="eastAsia"/>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paraId="4D172106" w14:textId="052683E9">
    <w:pPr>
      <w:pBdr>
        <w:bottom w:val="single" w:sz="4" w:space="1" w:color="auto"/>
      </w:pBdr>
      <w:jc w:val="center"/>
    </w:pPr>
    <w:r>
      <w:rPr>
        <w:rFonts w:hint="eastAsia"/>
      </w:rPr>
      <w:t>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052683E9">
    <w:pPr>
      <w:pBdr>
        <w:bottom w:val="single" w:sz="4" w:space="1" w:color="auto"/>
      </w:pBdr>
      <w:jc w:val="center"/>
    </w:pPr>
    <w:r>
      <w:rPr>
        <w:rFonts w:hint="eastAsia"/>
      </w:rPr>
      <w:t>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052683E9">
    <w:pPr>
      <w:pBdr>
        <w:bottom w:val="single" w:sz="4" w:space="1" w:color="auto"/>
      </w:pBdr>
      <w:jc w:val="center"/>
    </w:pPr>
    <w:r>
      <w:rPr>
        <w:rFonts w:hint="eastAsia"/>
      </w:rPr>
      <w:t>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052683E9">
    <w:pPr>
      <w:pBdr>
        <w:bottom w:val="single" w:sz="4" w:space="1" w:color="auto"/>
      </w:pBdr>
      <w:jc w:val="center"/>
    </w:pPr>
    <w:r>
      <w:rPr>
        <w:rFonts w:hint="eastAsia"/>
      </w:rPr>
      <w:t>S</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77777777">
    <w:pPr>
      <w:tabs>
        <w:tab w:val="center" w:pos="4153"/>
        <w:tab w:val="right" w:pos="8306"/>
      </w:tabs>
      <w:snapToGrid w:val="0"/>
      <w:spacing w:line="440" w:lineRule="exact"/>
      <w:ind w:firstLine="42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SQ</w:t>
    </w:r>
    <w:r>
      <w:rPr>
        <w:rFonts w:asciiTheme="majorEastAsia" w:eastAsiaTheme="majorEastAsia" w:hAnsiTheme="majorEastAsia" w:cstheme="majorEastAsia" w:hint="eastAsia"/>
        <w:sz w:val="21"/>
        <w:szCs w:val="21"/>
      </w:rPr>
      <w:t>中转油库工艺设计</w:t>
    </w:r>
  </w:p>
  <w:p w:rsidR="00F36271" w14:textId="77777777">
    <w:pPr>
      <w:pStyle w:val="Header"/>
      <w:pBdr>
        <w:top w:val="none" w:sz="0" w:space="0" w:color="auto"/>
        <w:left w:val="none" w:sz="0" w:space="0" w:color="auto"/>
        <w:bottom w:val="none" w:sz="0" w:space="0" w:color="auto"/>
        <w:right w:val="none" w:sz="0" w:space="0" w:color="auto"/>
      </w:pBd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36271" w14:textId="052683E9">
    <w:pPr>
      <w:pBdr>
        <w:bottom w:val="single" w:sz="4" w:space="1" w:color="auto"/>
      </w:pBdr>
      <w:jc w:val="center"/>
    </w:pPr>
    <w:r>
      <w:rPr>
        <w:rFonts w:hint="eastAsia"/>
      </w:rPr>
      <w:t>S</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1623E"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91D0283"/>
    <w:multiLevelType w:val="singleLevel"/>
    <w:tmpl w:val="891D0283"/>
    <w:lvl w:ilvl="0">
      <w:start w:val="2"/>
      <w:numFmt w:val="decimal"/>
      <w:lvlText w:val="(%1)"/>
      <w:lvlJc w:val="left"/>
      <w:pPr>
        <w:tabs>
          <w:tab w:val="left" w:pos="420"/>
        </w:tabs>
        <w:ind w:left="425" w:hanging="425"/>
      </w:pPr>
      <w:rPr>
        <w:rFonts w:hint="default"/>
      </w:rPr>
    </w:lvl>
  </w:abstractNum>
  <w:abstractNum w:abstractNumId="1">
    <w:nsid w:val="E6C83D85"/>
    <w:multiLevelType w:val="singleLevel"/>
    <w:tmpl w:val="E6C83D85"/>
    <w:lvl w:ilvl="0">
      <w:start w:val="2"/>
      <w:numFmt w:val="decimal"/>
      <w:suff w:val="space"/>
      <w:lvlText w:val="第%1章"/>
      <w:lvlJc w:val="left"/>
    </w:lvl>
  </w:abstractNum>
  <w:abstractNum w:abstractNumId="2">
    <w:nsid w:val="386E1914"/>
    <w:multiLevelType w:val="multilevel"/>
    <w:tmpl w:val="386E1914"/>
    <w:lvl w:ilvl="0">
      <w:start w:val="1"/>
      <w:numFmt w:val="decimal"/>
      <w:lvlText w:val="[%1]"/>
      <w:lvlJc w:val="left"/>
      <w:pPr>
        <w:tabs>
          <w:tab w:val="left" w:pos="420"/>
        </w:tabs>
        <w:ind w:left="420" w:hanging="420"/>
      </w:pPr>
      <w:rPr>
        <w:rFonts w:ascii="Times New Roman" w:hAnsi="Times New Roman" w:cs="Times New Roman"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4A42F47E"/>
    <w:multiLevelType w:val="singleLevel"/>
    <w:tmpl w:val="4A42F47E"/>
    <w:lvl w:ilvl="0">
      <w:start w:val="1"/>
      <w:numFmt w:val="decimal"/>
      <w:suff w:val="nothing"/>
      <w:lvlText w:val="%1、"/>
      <w:lvlJc w:val="left"/>
    </w:lvl>
  </w:abstractNum>
  <w:abstractNum w:abstractNumId="4">
    <w:nsid w:val="58C7052A"/>
    <w:multiLevelType w:val="singleLevel"/>
    <w:tmpl w:val="58C7052A"/>
    <w:lvl w:ilvl="0">
      <w:start w:val="1"/>
      <w:numFmt w:val="decimal"/>
      <w:suff w:val="space"/>
      <w:lvlText w:val="（%1）"/>
      <w:lvlJc w:val="left"/>
    </w:lvl>
  </w:abstractNum>
  <w:abstractNum w:abstractNumId="5">
    <w:nsid w:val="6DA6D426"/>
    <w:multiLevelType w:val="singleLevel"/>
    <w:tmpl w:val="6DA6D426"/>
    <w:lvl w:ilvl="0">
      <w:start w:val="8"/>
      <w:numFmt w:val="decimal"/>
      <w:suff w:val="nothing"/>
      <w:lvlText w:val="(%1）"/>
      <w:lvlJc w:val="left"/>
    </w:lvl>
  </w:abstractNum>
  <w:num w:numId="1" w16cid:durableId="1290088233">
    <w:abstractNumId w:val="1"/>
  </w:num>
  <w:num w:numId="2" w16cid:durableId="1933973687">
    <w:abstractNumId w:val="5"/>
  </w:num>
  <w:num w:numId="3" w16cid:durableId="1042630254">
    <w:abstractNumId w:val="4"/>
  </w:num>
  <w:num w:numId="4" w16cid:durableId="2125879818">
    <w:abstractNumId w:val="0"/>
  </w:num>
  <w:num w:numId="5" w16cid:durableId="1393699423">
    <w:abstractNumId w:val="3"/>
  </w:num>
  <w:num w:numId="6" w16cid:durableId="2741424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5"/>
  <w:embedSystemFonts/>
  <w:proofState w:spelling="clean" w:grammar="clean"/>
  <w:defaultTabStop w:val="420"/>
  <w:evenAndOddHeaders/>
  <w:drawingGridHorizontalSpacing w:val="120"/>
  <w:drawingGridVerticalSpacing w:val="163"/>
  <w:noPunctuationKerning/>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7714D8"/>
    <w:rsid w:val="00015922"/>
    <w:rsid w:val="00015C96"/>
    <w:rsid w:val="00035C0B"/>
    <w:rsid w:val="00041BAD"/>
    <w:rsid w:val="0005012D"/>
    <w:rsid w:val="00067A21"/>
    <w:rsid w:val="0007198F"/>
    <w:rsid w:val="0007341F"/>
    <w:rsid w:val="00076C1A"/>
    <w:rsid w:val="00087A31"/>
    <w:rsid w:val="000A53F8"/>
    <w:rsid w:val="000C2CBE"/>
    <w:rsid w:val="000E2DB1"/>
    <w:rsid w:val="000E4594"/>
    <w:rsid w:val="000E56D0"/>
    <w:rsid w:val="000F3663"/>
    <w:rsid w:val="00125A96"/>
    <w:rsid w:val="00131B3E"/>
    <w:rsid w:val="00134D3C"/>
    <w:rsid w:val="00141A76"/>
    <w:rsid w:val="00182E65"/>
    <w:rsid w:val="00192D75"/>
    <w:rsid w:val="0019691B"/>
    <w:rsid w:val="001A0A1D"/>
    <w:rsid w:val="001A7626"/>
    <w:rsid w:val="001B45EA"/>
    <w:rsid w:val="001B6023"/>
    <w:rsid w:val="001B768D"/>
    <w:rsid w:val="001D2488"/>
    <w:rsid w:val="001D2521"/>
    <w:rsid w:val="001D2C54"/>
    <w:rsid w:val="001D7CE4"/>
    <w:rsid w:val="001E4191"/>
    <w:rsid w:val="001F4043"/>
    <w:rsid w:val="00204C35"/>
    <w:rsid w:val="002168D9"/>
    <w:rsid w:val="00244D96"/>
    <w:rsid w:val="00253970"/>
    <w:rsid w:val="00257BC2"/>
    <w:rsid w:val="00266C1A"/>
    <w:rsid w:val="00280F0B"/>
    <w:rsid w:val="00284D37"/>
    <w:rsid w:val="00290BDE"/>
    <w:rsid w:val="00293061"/>
    <w:rsid w:val="00296ECA"/>
    <w:rsid w:val="002A2836"/>
    <w:rsid w:val="002B6998"/>
    <w:rsid w:val="002E1774"/>
    <w:rsid w:val="002E2A52"/>
    <w:rsid w:val="002F3192"/>
    <w:rsid w:val="00305B32"/>
    <w:rsid w:val="00307F89"/>
    <w:rsid w:val="00312303"/>
    <w:rsid w:val="00316D21"/>
    <w:rsid w:val="003172C1"/>
    <w:rsid w:val="0034422F"/>
    <w:rsid w:val="00345D75"/>
    <w:rsid w:val="0036158F"/>
    <w:rsid w:val="003819AA"/>
    <w:rsid w:val="00384124"/>
    <w:rsid w:val="003942CE"/>
    <w:rsid w:val="003A7943"/>
    <w:rsid w:val="003B17D5"/>
    <w:rsid w:val="003C2556"/>
    <w:rsid w:val="003C26DA"/>
    <w:rsid w:val="003C4043"/>
    <w:rsid w:val="00400760"/>
    <w:rsid w:val="004039FC"/>
    <w:rsid w:val="00404C0D"/>
    <w:rsid w:val="00405CDB"/>
    <w:rsid w:val="0040682B"/>
    <w:rsid w:val="00406E58"/>
    <w:rsid w:val="00414EDE"/>
    <w:rsid w:val="004373AE"/>
    <w:rsid w:val="004435D3"/>
    <w:rsid w:val="0045079C"/>
    <w:rsid w:val="004532F6"/>
    <w:rsid w:val="00457B17"/>
    <w:rsid w:val="00472AD4"/>
    <w:rsid w:val="00474428"/>
    <w:rsid w:val="00482BDE"/>
    <w:rsid w:val="00484CF4"/>
    <w:rsid w:val="004877EC"/>
    <w:rsid w:val="004A0114"/>
    <w:rsid w:val="004C4F87"/>
    <w:rsid w:val="004C5B90"/>
    <w:rsid w:val="004D0D6D"/>
    <w:rsid w:val="00500394"/>
    <w:rsid w:val="0050134F"/>
    <w:rsid w:val="00513A6D"/>
    <w:rsid w:val="00517ACF"/>
    <w:rsid w:val="005209AC"/>
    <w:rsid w:val="005305B1"/>
    <w:rsid w:val="00533903"/>
    <w:rsid w:val="005373D2"/>
    <w:rsid w:val="00557695"/>
    <w:rsid w:val="00566587"/>
    <w:rsid w:val="005718E6"/>
    <w:rsid w:val="00583E42"/>
    <w:rsid w:val="00586AA6"/>
    <w:rsid w:val="00593070"/>
    <w:rsid w:val="005A306E"/>
    <w:rsid w:val="005D1F64"/>
    <w:rsid w:val="005E58BF"/>
    <w:rsid w:val="005E5E02"/>
    <w:rsid w:val="005E7612"/>
    <w:rsid w:val="005F69B2"/>
    <w:rsid w:val="005F7FF2"/>
    <w:rsid w:val="00601701"/>
    <w:rsid w:val="00603E7D"/>
    <w:rsid w:val="00610986"/>
    <w:rsid w:val="0061179E"/>
    <w:rsid w:val="00633B46"/>
    <w:rsid w:val="006400DF"/>
    <w:rsid w:val="00644712"/>
    <w:rsid w:val="00645FCA"/>
    <w:rsid w:val="0065014B"/>
    <w:rsid w:val="006518AC"/>
    <w:rsid w:val="006655A1"/>
    <w:rsid w:val="00666478"/>
    <w:rsid w:val="00673748"/>
    <w:rsid w:val="00684AE0"/>
    <w:rsid w:val="00686E4C"/>
    <w:rsid w:val="006B289E"/>
    <w:rsid w:val="006B6AC7"/>
    <w:rsid w:val="006C2464"/>
    <w:rsid w:val="006D01AD"/>
    <w:rsid w:val="006D1E40"/>
    <w:rsid w:val="006E3819"/>
    <w:rsid w:val="006E6767"/>
    <w:rsid w:val="006F04E1"/>
    <w:rsid w:val="00702841"/>
    <w:rsid w:val="00711855"/>
    <w:rsid w:val="00720EF5"/>
    <w:rsid w:val="00741B93"/>
    <w:rsid w:val="007517DC"/>
    <w:rsid w:val="007561A4"/>
    <w:rsid w:val="00757A0E"/>
    <w:rsid w:val="00766939"/>
    <w:rsid w:val="0078014B"/>
    <w:rsid w:val="007817EE"/>
    <w:rsid w:val="00786468"/>
    <w:rsid w:val="00797E46"/>
    <w:rsid w:val="007A3A98"/>
    <w:rsid w:val="007A5C0C"/>
    <w:rsid w:val="007B2C45"/>
    <w:rsid w:val="007C52C1"/>
    <w:rsid w:val="007D3ACA"/>
    <w:rsid w:val="007D3C19"/>
    <w:rsid w:val="007D54E5"/>
    <w:rsid w:val="007E4666"/>
    <w:rsid w:val="007E6CAD"/>
    <w:rsid w:val="007E76FC"/>
    <w:rsid w:val="007F0CCC"/>
    <w:rsid w:val="007F47E5"/>
    <w:rsid w:val="007F5844"/>
    <w:rsid w:val="00805880"/>
    <w:rsid w:val="008174E9"/>
    <w:rsid w:val="00817D85"/>
    <w:rsid w:val="00830429"/>
    <w:rsid w:val="0083392A"/>
    <w:rsid w:val="00836C79"/>
    <w:rsid w:val="00847566"/>
    <w:rsid w:val="00851023"/>
    <w:rsid w:val="008516D8"/>
    <w:rsid w:val="00863E3F"/>
    <w:rsid w:val="008656A4"/>
    <w:rsid w:val="00867FC0"/>
    <w:rsid w:val="008701A7"/>
    <w:rsid w:val="00874135"/>
    <w:rsid w:val="00880B64"/>
    <w:rsid w:val="008902F6"/>
    <w:rsid w:val="00897B92"/>
    <w:rsid w:val="008A1F84"/>
    <w:rsid w:val="008B37B3"/>
    <w:rsid w:val="008B4D74"/>
    <w:rsid w:val="008C0761"/>
    <w:rsid w:val="008C2D6F"/>
    <w:rsid w:val="008F34E0"/>
    <w:rsid w:val="00901FE0"/>
    <w:rsid w:val="009156F0"/>
    <w:rsid w:val="0092545D"/>
    <w:rsid w:val="00936164"/>
    <w:rsid w:val="00936212"/>
    <w:rsid w:val="00942F0A"/>
    <w:rsid w:val="00960BA8"/>
    <w:rsid w:val="009755E7"/>
    <w:rsid w:val="00975D44"/>
    <w:rsid w:val="00980528"/>
    <w:rsid w:val="0098195A"/>
    <w:rsid w:val="009830D7"/>
    <w:rsid w:val="00984C7F"/>
    <w:rsid w:val="00985625"/>
    <w:rsid w:val="009870BB"/>
    <w:rsid w:val="009901AA"/>
    <w:rsid w:val="009D0883"/>
    <w:rsid w:val="009F34B4"/>
    <w:rsid w:val="00A1416C"/>
    <w:rsid w:val="00A1623E"/>
    <w:rsid w:val="00A201CA"/>
    <w:rsid w:val="00A21E17"/>
    <w:rsid w:val="00A40A10"/>
    <w:rsid w:val="00A4182A"/>
    <w:rsid w:val="00A46FA1"/>
    <w:rsid w:val="00A47CC8"/>
    <w:rsid w:val="00A56556"/>
    <w:rsid w:val="00A72F56"/>
    <w:rsid w:val="00A74CDC"/>
    <w:rsid w:val="00A81289"/>
    <w:rsid w:val="00A86DFA"/>
    <w:rsid w:val="00A87B10"/>
    <w:rsid w:val="00A917CE"/>
    <w:rsid w:val="00A93D56"/>
    <w:rsid w:val="00AA3279"/>
    <w:rsid w:val="00AC46E0"/>
    <w:rsid w:val="00AD4A6E"/>
    <w:rsid w:val="00AE6F79"/>
    <w:rsid w:val="00B03C8A"/>
    <w:rsid w:val="00B07ACC"/>
    <w:rsid w:val="00B32944"/>
    <w:rsid w:val="00B4036D"/>
    <w:rsid w:val="00B42898"/>
    <w:rsid w:val="00B51398"/>
    <w:rsid w:val="00B62DB3"/>
    <w:rsid w:val="00B6630A"/>
    <w:rsid w:val="00B663D6"/>
    <w:rsid w:val="00B71DB0"/>
    <w:rsid w:val="00B82B09"/>
    <w:rsid w:val="00B871B7"/>
    <w:rsid w:val="00B94B9B"/>
    <w:rsid w:val="00B96316"/>
    <w:rsid w:val="00BA5A51"/>
    <w:rsid w:val="00BB7887"/>
    <w:rsid w:val="00BC0035"/>
    <w:rsid w:val="00BC3C9E"/>
    <w:rsid w:val="00BC749A"/>
    <w:rsid w:val="00BE6879"/>
    <w:rsid w:val="00BF245C"/>
    <w:rsid w:val="00C02B92"/>
    <w:rsid w:val="00C05613"/>
    <w:rsid w:val="00C05FD1"/>
    <w:rsid w:val="00C12D8A"/>
    <w:rsid w:val="00C2200A"/>
    <w:rsid w:val="00C22084"/>
    <w:rsid w:val="00C22DD4"/>
    <w:rsid w:val="00C31E7F"/>
    <w:rsid w:val="00C346F5"/>
    <w:rsid w:val="00C354AE"/>
    <w:rsid w:val="00C4630A"/>
    <w:rsid w:val="00C5262B"/>
    <w:rsid w:val="00C53AE0"/>
    <w:rsid w:val="00C552EF"/>
    <w:rsid w:val="00C6771F"/>
    <w:rsid w:val="00C72B7B"/>
    <w:rsid w:val="00C928EA"/>
    <w:rsid w:val="00C93EC6"/>
    <w:rsid w:val="00C97518"/>
    <w:rsid w:val="00CB12D6"/>
    <w:rsid w:val="00CB3BBF"/>
    <w:rsid w:val="00CC7AD0"/>
    <w:rsid w:val="00CD0995"/>
    <w:rsid w:val="00CE6B85"/>
    <w:rsid w:val="00CF3974"/>
    <w:rsid w:val="00D0565A"/>
    <w:rsid w:val="00D14CCA"/>
    <w:rsid w:val="00D17FE3"/>
    <w:rsid w:val="00D219C0"/>
    <w:rsid w:val="00D46947"/>
    <w:rsid w:val="00D470D8"/>
    <w:rsid w:val="00D5379D"/>
    <w:rsid w:val="00D600D3"/>
    <w:rsid w:val="00D700E4"/>
    <w:rsid w:val="00D72B47"/>
    <w:rsid w:val="00D72B72"/>
    <w:rsid w:val="00D73FC1"/>
    <w:rsid w:val="00DA7A9F"/>
    <w:rsid w:val="00DC30DA"/>
    <w:rsid w:val="00DD5121"/>
    <w:rsid w:val="00DD57CC"/>
    <w:rsid w:val="00DE27D5"/>
    <w:rsid w:val="00DF450D"/>
    <w:rsid w:val="00E21AF4"/>
    <w:rsid w:val="00E253EF"/>
    <w:rsid w:val="00E319E0"/>
    <w:rsid w:val="00E42338"/>
    <w:rsid w:val="00E565E8"/>
    <w:rsid w:val="00E6576B"/>
    <w:rsid w:val="00E66923"/>
    <w:rsid w:val="00E767CE"/>
    <w:rsid w:val="00E76B16"/>
    <w:rsid w:val="00E83DDD"/>
    <w:rsid w:val="00E8454E"/>
    <w:rsid w:val="00E871E4"/>
    <w:rsid w:val="00E96360"/>
    <w:rsid w:val="00EA1FE5"/>
    <w:rsid w:val="00EB7BFB"/>
    <w:rsid w:val="00ED1AA7"/>
    <w:rsid w:val="00ED6E87"/>
    <w:rsid w:val="00EE0285"/>
    <w:rsid w:val="00EE062E"/>
    <w:rsid w:val="00EE2EA7"/>
    <w:rsid w:val="00EF0F29"/>
    <w:rsid w:val="00F01E55"/>
    <w:rsid w:val="00F20431"/>
    <w:rsid w:val="00F2096F"/>
    <w:rsid w:val="00F24E82"/>
    <w:rsid w:val="00F25E87"/>
    <w:rsid w:val="00F26318"/>
    <w:rsid w:val="00F2711B"/>
    <w:rsid w:val="00F36271"/>
    <w:rsid w:val="00F46EF1"/>
    <w:rsid w:val="00F51DBF"/>
    <w:rsid w:val="00F62E38"/>
    <w:rsid w:val="00F64782"/>
    <w:rsid w:val="00F66F07"/>
    <w:rsid w:val="00F711F6"/>
    <w:rsid w:val="00F74F92"/>
    <w:rsid w:val="00F762F6"/>
    <w:rsid w:val="00F91EFC"/>
    <w:rsid w:val="00F93C0A"/>
    <w:rsid w:val="00F96F52"/>
    <w:rsid w:val="00F9788C"/>
    <w:rsid w:val="00FD248A"/>
    <w:rsid w:val="00FD5A81"/>
    <w:rsid w:val="00FF2466"/>
    <w:rsid w:val="00FF4584"/>
    <w:rsid w:val="021B679D"/>
    <w:rsid w:val="02F1348A"/>
    <w:rsid w:val="0329534F"/>
    <w:rsid w:val="03304E76"/>
    <w:rsid w:val="03736176"/>
    <w:rsid w:val="04685F9D"/>
    <w:rsid w:val="04D50371"/>
    <w:rsid w:val="063C0C2F"/>
    <w:rsid w:val="085A42D1"/>
    <w:rsid w:val="0A1C5912"/>
    <w:rsid w:val="0AB15765"/>
    <w:rsid w:val="0BD2082A"/>
    <w:rsid w:val="0C6758BD"/>
    <w:rsid w:val="0C881EE1"/>
    <w:rsid w:val="0DC52C43"/>
    <w:rsid w:val="0E10381F"/>
    <w:rsid w:val="0F8D5171"/>
    <w:rsid w:val="10CB2C7A"/>
    <w:rsid w:val="112F7FF1"/>
    <w:rsid w:val="160B2CB8"/>
    <w:rsid w:val="17BA5C85"/>
    <w:rsid w:val="18D93F1C"/>
    <w:rsid w:val="1966322C"/>
    <w:rsid w:val="19E01D3E"/>
    <w:rsid w:val="19FA47F5"/>
    <w:rsid w:val="1AC72F60"/>
    <w:rsid w:val="1B6134B4"/>
    <w:rsid w:val="1B706E95"/>
    <w:rsid w:val="1C3129D6"/>
    <w:rsid w:val="1DF36CA0"/>
    <w:rsid w:val="1E1106D7"/>
    <w:rsid w:val="1E7018EF"/>
    <w:rsid w:val="1EA565BD"/>
    <w:rsid w:val="1EE862F1"/>
    <w:rsid w:val="1F4C272D"/>
    <w:rsid w:val="227F4DD9"/>
    <w:rsid w:val="26135D71"/>
    <w:rsid w:val="26893ABE"/>
    <w:rsid w:val="27170FE5"/>
    <w:rsid w:val="287F580D"/>
    <w:rsid w:val="28E7107F"/>
    <w:rsid w:val="29B133D8"/>
    <w:rsid w:val="2A904D81"/>
    <w:rsid w:val="2B0D36C0"/>
    <w:rsid w:val="2CAC520E"/>
    <w:rsid w:val="2F4D11F6"/>
    <w:rsid w:val="33635B45"/>
    <w:rsid w:val="343D116B"/>
    <w:rsid w:val="350C7D9B"/>
    <w:rsid w:val="36954F41"/>
    <w:rsid w:val="36EC61F0"/>
    <w:rsid w:val="37DB7D36"/>
    <w:rsid w:val="390F59AC"/>
    <w:rsid w:val="3B327F7D"/>
    <w:rsid w:val="3B9D62A9"/>
    <w:rsid w:val="3CCC14EF"/>
    <w:rsid w:val="41BB2E64"/>
    <w:rsid w:val="43580F11"/>
    <w:rsid w:val="446C6A2F"/>
    <w:rsid w:val="45310149"/>
    <w:rsid w:val="458C478E"/>
    <w:rsid w:val="45D12E0D"/>
    <w:rsid w:val="46E335DD"/>
    <w:rsid w:val="48237F27"/>
    <w:rsid w:val="48415F71"/>
    <w:rsid w:val="491A58A8"/>
    <w:rsid w:val="49C76914"/>
    <w:rsid w:val="49D118CA"/>
    <w:rsid w:val="4BD44575"/>
    <w:rsid w:val="4C374895"/>
    <w:rsid w:val="4F1A58B4"/>
    <w:rsid w:val="4F836386"/>
    <w:rsid w:val="515C752B"/>
    <w:rsid w:val="519351FA"/>
    <w:rsid w:val="51F04F73"/>
    <w:rsid w:val="52F860B4"/>
    <w:rsid w:val="538B103E"/>
    <w:rsid w:val="545146FC"/>
    <w:rsid w:val="54EE3DFE"/>
    <w:rsid w:val="56F4028A"/>
    <w:rsid w:val="57764977"/>
    <w:rsid w:val="598132C6"/>
    <w:rsid w:val="59E0142D"/>
    <w:rsid w:val="5AD00ADF"/>
    <w:rsid w:val="5B876E69"/>
    <w:rsid w:val="5C347E9B"/>
    <w:rsid w:val="5D207210"/>
    <w:rsid w:val="5DA46C2D"/>
    <w:rsid w:val="5DE1316F"/>
    <w:rsid w:val="5FA40254"/>
    <w:rsid w:val="607714D8"/>
    <w:rsid w:val="607E2CE3"/>
    <w:rsid w:val="61461881"/>
    <w:rsid w:val="616C75DA"/>
    <w:rsid w:val="618B611F"/>
    <w:rsid w:val="624F2E91"/>
    <w:rsid w:val="6299127F"/>
    <w:rsid w:val="62E106A8"/>
    <w:rsid w:val="64D150E5"/>
    <w:rsid w:val="66141D57"/>
    <w:rsid w:val="68673D2A"/>
    <w:rsid w:val="69317522"/>
    <w:rsid w:val="6AF3422B"/>
    <w:rsid w:val="6FD91C62"/>
    <w:rsid w:val="705555EA"/>
    <w:rsid w:val="70BB782F"/>
    <w:rsid w:val="70CB4FB9"/>
    <w:rsid w:val="710C010F"/>
    <w:rsid w:val="71162C9D"/>
    <w:rsid w:val="714644F5"/>
    <w:rsid w:val="718637A8"/>
    <w:rsid w:val="73386923"/>
    <w:rsid w:val="754C79DD"/>
    <w:rsid w:val="762E36CA"/>
    <w:rsid w:val="773756D1"/>
    <w:rsid w:val="78B02C7E"/>
    <w:rsid w:val="79E8162E"/>
    <w:rsid w:val="7E4F69D3"/>
    <w:rsid w:val="7F042AFB"/>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6F600E"/>
  <w15:docId w15:val="{F0C0C202-5A59-4C28-9998-9E114F964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qFormat="1"/>
    <w:lsdException w:name="footnote text" w:qFormat="1"/>
    <w:lsdException w:name="header" w:qFormat="1"/>
    <w:lsdException w:name="footer" w:uiPriority="99" w:qFormat="1"/>
    <w:lsdException w:name="caption" w:unhideWhenUsed="1" w:qFormat="1"/>
    <w:lsdException w:name="footnote reference" w:qFormat="1"/>
    <w:lsdException w:name="endnote reference" w:qFormat="1"/>
    <w:lsdException w:name="endnote text" w:qFormat="1"/>
    <w:lsdException w:name="Title" w:qFormat="1"/>
    <w:lsdException w:name="Default Paragraph Font" w:semiHidden="1" w:uiPriority="1" w:unhideWhenUsed="1"/>
    <w:lsdException w:name="Body Text" w:qFormat="1"/>
    <w:lsdException w:name="Body Text Indent" w:qFormat="1"/>
    <w:lsdException w:name="Hyperlink" w:uiPriority="99" w:unhideWhenUsed="1"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spacing w:line="300" w:lineRule="auto"/>
      <w:ind w:firstLine="480" w:firstLineChars="200"/>
      <w:jc w:val="both"/>
    </w:pPr>
    <w:rPr>
      <w:kern w:val="2"/>
      <w:sz w:val="24"/>
      <w:szCs w:val="24"/>
    </w:rPr>
  </w:style>
  <w:style w:type="paragraph" w:styleId="Heading1">
    <w:name w:val="heading 1"/>
    <w:basedOn w:val="Normal"/>
    <w:next w:val="Normal"/>
    <w:qFormat/>
    <w:pPr>
      <w:keepNext/>
      <w:keepLines/>
      <w:spacing w:after="220" w:line="360" w:lineRule="auto"/>
      <w:ind w:firstLine="0" w:firstLineChars="0"/>
      <w:jc w:val="left"/>
      <w:outlineLvl w:val="0"/>
    </w:pPr>
    <w:rPr>
      <w:rFonts w:eastAsia="黑体"/>
      <w:kern w:val="44"/>
      <w:sz w:val="30"/>
    </w:rPr>
  </w:style>
  <w:style w:type="paragraph" w:styleId="Heading2">
    <w:name w:val="heading 2"/>
    <w:basedOn w:val="Normal"/>
    <w:next w:val="Normal"/>
    <w:unhideWhenUsed/>
    <w:qFormat/>
    <w:pPr>
      <w:spacing w:before="50" w:beforeLines="50" w:line="360" w:lineRule="auto"/>
      <w:ind w:firstLine="0" w:firstLineChars="0"/>
      <w:jc w:val="left"/>
      <w:outlineLvl w:val="1"/>
    </w:pPr>
    <w:rPr>
      <w:rFonts w:ascii="Arial" w:eastAsia="黑体" w:hAnsi="Arial"/>
      <w:sz w:val="28"/>
    </w:rPr>
  </w:style>
  <w:style w:type="paragraph" w:styleId="Heading3">
    <w:name w:val="heading 3"/>
    <w:basedOn w:val="Normal"/>
    <w:next w:val="Normal"/>
    <w:unhideWhenUsed/>
    <w:qFormat/>
    <w:pPr>
      <w:spacing w:before="50" w:beforeLines="50" w:line="360" w:lineRule="auto"/>
      <w:ind w:firstLine="0" w:firstLineChars="0"/>
      <w:jc w:val="left"/>
      <w:outlineLvl w:val="2"/>
    </w:pPr>
    <w:rPr>
      <w:rFonts w:eastAsia="黑体"/>
    </w:rPr>
  </w:style>
  <w:style w:type="paragraph" w:styleId="Heading4">
    <w:name w:val="heading 4"/>
    <w:basedOn w:val="Normal"/>
    <w:next w:val="Normal"/>
    <w:link w:val="4"/>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Pr>
      <w:rFonts w:ascii="Arial" w:eastAsia="黑体" w:hAnsi="Arial"/>
      <w:sz w:val="20"/>
    </w:rPr>
  </w:style>
  <w:style w:type="paragraph" w:styleId="BodyText">
    <w:name w:val="Body Text"/>
    <w:basedOn w:val="Normal"/>
    <w:qFormat/>
    <w:pPr>
      <w:spacing w:after="120"/>
    </w:pPr>
  </w:style>
  <w:style w:type="paragraph" w:styleId="BodyTextIndent">
    <w:name w:val="Body Text Indent"/>
    <w:basedOn w:val="Normal"/>
    <w:link w:val="a"/>
    <w:qFormat/>
    <w:pPr>
      <w:snapToGrid w:val="0"/>
      <w:ind w:firstLine="200"/>
    </w:pPr>
  </w:style>
  <w:style w:type="paragraph" w:styleId="TOC3">
    <w:name w:val="toc 3"/>
    <w:basedOn w:val="Normal"/>
    <w:next w:val="Normal"/>
    <w:uiPriority w:val="39"/>
    <w:qFormat/>
    <w:pPr>
      <w:ind w:left="840" w:leftChars="400"/>
    </w:pPr>
  </w:style>
  <w:style w:type="paragraph" w:styleId="PlainText">
    <w:name w:val="Plain Text"/>
    <w:basedOn w:val="Normal"/>
    <w:uiPriority w:val="99"/>
    <w:unhideWhenUsed/>
    <w:qFormat/>
    <w:rPr>
      <w:rFonts w:ascii="宋体" w:hAnsi="Courier New" w:cs="Courier New"/>
      <w:szCs w:val="21"/>
    </w:rPr>
  </w:style>
  <w:style w:type="paragraph" w:styleId="EndnoteText">
    <w:name w:val="endnote text"/>
    <w:basedOn w:val="Normal"/>
    <w:link w:val="a5"/>
    <w:qFormat/>
    <w:pPr>
      <w:snapToGrid w:val="0"/>
      <w:jc w:val="left"/>
    </w:pPr>
  </w:style>
  <w:style w:type="paragraph" w:styleId="Footer">
    <w:name w:val="footer"/>
    <w:basedOn w:val="Normal"/>
    <w:link w:val="a3"/>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uiPriority w:val="39"/>
    <w:qFormat/>
  </w:style>
  <w:style w:type="paragraph" w:styleId="TOC4">
    <w:name w:val="toc 4"/>
    <w:basedOn w:val="Normal"/>
    <w:next w:val="Normal"/>
    <w:qFormat/>
    <w:pPr>
      <w:ind w:left="1260" w:leftChars="600"/>
    </w:pPr>
  </w:style>
  <w:style w:type="paragraph" w:styleId="FootnoteText">
    <w:name w:val="footnote text"/>
    <w:basedOn w:val="Normal"/>
    <w:link w:val="a6"/>
    <w:qFormat/>
    <w:pPr>
      <w:snapToGrid w:val="0"/>
      <w:jc w:val="left"/>
    </w:pPr>
    <w:rPr>
      <w:sz w:val="18"/>
      <w:szCs w:val="18"/>
    </w:rPr>
  </w:style>
  <w:style w:type="paragraph" w:styleId="TOC2">
    <w:name w:val="toc 2"/>
    <w:basedOn w:val="Normal"/>
    <w:next w:val="Normal"/>
    <w:uiPriority w:val="39"/>
    <w:qFormat/>
    <w:pPr>
      <w:ind w:left="420" w:leftChars="200"/>
    </w:pPr>
  </w:style>
  <w:style w:type="paragraph" w:styleId="Title">
    <w:name w:val="Title"/>
    <w:basedOn w:val="Normal"/>
    <w:next w:val="Normal"/>
    <w:link w:val="a4"/>
    <w:qFormat/>
    <w:pPr>
      <w:spacing w:before="240" w:after="60"/>
      <w:jc w:val="center"/>
      <w:outlineLvl w:val="0"/>
    </w:pPr>
    <w:rPr>
      <w:rFonts w:asciiTheme="majorHAnsi" w:eastAsiaTheme="majorEastAsia" w:hAnsiTheme="majorHAnsi" w:cstheme="majorBidi"/>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qFormat/>
    <w:rPr>
      <w:vertAlign w:val="superscript"/>
    </w:rPr>
  </w:style>
  <w:style w:type="character" w:styleId="Hyperlink">
    <w:name w:val="Hyperlink"/>
    <w:basedOn w:val="DefaultParagraphFont"/>
    <w:uiPriority w:val="99"/>
    <w:unhideWhenUsed/>
    <w:qFormat/>
    <w:rPr>
      <w:color w:val="0563C1" w:themeColor="hyperlink"/>
      <w:u w:val="single"/>
    </w:rPr>
  </w:style>
  <w:style w:type="character" w:styleId="FootnoteReference">
    <w:name w:val="footnote reference"/>
    <w:basedOn w:val="DefaultParagraphFont"/>
    <w:qFormat/>
    <w:rPr>
      <w:vertAlign w:val="superscript"/>
    </w:rPr>
  </w:style>
  <w:style w:type="paragraph" w:customStyle="1" w:styleId="2">
    <w:name w:val="样式 纯文本 + 首行缩进:  2 字符"/>
    <w:basedOn w:val="PlainText"/>
    <w:qFormat/>
    <w:pPr>
      <w:spacing w:line="540" w:lineRule="exact"/>
      <w:ind w:firstLine="200"/>
      <w:jc w:val="left"/>
    </w:pPr>
    <w:rPr>
      <w:rFonts w:cstheme="minorBidi"/>
      <w:szCs w:val="22"/>
    </w:rPr>
  </w:style>
  <w:style w:type="character" w:customStyle="1" w:styleId="a">
    <w:name w:val="正文文本缩进 字符"/>
    <w:link w:val="BodyTextIndent"/>
    <w:qFormat/>
    <w:rPr>
      <w:kern w:val="2"/>
      <w:sz w:val="24"/>
      <w:szCs w:val="24"/>
    </w:rPr>
  </w:style>
  <w:style w:type="paragraph" w:customStyle="1" w:styleId="a0">
    <w:name w:val="一级标题"/>
    <w:basedOn w:val="Normal"/>
    <w:qFormat/>
    <w:pPr>
      <w:spacing w:before="80" w:beforeLines="80" w:after="50" w:afterLines="50"/>
      <w:jc w:val="center"/>
      <w:outlineLvl w:val="0"/>
    </w:pPr>
    <w:rPr>
      <w:rFonts w:eastAsia="黑体"/>
      <w:sz w:val="36"/>
    </w:rPr>
  </w:style>
  <w:style w:type="paragraph" w:customStyle="1" w:styleId="a1">
    <w:name w:val="二级"/>
    <w:basedOn w:val="a0"/>
    <w:qFormat/>
    <w:pPr>
      <w:spacing w:before="50" w:beforeLines="50"/>
      <w:jc w:val="left"/>
      <w:outlineLvl w:val="1"/>
    </w:pPr>
    <w:rPr>
      <w:sz w:val="28"/>
    </w:rPr>
  </w:style>
  <w:style w:type="paragraph" w:customStyle="1" w:styleId="a2">
    <w:name w:val="三级标题"/>
    <w:basedOn w:val="a1"/>
    <w:qFormat/>
    <w:pPr>
      <w:outlineLvl w:val="2"/>
    </w:pPr>
    <w:rPr>
      <w:sz w:val="24"/>
    </w:rPr>
  </w:style>
  <w:style w:type="paragraph" w:customStyle="1" w:styleId="WPSOffice1">
    <w:name w:val="WPSOffice手动目录 1"/>
    <w:qFormat/>
  </w:style>
  <w:style w:type="paragraph" w:customStyle="1" w:styleId="WPSOffice2">
    <w:name w:val="WPSOffice手动目录 2"/>
    <w:qFormat/>
    <w:pPr>
      <w:ind w:left="200" w:leftChars="200"/>
    </w:pPr>
  </w:style>
  <w:style w:type="character" w:customStyle="1" w:styleId="4">
    <w:name w:val="标题 4 字符"/>
    <w:basedOn w:val="DefaultParagraphFont"/>
    <w:link w:val="Heading4"/>
    <w:qFormat/>
    <w:rPr>
      <w:rFonts w:asciiTheme="majorHAnsi" w:eastAsiaTheme="majorEastAsia" w:hAnsiTheme="majorHAnsi" w:cstheme="majorBidi"/>
      <w:b/>
      <w:bCs/>
      <w:kern w:val="2"/>
      <w:sz w:val="28"/>
      <w:szCs w:val="28"/>
    </w:rPr>
  </w:style>
  <w:style w:type="character" w:customStyle="1" w:styleId="a3">
    <w:name w:val="页脚 字符"/>
    <w:basedOn w:val="DefaultParagraphFont"/>
    <w:link w:val="Footer"/>
    <w:uiPriority w:val="99"/>
    <w:qFormat/>
    <w:rPr>
      <w:kern w:val="2"/>
      <w:sz w:val="18"/>
      <w:szCs w:val="24"/>
    </w:rPr>
  </w:style>
  <w:style w:type="character" w:customStyle="1" w:styleId="a4">
    <w:name w:val="标题 字符"/>
    <w:basedOn w:val="DefaultParagraphFont"/>
    <w:link w:val="Title"/>
    <w:qFormat/>
    <w:rPr>
      <w:rFonts w:asciiTheme="majorHAnsi" w:eastAsiaTheme="majorEastAsia" w:hAnsiTheme="majorHAnsi" w:cstheme="majorBidi"/>
      <w:b/>
      <w:bCs/>
      <w:kern w:val="2"/>
      <w:sz w:val="32"/>
      <w:szCs w:val="32"/>
    </w:rPr>
  </w:style>
  <w:style w:type="character" w:customStyle="1" w:styleId="a5">
    <w:name w:val="尾注文本 字符"/>
    <w:basedOn w:val="DefaultParagraphFont"/>
    <w:link w:val="EndnoteText"/>
    <w:qFormat/>
    <w:rPr>
      <w:kern w:val="2"/>
      <w:sz w:val="24"/>
      <w:szCs w:val="24"/>
    </w:rPr>
  </w:style>
  <w:style w:type="character" w:customStyle="1" w:styleId="a6">
    <w:name w:val="脚注文本 字符"/>
    <w:basedOn w:val="DefaultParagraphFont"/>
    <w:link w:val="FootnoteText"/>
    <w:qFormat/>
    <w:rPr>
      <w:kern w:val="2"/>
      <w:sz w:val="18"/>
      <w:szCs w:val="18"/>
    </w:rPr>
  </w:style>
  <w:style w:type="paragraph" w:customStyle="1" w:styleId="a7">
    <w:name w:val="论文正文"/>
    <w:basedOn w:val="BodyText"/>
    <w:qFormat/>
    <w:pPr>
      <w:spacing w:after="0" w:line="400" w:lineRule="exact"/>
      <w:ind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yperlink" Target="https://d.book118.com/956153013054010100" TargetMode="Externa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BE9504-50C3-4D14-91B2-DCB8C9CDD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11</Pages>
  <Words>1913</Words>
  <Characters>10906</Characters>
  <Application>Microsoft Office Word</Application>
  <DocSecurity>0</DocSecurity>
  <Lines>90</Lines>
  <Paragraphs>25</Paragraphs>
  <ScaleCrop>false</ScaleCrop>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世兴 王</cp:lastModifiedBy>
  <cp:revision>54</cp:revision>
  <cp:lastPrinted>2022-05-21T08:28:00Z</cp:lastPrinted>
  <dcterms:created xsi:type="dcterms:W3CDTF">2022-04-19T03:09:00Z</dcterms:created>
  <dcterms:modified xsi:type="dcterms:W3CDTF">2024-03-10T08:59:00Z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F3B6E9EF8259468D9327AD8E35CAB8C3</vt:lpwstr>
  </property>
  <property fmtid="{D5CDD505-2E9C-101B-9397-08002B2CF9AE}" pid="3" name="KSOProductBuildVer">
    <vt:lpwstr>2052-11.1.0.10009</vt:lpwstr>
  </property>
</Properties>
</file>