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超细Γ-AL2O3微粉项目概述报告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40" w:history="1">
        <w:r>
          <w:rPr>
            <w:rFonts w:ascii="仿宋" w:eastAsia="仿宋" w:hAnsi="仿宋" w:cs="仿宋" w:hint="eastAsia"/>
            <w:lang w:eastAsia="zh-CN"/>
          </w:rPr>
          <w:t>概论</w:t>
        </w:r>
        <w:r>
          <w:tab/>
        </w:r>
        <w:r>
          <w:fldChar w:fldCharType="begin"/>
        </w:r>
        <w:r>
          <w:instrText xml:space="preserve"> PAGEREF _Toc17540 \h </w:instrText>
        </w:r>
        <w:r>
          <w:fldChar w:fldCharType="separate"/>
        </w:r>
        <w:r>
          <w:t>3</w:t>
        </w:r>
        <w:r>
          <w:fldChar w:fldCharType="end"/>
        </w:r>
      </w:hyperlink>
    </w:p>
    <w:p>
      <w:pPr>
        <w:pStyle w:val="TOC1"/>
        <w:tabs>
          <w:tab w:val="right" w:leader="dot" w:pos="8306"/>
        </w:tabs>
      </w:pPr>
      <w:hyperlink w:anchor="_Toc29034" w:history="1">
        <w:r>
          <w:rPr>
            <w:rFonts w:ascii="仿宋" w:eastAsia="仿宋" w:hAnsi="仿宋" w:cs="仿宋" w:hint="eastAsia"/>
            <w:lang w:eastAsia="zh-CN"/>
          </w:rPr>
          <w:t>一、超细Γ-AL2O3微粉项目市场前景分析</w:t>
        </w:r>
        <w:r>
          <w:tab/>
        </w:r>
        <w:r>
          <w:fldChar w:fldCharType="begin"/>
        </w:r>
        <w:r>
          <w:instrText xml:space="preserve"> PAGEREF _Toc29034 \h </w:instrText>
        </w:r>
        <w:r>
          <w:fldChar w:fldCharType="separate"/>
        </w:r>
        <w:r>
          <w:t>3</w:t>
        </w:r>
        <w:r>
          <w:fldChar w:fldCharType="end"/>
        </w:r>
      </w:hyperlink>
    </w:p>
    <w:p>
      <w:pPr>
        <w:pStyle w:val="TOC2"/>
        <w:tabs>
          <w:tab w:val="right" w:leader="dot" w:pos="8306"/>
        </w:tabs>
      </w:pPr>
      <w:hyperlink w:anchor="_Toc13932" w:history="1">
        <w:r>
          <w:rPr>
            <w:rFonts w:ascii="仿宋" w:eastAsia="仿宋" w:hAnsi="仿宋" w:cs="仿宋" w:hint="eastAsia"/>
            <w:lang w:eastAsia="zh-CN"/>
          </w:rPr>
          <w:t>(一)、建设地经济发展概况</w:t>
        </w:r>
        <w:r>
          <w:tab/>
        </w:r>
        <w:r>
          <w:fldChar w:fldCharType="begin"/>
        </w:r>
        <w:r>
          <w:instrText xml:space="preserve"> PAGEREF _Toc13932 \h </w:instrText>
        </w:r>
        <w:r>
          <w:fldChar w:fldCharType="separate"/>
        </w:r>
        <w:r>
          <w:t>3</w:t>
        </w:r>
        <w:r>
          <w:fldChar w:fldCharType="end"/>
        </w:r>
      </w:hyperlink>
    </w:p>
    <w:p>
      <w:pPr>
        <w:pStyle w:val="TOC2"/>
        <w:tabs>
          <w:tab w:val="right" w:leader="dot" w:pos="8306"/>
        </w:tabs>
      </w:pPr>
      <w:hyperlink w:anchor="_Toc19576" w:history="1">
        <w:r>
          <w:rPr>
            <w:rFonts w:ascii="仿宋" w:eastAsia="仿宋" w:hAnsi="仿宋" w:cs="仿宋" w:hint="eastAsia"/>
            <w:lang w:eastAsia="zh-CN"/>
          </w:rPr>
          <w:t>(二)、行业市场分析</w:t>
        </w:r>
        <w:r>
          <w:tab/>
        </w:r>
        <w:r>
          <w:fldChar w:fldCharType="begin"/>
        </w:r>
        <w:r>
          <w:instrText xml:space="preserve"> PAGEREF _Toc19576 \h </w:instrText>
        </w:r>
        <w:r>
          <w:fldChar w:fldCharType="separate"/>
        </w:r>
        <w:r>
          <w:t>5</w:t>
        </w:r>
        <w:r>
          <w:fldChar w:fldCharType="end"/>
        </w:r>
      </w:hyperlink>
    </w:p>
    <w:p>
      <w:pPr>
        <w:pStyle w:val="TOC1"/>
        <w:tabs>
          <w:tab w:val="right" w:leader="dot" w:pos="8306"/>
        </w:tabs>
      </w:pPr>
      <w:hyperlink w:anchor="_Toc17036" w:history="1">
        <w:r>
          <w:rPr>
            <w:rFonts w:ascii="仿宋" w:eastAsia="仿宋" w:hAnsi="仿宋" w:cs="仿宋" w:hint="eastAsia"/>
            <w:lang w:eastAsia="zh-CN"/>
          </w:rPr>
          <w:t>二、工艺分析</w:t>
        </w:r>
        <w:r>
          <w:tab/>
        </w:r>
        <w:r>
          <w:fldChar w:fldCharType="begin"/>
        </w:r>
        <w:r>
          <w:instrText xml:space="preserve"> PAGEREF _Toc17036 \h </w:instrText>
        </w:r>
        <w:r>
          <w:fldChar w:fldCharType="separate"/>
        </w:r>
        <w:r>
          <w:t>6</w:t>
        </w:r>
        <w:r>
          <w:fldChar w:fldCharType="end"/>
        </w:r>
      </w:hyperlink>
    </w:p>
    <w:p>
      <w:pPr>
        <w:pStyle w:val="TOC2"/>
        <w:tabs>
          <w:tab w:val="right" w:leader="dot" w:pos="8306"/>
        </w:tabs>
      </w:pPr>
      <w:hyperlink w:anchor="_Toc16731" w:history="1">
        <w:r>
          <w:rPr>
            <w:rFonts w:ascii="仿宋" w:eastAsia="仿宋" w:hAnsi="仿宋" w:cs="仿宋" w:hint="eastAsia"/>
            <w:lang w:eastAsia="zh-CN"/>
          </w:rPr>
          <w:t>(一)、技术管理特点</w:t>
        </w:r>
        <w:r>
          <w:tab/>
        </w:r>
        <w:r>
          <w:fldChar w:fldCharType="begin"/>
        </w:r>
        <w:r>
          <w:instrText xml:space="preserve"> PAGEREF _Toc16731 \h </w:instrText>
        </w:r>
        <w:r>
          <w:fldChar w:fldCharType="separate"/>
        </w:r>
        <w:r>
          <w:t>6</w:t>
        </w:r>
        <w:r>
          <w:fldChar w:fldCharType="end"/>
        </w:r>
      </w:hyperlink>
    </w:p>
    <w:p>
      <w:pPr>
        <w:pStyle w:val="TOC2"/>
        <w:tabs>
          <w:tab w:val="right" w:leader="dot" w:pos="8306"/>
        </w:tabs>
      </w:pPr>
      <w:hyperlink w:anchor="_Toc17595" w:history="1">
        <w:r>
          <w:rPr>
            <w:rFonts w:ascii="仿宋" w:eastAsia="仿宋" w:hAnsi="仿宋" w:cs="仿宋" w:hint="eastAsia"/>
            <w:lang w:eastAsia="zh-CN"/>
          </w:rPr>
          <w:t>(二)、超细Γ-AL2O3微粉项目工艺技术设计方案</w:t>
        </w:r>
        <w:r>
          <w:tab/>
        </w:r>
        <w:r>
          <w:fldChar w:fldCharType="begin"/>
        </w:r>
        <w:r>
          <w:instrText xml:space="preserve"> PAGEREF _Toc17595 \h </w:instrText>
        </w:r>
        <w:r>
          <w:fldChar w:fldCharType="separate"/>
        </w:r>
        <w:r>
          <w:t>7</w:t>
        </w:r>
        <w:r>
          <w:fldChar w:fldCharType="end"/>
        </w:r>
      </w:hyperlink>
    </w:p>
    <w:p>
      <w:pPr>
        <w:pStyle w:val="TOC2"/>
        <w:tabs>
          <w:tab w:val="right" w:leader="dot" w:pos="8306"/>
        </w:tabs>
      </w:pPr>
      <w:hyperlink w:anchor="_Toc4710" w:history="1">
        <w:r>
          <w:rPr>
            <w:rFonts w:ascii="仿宋" w:eastAsia="仿宋" w:hAnsi="仿宋" w:cs="仿宋" w:hint="eastAsia"/>
            <w:lang w:eastAsia="zh-CN"/>
          </w:rPr>
          <w:t>(三)、设备选型方案</w:t>
        </w:r>
        <w:r>
          <w:tab/>
        </w:r>
        <w:r>
          <w:fldChar w:fldCharType="begin"/>
        </w:r>
        <w:r>
          <w:instrText xml:space="preserve"> PAGEREF _Toc4710 \h </w:instrText>
        </w:r>
        <w:r>
          <w:fldChar w:fldCharType="separate"/>
        </w:r>
        <w:r>
          <w:t>8</w:t>
        </w:r>
        <w:r>
          <w:fldChar w:fldCharType="end"/>
        </w:r>
      </w:hyperlink>
    </w:p>
    <w:p>
      <w:pPr>
        <w:pStyle w:val="TOC1"/>
        <w:tabs>
          <w:tab w:val="right" w:leader="dot" w:pos="8306"/>
        </w:tabs>
      </w:pPr>
      <w:hyperlink w:anchor="_Toc23666" w:history="1">
        <w:r>
          <w:rPr>
            <w:rFonts w:ascii="仿宋" w:eastAsia="仿宋" w:hAnsi="仿宋" w:cs="仿宋" w:hint="eastAsia"/>
            <w:lang w:eastAsia="zh-CN"/>
          </w:rPr>
          <w:t>三、建设单位基本信息</w:t>
        </w:r>
        <w:r>
          <w:tab/>
        </w:r>
        <w:r>
          <w:fldChar w:fldCharType="begin"/>
        </w:r>
        <w:r>
          <w:instrText xml:space="preserve"> PAGEREF _Toc23666 \h </w:instrText>
        </w:r>
        <w:r>
          <w:fldChar w:fldCharType="separate"/>
        </w:r>
        <w:r>
          <w:t>9</w:t>
        </w:r>
        <w:r>
          <w:fldChar w:fldCharType="end"/>
        </w:r>
      </w:hyperlink>
    </w:p>
    <w:p>
      <w:pPr>
        <w:pStyle w:val="TOC2"/>
        <w:tabs>
          <w:tab w:val="right" w:leader="dot" w:pos="8306"/>
        </w:tabs>
      </w:pPr>
      <w:hyperlink w:anchor="_Toc30167" w:history="1">
        <w:r>
          <w:rPr>
            <w:rFonts w:ascii="仿宋" w:eastAsia="仿宋" w:hAnsi="仿宋" w:cs="仿宋" w:hint="eastAsia"/>
            <w:lang w:eastAsia="zh-CN"/>
          </w:rPr>
          <w:t>(一)、超细Γ-AL2O3微粉项目承办单位基本情况</w:t>
        </w:r>
        <w:r>
          <w:tab/>
        </w:r>
        <w:r>
          <w:fldChar w:fldCharType="begin"/>
        </w:r>
        <w:r>
          <w:instrText xml:space="preserve"> PAGEREF _Toc30167 \h </w:instrText>
        </w:r>
        <w:r>
          <w:fldChar w:fldCharType="separate"/>
        </w:r>
        <w:r>
          <w:t>9</w:t>
        </w:r>
        <w:r>
          <w:fldChar w:fldCharType="end"/>
        </w:r>
      </w:hyperlink>
    </w:p>
    <w:p>
      <w:pPr>
        <w:pStyle w:val="TOC2"/>
        <w:tabs>
          <w:tab w:val="right" w:leader="dot" w:pos="8306"/>
        </w:tabs>
      </w:pPr>
      <w:hyperlink w:anchor="_Toc20728" w:history="1">
        <w:r>
          <w:rPr>
            <w:rFonts w:ascii="仿宋" w:eastAsia="仿宋" w:hAnsi="仿宋" w:cs="仿宋" w:hint="eastAsia"/>
            <w:lang w:eastAsia="zh-CN"/>
          </w:rPr>
          <w:t>(二)、公司经济效益分析</w:t>
        </w:r>
        <w:r>
          <w:tab/>
        </w:r>
        <w:r>
          <w:fldChar w:fldCharType="begin"/>
        </w:r>
        <w:r>
          <w:instrText xml:space="preserve"> PAGEREF _Toc20728 \h </w:instrText>
        </w:r>
        <w:r>
          <w:fldChar w:fldCharType="separate"/>
        </w:r>
        <w:r>
          <w:t>10</w:t>
        </w:r>
        <w:r>
          <w:fldChar w:fldCharType="end"/>
        </w:r>
      </w:hyperlink>
    </w:p>
    <w:p>
      <w:pPr>
        <w:pStyle w:val="TOC1"/>
        <w:tabs>
          <w:tab w:val="right" w:leader="dot" w:pos="8306"/>
        </w:tabs>
      </w:pPr>
      <w:hyperlink w:anchor="_Toc24535" w:history="1">
        <w:r>
          <w:rPr>
            <w:rFonts w:ascii="仿宋" w:eastAsia="仿宋" w:hAnsi="仿宋" w:cs="仿宋" w:hint="eastAsia"/>
            <w:lang w:eastAsia="zh-CN"/>
          </w:rPr>
          <w:t>四、土建工程设计</w:t>
        </w:r>
        <w:r>
          <w:tab/>
        </w:r>
        <w:r>
          <w:fldChar w:fldCharType="begin"/>
        </w:r>
        <w:r>
          <w:instrText xml:space="preserve"> PAGEREF _Toc24535 \h </w:instrText>
        </w:r>
        <w:r>
          <w:fldChar w:fldCharType="separate"/>
        </w:r>
        <w:r>
          <w:t>12</w:t>
        </w:r>
        <w:r>
          <w:fldChar w:fldCharType="end"/>
        </w:r>
      </w:hyperlink>
    </w:p>
    <w:p>
      <w:pPr>
        <w:pStyle w:val="TOC2"/>
        <w:tabs>
          <w:tab w:val="right" w:leader="dot" w:pos="8306"/>
        </w:tabs>
      </w:pPr>
      <w:hyperlink w:anchor="_Toc20456" w:history="1">
        <w:r>
          <w:rPr>
            <w:rFonts w:ascii="仿宋" w:eastAsia="仿宋" w:hAnsi="仿宋" w:cs="仿宋" w:hint="eastAsia"/>
            <w:lang w:eastAsia="zh-CN"/>
          </w:rPr>
          <w:t>(一)、建筑工程设计原则</w:t>
        </w:r>
        <w:r>
          <w:tab/>
        </w:r>
        <w:r>
          <w:fldChar w:fldCharType="begin"/>
        </w:r>
        <w:r>
          <w:instrText xml:space="preserve"> PAGEREF _Toc20456 \h </w:instrText>
        </w:r>
        <w:r>
          <w:fldChar w:fldCharType="separate"/>
        </w:r>
        <w:r>
          <w:t>12</w:t>
        </w:r>
        <w:r>
          <w:fldChar w:fldCharType="end"/>
        </w:r>
      </w:hyperlink>
    </w:p>
    <w:p>
      <w:pPr>
        <w:pStyle w:val="TOC2"/>
        <w:tabs>
          <w:tab w:val="right" w:leader="dot" w:pos="8306"/>
        </w:tabs>
      </w:pPr>
      <w:hyperlink w:anchor="_Toc29019" w:history="1">
        <w:r>
          <w:rPr>
            <w:rFonts w:ascii="仿宋" w:eastAsia="仿宋" w:hAnsi="仿宋" w:cs="仿宋" w:hint="eastAsia"/>
            <w:lang w:eastAsia="zh-CN"/>
          </w:rPr>
          <w:t>(二)、土建工程设计年限及安全等级</w:t>
        </w:r>
        <w:r>
          <w:tab/>
        </w:r>
        <w:r>
          <w:fldChar w:fldCharType="begin"/>
        </w:r>
        <w:r>
          <w:instrText xml:space="preserve"> PAGEREF _Toc29019 \h </w:instrText>
        </w:r>
        <w:r>
          <w:fldChar w:fldCharType="separate"/>
        </w:r>
        <w:r>
          <w:t>13</w:t>
        </w:r>
        <w:r>
          <w:fldChar w:fldCharType="end"/>
        </w:r>
      </w:hyperlink>
    </w:p>
    <w:p>
      <w:pPr>
        <w:pStyle w:val="TOC2"/>
        <w:tabs>
          <w:tab w:val="right" w:leader="dot" w:pos="8306"/>
        </w:tabs>
      </w:pPr>
      <w:hyperlink w:anchor="_Toc8449" w:history="1">
        <w:r>
          <w:rPr>
            <w:rFonts w:ascii="仿宋" w:eastAsia="仿宋" w:hAnsi="仿宋" w:cs="仿宋" w:hint="eastAsia"/>
            <w:lang w:eastAsia="zh-CN"/>
          </w:rPr>
          <w:t>(三)、建筑工程设计总体要求</w:t>
        </w:r>
        <w:r>
          <w:tab/>
        </w:r>
        <w:r>
          <w:fldChar w:fldCharType="begin"/>
        </w:r>
        <w:r>
          <w:instrText xml:space="preserve"> PAGEREF _Toc8449 \h </w:instrText>
        </w:r>
        <w:r>
          <w:fldChar w:fldCharType="separate"/>
        </w:r>
        <w:r>
          <w:t>14</w:t>
        </w:r>
        <w:r>
          <w:fldChar w:fldCharType="end"/>
        </w:r>
      </w:hyperlink>
    </w:p>
    <w:p>
      <w:pPr>
        <w:pStyle w:val="TOC2"/>
        <w:tabs>
          <w:tab w:val="right" w:leader="dot" w:pos="8306"/>
        </w:tabs>
      </w:pPr>
      <w:hyperlink w:anchor="_Toc23359" w:history="1">
        <w:r>
          <w:rPr>
            <w:rFonts w:ascii="仿宋" w:eastAsia="仿宋" w:hAnsi="仿宋" w:cs="仿宋" w:hint="eastAsia"/>
            <w:lang w:eastAsia="zh-CN"/>
          </w:rPr>
          <w:t>(四)、土建工程建设指标</w:t>
        </w:r>
        <w:r>
          <w:tab/>
        </w:r>
        <w:r>
          <w:fldChar w:fldCharType="begin"/>
        </w:r>
        <w:r>
          <w:instrText xml:space="preserve"> PAGEREF _Toc23359 \h </w:instrText>
        </w:r>
        <w:r>
          <w:fldChar w:fldCharType="separate"/>
        </w:r>
        <w:r>
          <w:t>16</w:t>
        </w:r>
        <w:r>
          <w:fldChar w:fldCharType="end"/>
        </w:r>
      </w:hyperlink>
    </w:p>
    <w:p>
      <w:pPr>
        <w:pStyle w:val="TOC1"/>
        <w:tabs>
          <w:tab w:val="right" w:leader="dot" w:pos="8306"/>
        </w:tabs>
      </w:pPr>
      <w:hyperlink w:anchor="_Toc354" w:history="1">
        <w:r>
          <w:rPr>
            <w:rFonts w:ascii="仿宋" w:eastAsia="仿宋" w:hAnsi="仿宋" w:cs="仿宋" w:hint="eastAsia"/>
            <w:lang w:eastAsia="zh-CN"/>
          </w:rPr>
          <w:t>五、员工福利与企业文化</w:t>
        </w:r>
        <w:r>
          <w:tab/>
        </w:r>
        <w:r>
          <w:fldChar w:fldCharType="begin"/>
        </w:r>
        <w:r>
          <w:instrText xml:space="preserve"> PAGEREF _Toc354 \h </w:instrText>
        </w:r>
        <w:r>
          <w:fldChar w:fldCharType="separate"/>
        </w:r>
        <w:r>
          <w:t>18</w:t>
        </w:r>
        <w:r>
          <w:fldChar w:fldCharType="end"/>
        </w:r>
      </w:hyperlink>
    </w:p>
    <w:p>
      <w:pPr>
        <w:pStyle w:val="TOC2"/>
        <w:tabs>
          <w:tab w:val="right" w:leader="dot" w:pos="8306"/>
        </w:tabs>
      </w:pPr>
      <w:hyperlink w:anchor="_Toc16150" w:history="1">
        <w:r>
          <w:rPr>
            <w:rFonts w:ascii="仿宋" w:eastAsia="仿宋" w:hAnsi="仿宋" w:cs="仿宋" w:hint="eastAsia"/>
            <w:lang w:eastAsia="zh-CN"/>
          </w:rPr>
          <w:t>(一)、员工福利政策</w:t>
        </w:r>
        <w:r>
          <w:tab/>
        </w:r>
        <w:r>
          <w:fldChar w:fldCharType="begin"/>
        </w:r>
        <w:r>
          <w:instrText xml:space="preserve"> PAGEREF _Toc16150 \h </w:instrText>
        </w:r>
        <w:r>
          <w:fldChar w:fldCharType="separate"/>
        </w:r>
        <w:r>
          <w:t>18</w:t>
        </w:r>
        <w:r>
          <w:fldChar w:fldCharType="end"/>
        </w:r>
      </w:hyperlink>
    </w:p>
    <w:p>
      <w:pPr>
        <w:pStyle w:val="TOC2"/>
        <w:tabs>
          <w:tab w:val="right" w:leader="dot" w:pos="8306"/>
        </w:tabs>
      </w:pPr>
      <w:hyperlink w:anchor="_Toc10643" w:history="1">
        <w:r>
          <w:rPr>
            <w:rFonts w:ascii="仿宋" w:eastAsia="仿宋" w:hAnsi="仿宋" w:cs="仿宋" w:hint="eastAsia"/>
            <w:lang w:eastAsia="zh-CN"/>
          </w:rPr>
          <w:t>(二)、团队建设与员工培训</w:t>
        </w:r>
        <w:r>
          <w:tab/>
        </w:r>
        <w:r>
          <w:fldChar w:fldCharType="begin"/>
        </w:r>
        <w:r>
          <w:instrText xml:space="preserve"> PAGEREF _Toc10643 \h </w:instrText>
        </w:r>
        <w:r>
          <w:fldChar w:fldCharType="separate"/>
        </w:r>
        <w:r>
          <w:t>20</w:t>
        </w:r>
        <w:r>
          <w:fldChar w:fldCharType="end"/>
        </w:r>
      </w:hyperlink>
    </w:p>
    <w:p>
      <w:pPr>
        <w:pStyle w:val="TOC2"/>
        <w:tabs>
          <w:tab w:val="right" w:leader="dot" w:pos="8306"/>
        </w:tabs>
      </w:pPr>
      <w:hyperlink w:anchor="_Toc9082" w:history="1">
        <w:r>
          <w:rPr>
            <w:rFonts w:ascii="仿宋" w:eastAsia="仿宋" w:hAnsi="仿宋" w:cs="仿宋" w:hint="eastAsia"/>
            <w:lang w:eastAsia="zh-CN"/>
          </w:rPr>
          <w:t>(三)、企业文化建设</w:t>
        </w:r>
        <w:r>
          <w:tab/>
        </w:r>
        <w:r>
          <w:fldChar w:fldCharType="begin"/>
        </w:r>
        <w:r>
          <w:instrText xml:space="preserve"> PAGEREF _Toc9082 \h </w:instrText>
        </w:r>
        <w:r>
          <w:fldChar w:fldCharType="separate"/>
        </w:r>
        <w:r>
          <w:t>21</w:t>
        </w:r>
        <w:r>
          <w:fldChar w:fldCharType="end"/>
        </w:r>
      </w:hyperlink>
    </w:p>
    <w:p>
      <w:pPr>
        <w:pStyle w:val="TOC2"/>
        <w:tabs>
          <w:tab w:val="right" w:leader="dot" w:pos="8306"/>
        </w:tabs>
      </w:pPr>
      <w:hyperlink w:anchor="_Toc23836" w:history="1">
        <w:r>
          <w:rPr>
            <w:rFonts w:ascii="仿宋" w:eastAsia="仿宋" w:hAnsi="仿宋" w:cs="仿宋" w:hint="eastAsia"/>
            <w:lang w:eastAsia="zh-CN"/>
          </w:rPr>
          <w:t>(四)、员工健康与工作平衡</w:t>
        </w:r>
        <w:r>
          <w:tab/>
        </w:r>
        <w:r>
          <w:fldChar w:fldCharType="begin"/>
        </w:r>
        <w:r>
          <w:instrText xml:space="preserve"> PAGEREF _Toc23836 \h </w:instrText>
        </w:r>
        <w:r>
          <w:fldChar w:fldCharType="separate"/>
        </w:r>
        <w:r>
          <w:t>23</w:t>
        </w:r>
        <w:r>
          <w:fldChar w:fldCharType="end"/>
        </w:r>
      </w:hyperlink>
    </w:p>
    <w:p>
      <w:pPr>
        <w:pStyle w:val="TOC1"/>
        <w:tabs>
          <w:tab w:val="right" w:leader="dot" w:pos="8306"/>
        </w:tabs>
      </w:pPr>
      <w:hyperlink w:anchor="_Toc32741" w:history="1">
        <w:r>
          <w:rPr>
            <w:rFonts w:ascii="仿宋" w:eastAsia="仿宋" w:hAnsi="仿宋" w:cs="仿宋" w:hint="eastAsia"/>
            <w:lang w:eastAsia="zh-CN"/>
          </w:rPr>
          <w:t>六、超细Γ-AL2O3微粉项目风险评估</w:t>
        </w:r>
        <w:r>
          <w:tab/>
        </w:r>
        <w:r>
          <w:fldChar w:fldCharType="begin"/>
        </w:r>
        <w:r>
          <w:instrText xml:space="preserve"> PAGEREF _Toc32741 \h </w:instrText>
        </w:r>
        <w:r>
          <w:fldChar w:fldCharType="separate"/>
        </w:r>
        <w:r>
          <w:t>25</w:t>
        </w:r>
        <w:r>
          <w:fldChar w:fldCharType="end"/>
        </w:r>
      </w:hyperlink>
    </w:p>
    <w:p>
      <w:pPr>
        <w:pStyle w:val="TOC2"/>
        <w:tabs>
          <w:tab w:val="right" w:leader="dot" w:pos="8306"/>
        </w:tabs>
      </w:pPr>
      <w:hyperlink w:anchor="_Toc5996" w:history="1">
        <w:r>
          <w:rPr>
            <w:rFonts w:ascii="仿宋" w:eastAsia="仿宋" w:hAnsi="仿宋" w:cs="仿宋" w:hint="eastAsia"/>
            <w:lang w:eastAsia="zh-CN"/>
          </w:rPr>
          <w:t>(一)、政策风险分析</w:t>
        </w:r>
        <w:r>
          <w:tab/>
        </w:r>
        <w:r>
          <w:fldChar w:fldCharType="begin"/>
        </w:r>
        <w:r>
          <w:instrText xml:space="preserve"> PAGEREF _Toc5996 \h </w:instrText>
        </w:r>
        <w:r>
          <w:fldChar w:fldCharType="separate"/>
        </w:r>
        <w:r>
          <w:t>25</w:t>
        </w:r>
        <w:r>
          <w:fldChar w:fldCharType="end"/>
        </w:r>
      </w:hyperlink>
    </w:p>
    <w:p>
      <w:pPr>
        <w:pStyle w:val="TOC2"/>
        <w:tabs>
          <w:tab w:val="right" w:leader="dot" w:pos="8306"/>
        </w:tabs>
      </w:pPr>
      <w:hyperlink w:anchor="_Toc17504" w:history="1">
        <w:r>
          <w:rPr>
            <w:rFonts w:ascii="仿宋" w:eastAsia="仿宋" w:hAnsi="仿宋" w:cs="仿宋" w:hint="eastAsia"/>
            <w:lang w:eastAsia="zh-CN"/>
          </w:rPr>
          <w:t>(二)、社会风险分析</w:t>
        </w:r>
        <w:r>
          <w:tab/>
        </w:r>
        <w:r>
          <w:fldChar w:fldCharType="begin"/>
        </w:r>
        <w:r>
          <w:instrText xml:space="preserve"> PAGEREF _Toc17504 \h </w:instrText>
        </w:r>
        <w:r>
          <w:fldChar w:fldCharType="separate"/>
        </w:r>
        <w:r>
          <w:t>27</w:t>
        </w:r>
        <w:r>
          <w:fldChar w:fldCharType="end"/>
        </w:r>
      </w:hyperlink>
    </w:p>
    <w:p>
      <w:pPr>
        <w:pStyle w:val="TOC2"/>
        <w:tabs>
          <w:tab w:val="right" w:leader="dot" w:pos="8306"/>
        </w:tabs>
      </w:pPr>
      <w:hyperlink w:anchor="_Toc18782" w:history="1">
        <w:r>
          <w:rPr>
            <w:rFonts w:ascii="仿宋" w:eastAsia="仿宋" w:hAnsi="仿宋" w:cs="仿宋" w:hint="eastAsia"/>
            <w:lang w:eastAsia="zh-CN"/>
          </w:rPr>
          <w:t>(三)、市场风险分析</w:t>
        </w:r>
        <w:r>
          <w:tab/>
        </w:r>
        <w:r>
          <w:fldChar w:fldCharType="begin"/>
        </w:r>
        <w:r>
          <w:instrText xml:space="preserve"> PAGEREF _Toc18782 \h </w:instrText>
        </w:r>
        <w:r>
          <w:fldChar w:fldCharType="separate"/>
        </w:r>
        <w:r>
          <w:t>29</w:t>
        </w:r>
        <w:r>
          <w:fldChar w:fldCharType="end"/>
        </w:r>
      </w:hyperlink>
    </w:p>
    <w:p>
      <w:pPr>
        <w:pStyle w:val="TOC2"/>
        <w:tabs>
          <w:tab w:val="right" w:leader="dot" w:pos="8306"/>
        </w:tabs>
      </w:pPr>
      <w:hyperlink w:anchor="_Toc9090" w:history="1">
        <w:r>
          <w:rPr>
            <w:rFonts w:ascii="仿宋" w:eastAsia="仿宋" w:hAnsi="仿宋" w:cs="仿宋" w:hint="eastAsia"/>
            <w:lang w:eastAsia="zh-CN"/>
          </w:rPr>
          <w:t>(四)、资金风险分析</w:t>
        </w:r>
        <w:r>
          <w:tab/>
        </w:r>
        <w:r>
          <w:fldChar w:fldCharType="begin"/>
        </w:r>
        <w:r>
          <w:instrText xml:space="preserve"> PAGEREF _Toc9090 \h </w:instrText>
        </w:r>
        <w:r>
          <w:fldChar w:fldCharType="separate"/>
        </w:r>
        <w:r>
          <w:t>30</w:t>
        </w:r>
        <w:r>
          <w:fldChar w:fldCharType="end"/>
        </w:r>
      </w:hyperlink>
    </w:p>
    <w:p>
      <w:pPr>
        <w:pStyle w:val="TOC2"/>
        <w:tabs>
          <w:tab w:val="right" w:leader="dot" w:pos="8306"/>
        </w:tabs>
      </w:pPr>
      <w:hyperlink w:anchor="_Toc29612" w:history="1">
        <w:r>
          <w:rPr>
            <w:rFonts w:ascii="仿宋" w:eastAsia="仿宋" w:hAnsi="仿宋" w:cs="仿宋" w:hint="eastAsia"/>
            <w:lang w:eastAsia="zh-CN"/>
          </w:rPr>
          <w:t>(五)、技术风险分析</w:t>
        </w:r>
        <w:r>
          <w:tab/>
        </w:r>
        <w:r>
          <w:fldChar w:fldCharType="begin"/>
        </w:r>
        <w:r>
          <w:instrText xml:space="preserve"> PAGEREF _Toc29612 \h </w:instrText>
        </w:r>
        <w:r>
          <w:fldChar w:fldCharType="separate"/>
        </w:r>
        <w:r>
          <w:t>32</w:t>
        </w:r>
        <w:r>
          <w:fldChar w:fldCharType="end"/>
        </w:r>
      </w:hyperlink>
    </w:p>
    <w:p>
      <w:pPr>
        <w:pStyle w:val="TOC2"/>
        <w:tabs>
          <w:tab w:val="right" w:leader="dot" w:pos="8306"/>
        </w:tabs>
      </w:pPr>
      <w:hyperlink w:anchor="_Toc22938" w:history="1">
        <w:r>
          <w:rPr>
            <w:rFonts w:ascii="仿宋" w:eastAsia="仿宋" w:hAnsi="仿宋" w:cs="仿宋" w:hint="eastAsia"/>
            <w:lang w:eastAsia="zh-CN"/>
          </w:rPr>
          <w:t>(六)、财务风险分析</w:t>
        </w:r>
        <w:r>
          <w:tab/>
        </w:r>
        <w:r>
          <w:fldChar w:fldCharType="begin"/>
        </w:r>
        <w:r>
          <w:instrText xml:space="preserve"> PAGEREF _Toc22938 \h </w:instrText>
        </w:r>
        <w:r>
          <w:fldChar w:fldCharType="separate"/>
        </w:r>
        <w:r>
          <w:t>34</w:t>
        </w:r>
        <w:r>
          <w:fldChar w:fldCharType="end"/>
        </w:r>
      </w:hyperlink>
    </w:p>
    <w:p>
      <w:pPr>
        <w:pStyle w:val="TOC2"/>
        <w:tabs>
          <w:tab w:val="right" w:leader="dot" w:pos="8306"/>
        </w:tabs>
      </w:pPr>
      <w:hyperlink w:anchor="_Toc3583" w:history="1">
        <w:r>
          <w:rPr>
            <w:rFonts w:ascii="仿宋" w:eastAsia="仿宋" w:hAnsi="仿宋" w:cs="仿宋" w:hint="eastAsia"/>
            <w:lang w:eastAsia="zh-CN"/>
          </w:rPr>
          <w:t>(七)、管理风险分析</w:t>
        </w:r>
        <w:r>
          <w:tab/>
        </w:r>
        <w:r>
          <w:fldChar w:fldCharType="begin"/>
        </w:r>
        <w:r>
          <w:instrText xml:space="preserve"> PAGEREF _Toc3583 \h </w:instrText>
        </w:r>
        <w:r>
          <w:fldChar w:fldCharType="separate"/>
        </w:r>
        <w:r>
          <w:t>36</w:t>
        </w:r>
        <w:r>
          <w:fldChar w:fldCharType="end"/>
        </w:r>
      </w:hyperlink>
    </w:p>
    <w:p>
      <w:pPr>
        <w:pStyle w:val="TOC2"/>
        <w:tabs>
          <w:tab w:val="right" w:leader="dot" w:pos="8306"/>
        </w:tabs>
      </w:pPr>
      <w:hyperlink w:anchor="_Toc16889" w:history="1">
        <w:r>
          <w:rPr>
            <w:rFonts w:ascii="仿宋" w:eastAsia="仿宋" w:hAnsi="仿宋" w:cs="仿宋" w:hint="eastAsia"/>
            <w:lang w:eastAsia="zh-CN"/>
          </w:rPr>
          <w:t>(八)、其它风险分析</w:t>
        </w:r>
        <w:r>
          <w:tab/>
        </w:r>
        <w:r>
          <w:fldChar w:fldCharType="begin"/>
        </w:r>
        <w:r>
          <w:instrText xml:space="preserve"> PAGEREF _Toc16889 \h </w:instrText>
        </w:r>
        <w:r>
          <w:fldChar w:fldCharType="separate"/>
        </w:r>
        <w:r>
          <w:t>38</w:t>
        </w:r>
        <w:r>
          <w:fldChar w:fldCharType="end"/>
        </w:r>
      </w:hyperlink>
    </w:p>
    <w:p>
      <w:pPr>
        <w:pStyle w:val="TOC2"/>
        <w:tabs>
          <w:tab w:val="right" w:leader="dot" w:pos="8306"/>
        </w:tabs>
      </w:pPr>
      <w:hyperlink w:anchor="_Toc26497" w:history="1">
        <w:r>
          <w:rPr>
            <w:rFonts w:ascii="仿宋" w:eastAsia="仿宋" w:hAnsi="仿宋" w:cs="仿宋" w:hint="eastAsia"/>
            <w:lang w:eastAsia="zh-CN"/>
          </w:rPr>
          <w:t>(九)、社会影响评估</w:t>
        </w:r>
        <w:r>
          <w:tab/>
        </w:r>
        <w:r>
          <w:fldChar w:fldCharType="begin"/>
        </w:r>
        <w:r>
          <w:instrText xml:space="preserve"> PAGEREF _Toc26497 \h </w:instrText>
        </w:r>
        <w:r>
          <w:fldChar w:fldCharType="separate"/>
        </w:r>
        <w:r>
          <w:t>40</w:t>
        </w:r>
        <w:r>
          <w:fldChar w:fldCharType="end"/>
        </w:r>
      </w:hyperlink>
    </w:p>
    <w:p>
      <w:pPr>
        <w:pStyle w:val="TOC1"/>
        <w:tabs>
          <w:tab w:val="right" w:leader="dot" w:pos="8306"/>
        </w:tabs>
      </w:pPr>
      <w:hyperlink w:anchor="_Toc21428" w:history="1">
        <w:r>
          <w:rPr>
            <w:rFonts w:ascii="仿宋" w:eastAsia="仿宋" w:hAnsi="仿宋" w:cs="仿宋" w:hint="eastAsia"/>
            <w:lang w:eastAsia="zh-CN"/>
          </w:rPr>
          <w:t>七、投资背景及必要性分析</w:t>
        </w:r>
        <w:r>
          <w:tab/>
        </w:r>
        <w:r>
          <w:fldChar w:fldCharType="begin"/>
        </w:r>
        <w:r>
          <w:instrText xml:space="preserve"> PAGEREF _Toc21428 \h </w:instrText>
        </w:r>
        <w:r>
          <w:fldChar w:fldCharType="separate"/>
        </w:r>
        <w:r>
          <w:t>41</w:t>
        </w:r>
        <w:r>
          <w:fldChar w:fldCharType="end"/>
        </w:r>
      </w:hyperlink>
    </w:p>
    <w:p>
      <w:pPr>
        <w:pStyle w:val="TOC2"/>
        <w:tabs>
          <w:tab w:val="right" w:leader="dot" w:pos="8306"/>
        </w:tabs>
      </w:pPr>
      <w:hyperlink w:anchor="_Toc21800" w:history="1">
        <w:r>
          <w:rPr>
            <w:rFonts w:ascii="仿宋" w:eastAsia="仿宋" w:hAnsi="仿宋" w:cs="仿宋" w:hint="eastAsia"/>
            <w:lang w:eastAsia="zh-CN"/>
          </w:rPr>
          <w:t>(一)、超细Γ-AL2O3微粉项目承办单位背景分析</w:t>
        </w:r>
        <w:r>
          <w:tab/>
        </w:r>
        <w:r>
          <w:fldChar w:fldCharType="begin"/>
        </w:r>
        <w:r>
          <w:instrText xml:space="preserve"> PAGEREF _Toc21800 \h </w:instrText>
        </w:r>
        <w:r>
          <w:fldChar w:fldCharType="separate"/>
        </w:r>
        <w:r>
          <w:t>41</w:t>
        </w:r>
        <w:r>
          <w:fldChar w:fldCharType="end"/>
        </w:r>
      </w:hyperlink>
    </w:p>
    <w:p>
      <w:pPr>
        <w:pStyle w:val="TOC2"/>
        <w:tabs>
          <w:tab w:val="right" w:leader="dot" w:pos="8306"/>
        </w:tabs>
      </w:pPr>
      <w:hyperlink w:anchor="_Toc10587" w:history="1">
        <w:r>
          <w:rPr>
            <w:rFonts w:ascii="仿宋" w:eastAsia="仿宋" w:hAnsi="仿宋" w:cs="仿宋" w:hint="eastAsia"/>
            <w:lang w:eastAsia="zh-CN"/>
          </w:rPr>
          <w:t>(二)、产业政策及发展规划</w:t>
        </w:r>
        <w:r>
          <w:tab/>
        </w:r>
        <w:r>
          <w:fldChar w:fldCharType="begin"/>
        </w:r>
        <w:r>
          <w:instrText xml:space="preserve"> PAGEREF _Toc10587 \h </w:instrText>
        </w:r>
        <w:r>
          <w:fldChar w:fldCharType="separate"/>
        </w:r>
        <w:r>
          <w:t>42</w:t>
        </w:r>
        <w:r>
          <w:fldChar w:fldCharType="end"/>
        </w:r>
      </w:hyperlink>
    </w:p>
    <w:p>
      <w:pPr>
        <w:pStyle w:val="TOC2"/>
        <w:tabs>
          <w:tab w:val="right" w:leader="dot" w:pos="8306"/>
        </w:tabs>
      </w:pPr>
      <w:hyperlink w:anchor="_Toc25347" w:history="1">
        <w:r>
          <w:rPr>
            <w:rFonts w:ascii="仿宋" w:eastAsia="仿宋" w:hAnsi="仿宋" w:cs="仿宋" w:hint="eastAsia"/>
            <w:lang w:eastAsia="zh-CN"/>
          </w:rPr>
          <w:t>(三)、鼓励中小企业发展</w:t>
        </w:r>
        <w:r>
          <w:tab/>
        </w:r>
        <w:r>
          <w:fldChar w:fldCharType="begin"/>
        </w:r>
        <w:r>
          <w:instrText xml:space="preserve"> PAGEREF _Toc25347 \h </w:instrText>
        </w:r>
        <w:r>
          <w:fldChar w:fldCharType="separate"/>
        </w:r>
        <w:r>
          <w:t>44</w:t>
        </w:r>
        <w:r>
          <w:fldChar w:fldCharType="end"/>
        </w:r>
      </w:hyperlink>
    </w:p>
    <w:p>
      <w:pPr>
        <w:pStyle w:val="TOC2"/>
        <w:tabs>
          <w:tab w:val="right" w:leader="dot" w:pos="8306"/>
        </w:tabs>
      </w:pPr>
      <w:hyperlink w:anchor="_Toc4978" w:history="1">
        <w:r>
          <w:rPr>
            <w:rFonts w:ascii="仿宋" w:eastAsia="仿宋" w:hAnsi="仿宋" w:cs="仿宋" w:hint="eastAsia"/>
            <w:lang w:eastAsia="zh-CN"/>
          </w:rPr>
          <w:t>(四)、宏观经济形势分析</w:t>
        </w:r>
        <w:r>
          <w:tab/>
        </w:r>
        <w:r>
          <w:fldChar w:fldCharType="begin"/>
        </w:r>
        <w:r>
          <w:instrText xml:space="preserve"> PAGEREF _Toc4978 \h </w:instrText>
        </w:r>
        <w:r>
          <w:fldChar w:fldCharType="separate"/>
        </w:r>
        <w:r>
          <w:t>45</w:t>
        </w:r>
        <w:r>
          <w:fldChar w:fldCharType="end"/>
        </w:r>
      </w:hyperlink>
    </w:p>
    <w:p>
      <w:pPr>
        <w:pStyle w:val="TOC2"/>
        <w:tabs>
          <w:tab w:val="right" w:leader="dot" w:pos="8306"/>
        </w:tabs>
      </w:pPr>
      <w:hyperlink w:anchor="_Toc10586" w:history="1">
        <w:r>
          <w:rPr>
            <w:rFonts w:ascii="仿宋" w:eastAsia="仿宋" w:hAnsi="仿宋" w:cs="仿宋" w:hint="eastAsia"/>
            <w:lang w:eastAsia="zh-CN"/>
          </w:rPr>
          <w:t>(五)、区域经济发展概况</w:t>
        </w:r>
        <w:r>
          <w:tab/>
        </w:r>
        <w:r>
          <w:fldChar w:fldCharType="begin"/>
        </w:r>
        <w:r>
          <w:instrText xml:space="preserve"> PAGEREF _Toc10586 \h </w:instrText>
        </w:r>
        <w:r>
          <w:fldChar w:fldCharType="separate"/>
        </w:r>
        <w:r>
          <w:t>46</w:t>
        </w:r>
        <w:r>
          <w:fldChar w:fldCharType="end"/>
        </w:r>
      </w:hyperlink>
    </w:p>
    <w:p>
      <w:pPr>
        <w:pStyle w:val="TOC2"/>
        <w:tabs>
          <w:tab w:val="right" w:leader="dot" w:pos="8306"/>
        </w:tabs>
      </w:pPr>
      <w:hyperlink w:anchor="_Toc29621" w:history="1">
        <w:r>
          <w:rPr>
            <w:rFonts w:ascii="仿宋" w:eastAsia="仿宋" w:hAnsi="仿宋" w:cs="仿宋" w:hint="eastAsia"/>
            <w:lang w:eastAsia="zh-CN"/>
          </w:rPr>
          <w:t>(六)、超细Γ-AL2O3微粉项目必要性分析</w:t>
        </w:r>
        <w:r>
          <w:tab/>
        </w:r>
        <w:r>
          <w:fldChar w:fldCharType="begin"/>
        </w:r>
        <w:r>
          <w:instrText xml:space="preserve"> PAGEREF _Toc29621 \h </w:instrText>
        </w:r>
        <w:r>
          <w:fldChar w:fldCharType="separate"/>
        </w:r>
        <w:r>
          <w:t>48</w:t>
        </w:r>
        <w:r>
          <w:fldChar w:fldCharType="end"/>
        </w:r>
      </w:hyperlink>
    </w:p>
    <w:p>
      <w:pPr>
        <w:pStyle w:val="TOC1"/>
        <w:tabs>
          <w:tab w:val="right" w:leader="dot" w:pos="8306"/>
        </w:tabs>
      </w:pPr>
      <w:hyperlink w:anchor="_Toc11101" w:history="1">
        <w:r>
          <w:rPr>
            <w:rFonts w:ascii="仿宋" w:eastAsia="仿宋" w:hAnsi="仿宋" w:cs="仿宋" w:hint="eastAsia"/>
            <w:lang w:eastAsia="zh-CN"/>
          </w:rPr>
          <w:t>八、超细Γ-AL2O3微粉项目投资可行性分析</w:t>
        </w:r>
        <w:r>
          <w:tab/>
        </w:r>
        <w:r>
          <w:fldChar w:fldCharType="begin"/>
        </w:r>
        <w:r>
          <w:instrText xml:space="preserve"> PAGEREF _Toc11101 \h </w:instrText>
        </w:r>
        <w:r>
          <w:fldChar w:fldCharType="separate"/>
        </w:r>
        <w:r>
          <w:t>50</w:t>
        </w:r>
        <w:r>
          <w:fldChar w:fldCharType="end"/>
        </w:r>
      </w:hyperlink>
    </w:p>
    <w:p>
      <w:pPr>
        <w:pStyle w:val="TOC2"/>
        <w:tabs>
          <w:tab w:val="right" w:leader="dot" w:pos="8306"/>
        </w:tabs>
      </w:pPr>
      <w:hyperlink w:anchor="_Toc20328" w:history="1">
        <w:r>
          <w:rPr>
            <w:rFonts w:ascii="仿宋" w:eastAsia="仿宋" w:hAnsi="仿宋" w:cs="仿宋" w:hint="eastAsia"/>
            <w:lang w:eastAsia="zh-CN"/>
          </w:rPr>
          <w:t>(一)、超细Γ-AL2O3微粉项目估算说明</w:t>
        </w:r>
        <w:r>
          <w:tab/>
        </w:r>
        <w:r>
          <w:fldChar w:fldCharType="begin"/>
        </w:r>
        <w:r>
          <w:instrText xml:space="preserve"> PAGEREF _Toc20328 \h </w:instrText>
        </w:r>
        <w:r>
          <w:fldChar w:fldCharType="separate"/>
        </w:r>
        <w:r>
          <w:t>50</w:t>
        </w:r>
        <w:r>
          <w:fldChar w:fldCharType="end"/>
        </w:r>
      </w:hyperlink>
    </w:p>
    <w:p>
      <w:pPr>
        <w:pStyle w:val="TOC2"/>
        <w:tabs>
          <w:tab w:val="right" w:leader="dot" w:pos="8306"/>
        </w:tabs>
      </w:pPr>
      <w:hyperlink w:anchor="_Toc5298" w:history="1">
        <w:r>
          <w:rPr>
            <w:rFonts w:ascii="仿宋" w:eastAsia="仿宋" w:hAnsi="仿宋" w:cs="仿宋" w:hint="eastAsia"/>
            <w:lang w:eastAsia="zh-CN"/>
          </w:rPr>
          <w:t>(二)、超细Γ-AL2O3微粉项目总投资估算</w:t>
        </w:r>
        <w:r>
          <w:tab/>
        </w:r>
        <w:r>
          <w:fldChar w:fldCharType="begin"/>
        </w:r>
        <w:r>
          <w:instrText xml:space="preserve"> PAGEREF _Toc5298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59" w:history="1">
        <w:r>
          <w:rPr>
            <w:rFonts w:ascii="仿宋" w:eastAsia="仿宋" w:hAnsi="仿宋" w:cs="仿宋" w:hint="eastAsia"/>
            <w:lang w:eastAsia="zh-CN"/>
          </w:rPr>
          <w:t>(三)、资金筹措</w:t>
        </w:r>
        <w:r>
          <w:tab/>
        </w:r>
        <w:r>
          <w:fldChar w:fldCharType="begin"/>
        </w:r>
        <w:r>
          <w:instrText xml:space="preserve"> PAGEREF _Toc14659 \h </w:instrText>
        </w:r>
        <w:r>
          <w:fldChar w:fldCharType="separate"/>
        </w:r>
        <w:r>
          <w:t>52</w:t>
        </w:r>
        <w:r>
          <w:fldChar w:fldCharType="end"/>
        </w:r>
      </w:hyperlink>
    </w:p>
    <w:p>
      <w:pPr>
        <w:pStyle w:val="TOC1"/>
        <w:tabs>
          <w:tab w:val="right" w:leader="dot" w:pos="8306"/>
        </w:tabs>
      </w:pPr>
      <w:hyperlink w:anchor="_Toc5166" w:history="1">
        <w:r>
          <w:rPr>
            <w:rFonts w:ascii="仿宋" w:eastAsia="仿宋" w:hAnsi="仿宋" w:cs="仿宋" w:hint="eastAsia"/>
            <w:lang w:eastAsia="zh-CN"/>
          </w:rPr>
          <w:t>九、供应链管理与物流优化</w:t>
        </w:r>
        <w:r>
          <w:tab/>
        </w:r>
        <w:r>
          <w:fldChar w:fldCharType="begin"/>
        </w:r>
        <w:r>
          <w:instrText xml:space="preserve"> PAGEREF _Toc5166 \h </w:instrText>
        </w:r>
        <w:r>
          <w:fldChar w:fldCharType="separate"/>
        </w:r>
        <w:r>
          <w:t>54</w:t>
        </w:r>
        <w:r>
          <w:fldChar w:fldCharType="end"/>
        </w:r>
      </w:hyperlink>
    </w:p>
    <w:p>
      <w:pPr>
        <w:pStyle w:val="TOC2"/>
        <w:tabs>
          <w:tab w:val="right" w:leader="dot" w:pos="8306"/>
        </w:tabs>
      </w:pPr>
      <w:hyperlink w:anchor="_Toc30661" w:history="1">
        <w:r>
          <w:rPr>
            <w:rFonts w:ascii="仿宋" w:eastAsia="仿宋" w:hAnsi="仿宋" w:cs="仿宋" w:hint="eastAsia"/>
            <w:lang w:eastAsia="zh-CN"/>
          </w:rPr>
          <w:t>(一)、供应链规划与优化</w:t>
        </w:r>
        <w:r>
          <w:tab/>
        </w:r>
        <w:r>
          <w:fldChar w:fldCharType="begin"/>
        </w:r>
        <w:r>
          <w:instrText xml:space="preserve"> PAGEREF _Toc30661 \h </w:instrText>
        </w:r>
        <w:r>
          <w:fldChar w:fldCharType="separate"/>
        </w:r>
        <w:r>
          <w:t>54</w:t>
        </w:r>
        <w:r>
          <w:fldChar w:fldCharType="end"/>
        </w:r>
      </w:hyperlink>
    </w:p>
    <w:p>
      <w:pPr>
        <w:pStyle w:val="TOC2"/>
        <w:tabs>
          <w:tab w:val="right" w:leader="dot" w:pos="8306"/>
        </w:tabs>
      </w:pPr>
      <w:hyperlink w:anchor="_Toc17772" w:history="1">
        <w:r>
          <w:rPr>
            <w:rFonts w:ascii="仿宋" w:eastAsia="仿宋" w:hAnsi="仿宋" w:cs="仿宋" w:hint="eastAsia"/>
            <w:lang w:eastAsia="zh-CN"/>
          </w:rPr>
          <w:t>(二)、供应商选择与评估</w:t>
        </w:r>
        <w:r>
          <w:tab/>
        </w:r>
        <w:r>
          <w:fldChar w:fldCharType="begin"/>
        </w:r>
        <w:r>
          <w:instrText xml:space="preserve"> PAGEREF _Toc17772 \h </w:instrText>
        </w:r>
        <w:r>
          <w:fldChar w:fldCharType="separate"/>
        </w:r>
        <w:r>
          <w:t>56</w:t>
        </w:r>
        <w:r>
          <w:fldChar w:fldCharType="end"/>
        </w:r>
      </w:hyperlink>
    </w:p>
    <w:p>
      <w:pPr>
        <w:pStyle w:val="TOC2"/>
        <w:tabs>
          <w:tab w:val="right" w:leader="dot" w:pos="8306"/>
        </w:tabs>
      </w:pPr>
      <w:hyperlink w:anchor="_Toc13026" w:history="1">
        <w:r>
          <w:rPr>
            <w:rFonts w:ascii="仿宋" w:eastAsia="仿宋" w:hAnsi="仿宋" w:cs="仿宋" w:hint="eastAsia"/>
            <w:lang w:eastAsia="zh-CN"/>
          </w:rPr>
          <w:t>(三)、物流网络设计与管理</w:t>
        </w:r>
        <w:r>
          <w:tab/>
        </w:r>
        <w:r>
          <w:fldChar w:fldCharType="begin"/>
        </w:r>
        <w:r>
          <w:instrText xml:space="preserve"> PAGEREF _Toc13026 \h </w:instrText>
        </w:r>
        <w:r>
          <w:fldChar w:fldCharType="separate"/>
        </w:r>
        <w:r>
          <w:t>58</w:t>
        </w:r>
        <w:r>
          <w:fldChar w:fldCharType="end"/>
        </w:r>
      </w:hyperlink>
    </w:p>
    <w:p>
      <w:pPr>
        <w:pStyle w:val="TOC2"/>
        <w:tabs>
          <w:tab w:val="right" w:leader="dot" w:pos="8306"/>
        </w:tabs>
      </w:pPr>
      <w:hyperlink w:anchor="_Toc26671" w:history="1">
        <w:r>
          <w:rPr>
            <w:rFonts w:ascii="仿宋" w:eastAsia="仿宋" w:hAnsi="仿宋" w:cs="仿宋" w:hint="eastAsia"/>
            <w:lang w:eastAsia="zh-CN"/>
          </w:rPr>
          <w:t>(四)、库存控制与仓储管理</w:t>
        </w:r>
        <w:r>
          <w:tab/>
        </w:r>
        <w:r>
          <w:fldChar w:fldCharType="begin"/>
        </w:r>
        <w:r>
          <w:instrText xml:space="preserve"> PAGEREF _Toc26671 \h </w:instrText>
        </w:r>
        <w:r>
          <w:fldChar w:fldCharType="separate"/>
        </w:r>
        <w:r>
          <w:t>61</w:t>
        </w:r>
        <w:r>
          <w:fldChar w:fldCharType="end"/>
        </w:r>
      </w:hyperlink>
    </w:p>
    <w:p>
      <w:pPr>
        <w:pStyle w:val="TOC1"/>
        <w:tabs>
          <w:tab w:val="right" w:leader="dot" w:pos="8306"/>
        </w:tabs>
      </w:pPr>
      <w:hyperlink w:anchor="_Toc3184" w:history="1">
        <w:r>
          <w:rPr>
            <w:rFonts w:ascii="仿宋" w:eastAsia="仿宋" w:hAnsi="仿宋" w:cs="仿宋" w:hint="eastAsia"/>
            <w:lang w:eastAsia="zh-CN"/>
          </w:rPr>
          <w:t>十、风险管理与应对策略</w:t>
        </w:r>
        <w:r>
          <w:tab/>
        </w:r>
        <w:r>
          <w:fldChar w:fldCharType="begin"/>
        </w:r>
        <w:r>
          <w:instrText xml:space="preserve"> PAGEREF _Toc3184 \h </w:instrText>
        </w:r>
        <w:r>
          <w:fldChar w:fldCharType="separate"/>
        </w:r>
        <w:r>
          <w:t>62</w:t>
        </w:r>
        <w:r>
          <w:fldChar w:fldCharType="end"/>
        </w:r>
      </w:hyperlink>
    </w:p>
    <w:p>
      <w:pPr>
        <w:pStyle w:val="TOC2"/>
        <w:tabs>
          <w:tab w:val="right" w:leader="dot" w:pos="8306"/>
        </w:tabs>
      </w:pPr>
      <w:hyperlink w:anchor="_Toc23463" w:history="1">
        <w:r>
          <w:rPr>
            <w:rFonts w:ascii="仿宋" w:eastAsia="仿宋" w:hAnsi="仿宋" w:cs="仿宋" w:hint="eastAsia"/>
            <w:lang w:eastAsia="zh-CN"/>
          </w:rPr>
          <w:t>(一)、风险管理流程</w:t>
        </w:r>
        <w:r>
          <w:tab/>
        </w:r>
        <w:r>
          <w:fldChar w:fldCharType="begin"/>
        </w:r>
        <w:r>
          <w:instrText xml:space="preserve"> PAGEREF _Toc23463 \h </w:instrText>
        </w:r>
        <w:r>
          <w:fldChar w:fldCharType="separate"/>
        </w:r>
        <w:r>
          <w:t>62</w:t>
        </w:r>
        <w:r>
          <w:fldChar w:fldCharType="end"/>
        </w:r>
      </w:hyperlink>
    </w:p>
    <w:p>
      <w:pPr>
        <w:pStyle w:val="TOC2"/>
        <w:tabs>
          <w:tab w:val="right" w:leader="dot" w:pos="8306"/>
        </w:tabs>
      </w:pPr>
      <w:hyperlink w:anchor="_Toc24772" w:history="1">
        <w:r>
          <w:rPr>
            <w:rFonts w:ascii="仿宋" w:eastAsia="仿宋" w:hAnsi="仿宋" w:cs="仿宋" w:hint="eastAsia"/>
            <w:lang w:eastAsia="zh-CN"/>
          </w:rPr>
          <w:t>(二)、风险识别与评估</w:t>
        </w:r>
        <w:r>
          <w:tab/>
        </w:r>
        <w:r>
          <w:fldChar w:fldCharType="begin"/>
        </w:r>
        <w:r>
          <w:instrText xml:space="preserve"> PAGEREF _Toc24772 \h </w:instrText>
        </w:r>
        <w:r>
          <w:fldChar w:fldCharType="separate"/>
        </w:r>
        <w:r>
          <w:t>66</w:t>
        </w:r>
        <w:r>
          <w:fldChar w:fldCharType="end"/>
        </w:r>
      </w:hyperlink>
    </w:p>
    <w:p>
      <w:pPr>
        <w:pStyle w:val="TOC2"/>
        <w:tabs>
          <w:tab w:val="right" w:leader="dot" w:pos="8306"/>
        </w:tabs>
      </w:pPr>
      <w:hyperlink w:anchor="_Toc17685" w:history="1">
        <w:r>
          <w:rPr>
            <w:rFonts w:ascii="仿宋" w:eastAsia="仿宋" w:hAnsi="仿宋" w:cs="仿宋" w:hint="eastAsia"/>
            <w:lang w:eastAsia="zh-CN"/>
          </w:rPr>
          <w:t>(三)、风险控制与应对策略</w:t>
        </w:r>
        <w:r>
          <w:tab/>
        </w:r>
        <w:r>
          <w:fldChar w:fldCharType="begin"/>
        </w:r>
        <w:r>
          <w:instrText xml:space="preserve"> PAGEREF _Toc17685 \h </w:instrText>
        </w:r>
        <w:r>
          <w:fldChar w:fldCharType="separate"/>
        </w:r>
        <w:r>
          <w:t>67</w:t>
        </w:r>
        <w:r>
          <w:fldChar w:fldCharType="end"/>
        </w:r>
      </w:hyperlink>
    </w:p>
    <w:p>
      <w:pPr>
        <w:pStyle w:val="TOC2"/>
        <w:tabs>
          <w:tab w:val="right" w:leader="dot" w:pos="8306"/>
        </w:tabs>
      </w:pPr>
      <w:hyperlink w:anchor="_Toc6486" w:history="1">
        <w:r>
          <w:rPr>
            <w:rFonts w:ascii="仿宋" w:eastAsia="仿宋" w:hAnsi="仿宋" w:cs="仿宋" w:hint="eastAsia"/>
            <w:lang w:eastAsia="zh-CN"/>
          </w:rPr>
          <w:t>(四)、危机管理与应急预案</w:t>
        </w:r>
        <w:r>
          <w:tab/>
        </w:r>
        <w:r>
          <w:fldChar w:fldCharType="begin"/>
        </w:r>
        <w:r>
          <w:instrText xml:space="preserve"> PAGEREF _Toc6486 \h </w:instrText>
        </w:r>
        <w:r>
          <w:fldChar w:fldCharType="separate"/>
        </w:r>
        <w:r>
          <w:t>70</w:t>
        </w:r>
        <w:r>
          <w:fldChar w:fldCharType="end"/>
        </w:r>
      </w:hyperlink>
    </w:p>
    <w:p>
      <w:pPr>
        <w:pStyle w:val="TOC1"/>
        <w:tabs>
          <w:tab w:val="right" w:leader="dot" w:pos="8306"/>
        </w:tabs>
      </w:pPr>
      <w:hyperlink w:anchor="_Toc17511" w:history="1">
        <w:r>
          <w:rPr>
            <w:rFonts w:ascii="仿宋" w:eastAsia="仿宋" w:hAnsi="仿宋" w:cs="仿宋" w:hint="eastAsia"/>
            <w:lang w:eastAsia="zh-CN"/>
          </w:rPr>
          <w:t>十一、未来发展战略</w:t>
        </w:r>
        <w:r>
          <w:tab/>
        </w:r>
        <w:r>
          <w:fldChar w:fldCharType="begin"/>
        </w:r>
        <w:r>
          <w:instrText xml:space="preserve"> PAGEREF _Toc17511 \h </w:instrText>
        </w:r>
        <w:r>
          <w:fldChar w:fldCharType="separate"/>
        </w:r>
        <w:r>
          <w:t>72</w:t>
        </w:r>
        <w:r>
          <w:fldChar w:fldCharType="end"/>
        </w:r>
      </w:hyperlink>
    </w:p>
    <w:p>
      <w:pPr>
        <w:pStyle w:val="TOC2"/>
        <w:tabs>
          <w:tab w:val="right" w:leader="dot" w:pos="8306"/>
        </w:tabs>
      </w:pPr>
      <w:hyperlink w:anchor="_Toc2407" w:history="1">
        <w:r>
          <w:rPr>
            <w:rFonts w:ascii="仿宋" w:eastAsia="仿宋" w:hAnsi="仿宋" w:cs="仿宋" w:hint="eastAsia"/>
            <w:lang w:eastAsia="zh-CN"/>
          </w:rPr>
          <w:t>(一)、未来市场定位与业务拓展</w:t>
        </w:r>
        <w:r>
          <w:tab/>
        </w:r>
        <w:r>
          <w:fldChar w:fldCharType="begin"/>
        </w:r>
        <w:r>
          <w:instrText xml:space="preserve"> PAGEREF _Toc2407 \h </w:instrText>
        </w:r>
        <w:r>
          <w:fldChar w:fldCharType="separate"/>
        </w:r>
        <w:r>
          <w:t>72</w:t>
        </w:r>
        <w:r>
          <w:fldChar w:fldCharType="end"/>
        </w:r>
      </w:hyperlink>
    </w:p>
    <w:p>
      <w:pPr>
        <w:pStyle w:val="TOC2"/>
        <w:tabs>
          <w:tab w:val="right" w:leader="dot" w:pos="8306"/>
        </w:tabs>
      </w:pPr>
      <w:hyperlink w:anchor="_Toc28345" w:history="1">
        <w:r>
          <w:rPr>
            <w:rFonts w:ascii="仿宋" w:eastAsia="仿宋" w:hAnsi="仿宋" w:cs="仿宋" w:hint="eastAsia"/>
            <w:lang w:eastAsia="zh-CN"/>
          </w:rPr>
          <w:t>(二)、技术创新与研发方向</w:t>
        </w:r>
        <w:r>
          <w:tab/>
        </w:r>
        <w:r>
          <w:fldChar w:fldCharType="begin"/>
        </w:r>
        <w:r>
          <w:instrText xml:space="preserve"> PAGEREF _Toc28345 \h </w:instrText>
        </w:r>
        <w:r>
          <w:fldChar w:fldCharType="separate"/>
        </w:r>
        <w:r>
          <w:t>74</w:t>
        </w:r>
        <w:r>
          <w:fldChar w:fldCharType="end"/>
        </w:r>
      </w:hyperlink>
    </w:p>
    <w:p>
      <w:pPr>
        <w:pStyle w:val="TOC2"/>
        <w:tabs>
          <w:tab w:val="right" w:leader="dot" w:pos="8306"/>
        </w:tabs>
      </w:pPr>
      <w:hyperlink w:anchor="_Toc19714" w:history="1">
        <w:r>
          <w:rPr>
            <w:rFonts w:ascii="仿宋" w:eastAsia="仿宋" w:hAnsi="仿宋" w:cs="仿宋" w:hint="eastAsia"/>
            <w:lang w:eastAsia="zh-CN"/>
          </w:rPr>
          <w:t>(三)、国际化战略与全球市场</w:t>
        </w:r>
        <w:r>
          <w:tab/>
        </w:r>
        <w:r>
          <w:fldChar w:fldCharType="begin"/>
        </w:r>
        <w:r>
          <w:instrText xml:space="preserve"> PAGEREF _Toc19714 \h </w:instrText>
        </w:r>
        <w:r>
          <w:fldChar w:fldCharType="separate"/>
        </w:r>
        <w:r>
          <w:t>76</w:t>
        </w:r>
        <w:r>
          <w:fldChar w:fldCharType="end"/>
        </w:r>
      </w:hyperlink>
    </w:p>
    <w:p>
      <w:pPr>
        <w:pStyle w:val="TOC2"/>
        <w:tabs>
          <w:tab w:val="right" w:leader="dot" w:pos="8306"/>
        </w:tabs>
      </w:pPr>
      <w:hyperlink w:anchor="_Toc17888" w:history="1">
        <w:r>
          <w:rPr>
            <w:rFonts w:ascii="仿宋" w:eastAsia="仿宋" w:hAnsi="仿宋" w:cs="仿宋" w:hint="eastAsia"/>
            <w:lang w:eastAsia="zh-CN"/>
          </w:rPr>
          <w:t>(四)、可持续发展战略</w:t>
        </w:r>
        <w:r>
          <w:tab/>
        </w:r>
        <w:r>
          <w:fldChar w:fldCharType="begin"/>
        </w:r>
        <w:r>
          <w:instrText xml:space="preserve"> PAGEREF _Toc17888 \h </w:instrText>
        </w:r>
        <w:r>
          <w:fldChar w:fldCharType="separate"/>
        </w:r>
        <w:r>
          <w:t>77</w:t>
        </w:r>
        <w:r>
          <w:fldChar w:fldCharType="end"/>
        </w:r>
      </w:hyperlink>
    </w:p>
    <w:p>
      <w:pPr>
        <w:pStyle w:val="TOC1"/>
        <w:tabs>
          <w:tab w:val="right" w:leader="dot" w:pos="8306"/>
        </w:tabs>
      </w:pPr>
      <w:hyperlink w:anchor="_Toc9416" w:history="1">
        <w:r>
          <w:rPr>
            <w:rFonts w:ascii="仿宋" w:eastAsia="仿宋" w:hAnsi="仿宋" w:cs="仿宋" w:hint="eastAsia"/>
            <w:lang w:eastAsia="zh-CN"/>
          </w:rPr>
          <w:t>十二、市场营销策略</w:t>
        </w:r>
        <w:r>
          <w:tab/>
        </w:r>
        <w:r>
          <w:fldChar w:fldCharType="begin"/>
        </w:r>
        <w:r>
          <w:instrText xml:space="preserve"> PAGEREF _Toc9416 \h </w:instrText>
        </w:r>
        <w:r>
          <w:fldChar w:fldCharType="separate"/>
        </w:r>
        <w:r>
          <w:t>79</w:t>
        </w:r>
        <w:r>
          <w:fldChar w:fldCharType="end"/>
        </w:r>
      </w:hyperlink>
    </w:p>
    <w:p>
      <w:pPr>
        <w:pStyle w:val="TOC2"/>
        <w:tabs>
          <w:tab w:val="right" w:leader="dot" w:pos="8306"/>
        </w:tabs>
      </w:pPr>
      <w:hyperlink w:anchor="_Toc23926" w:history="1">
        <w:r>
          <w:rPr>
            <w:rFonts w:ascii="仿宋" w:eastAsia="仿宋" w:hAnsi="仿宋" w:cs="仿宋" w:hint="eastAsia"/>
            <w:lang w:eastAsia="zh-CN"/>
          </w:rPr>
          <w:t>(一)、市场定位与目标客户群</w:t>
        </w:r>
        <w:r>
          <w:tab/>
        </w:r>
        <w:r>
          <w:fldChar w:fldCharType="begin"/>
        </w:r>
        <w:r>
          <w:instrText xml:space="preserve"> PAGEREF _Toc23926 \h </w:instrText>
        </w:r>
        <w:r>
          <w:fldChar w:fldCharType="separate"/>
        </w:r>
        <w:r>
          <w:t>79</w:t>
        </w:r>
        <w:r>
          <w:fldChar w:fldCharType="end"/>
        </w:r>
      </w:hyperlink>
    </w:p>
    <w:p>
      <w:pPr>
        <w:pStyle w:val="TOC2"/>
        <w:tabs>
          <w:tab w:val="right" w:leader="dot" w:pos="8306"/>
        </w:tabs>
      </w:pPr>
      <w:hyperlink w:anchor="_Toc23918" w:history="1">
        <w:r>
          <w:rPr>
            <w:rFonts w:ascii="仿宋" w:eastAsia="仿宋" w:hAnsi="仿宋" w:cs="仿宋" w:hint="eastAsia"/>
            <w:lang w:eastAsia="zh-CN"/>
          </w:rPr>
          <w:t>(二)、竞争对手分析</w:t>
        </w:r>
        <w:r>
          <w:tab/>
        </w:r>
        <w:r>
          <w:fldChar w:fldCharType="begin"/>
        </w:r>
        <w:r>
          <w:instrText xml:space="preserve"> PAGEREF _Toc23918 \h </w:instrText>
        </w:r>
        <w:r>
          <w:fldChar w:fldCharType="separate"/>
        </w:r>
        <w:r>
          <w:t>82</w:t>
        </w:r>
        <w:r>
          <w:fldChar w:fldCharType="end"/>
        </w:r>
      </w:hyperlink>
    </w:p>
    <w:p>
      <w:pPr>
        <w:pStyle w:val="TOC2"/>
        <w:tabs>
          <w:tab w:val="right" w:leader="dot" w:pos="8306"/>
        </w:tabs>
      </w:pPr>
      <w:hyperlink w:anchor="_Toc8434" w:history="1">
        <w:r>
          <w:rPr>
            <w:rFonts w:ascii="仿宋" w:eastAsia="仿宋" w:hAnsi="仿宋" w:cs="仿宋" w:hint="eastAsia"/>
            <w:lang w:eastAsia="zh-CN"/>
          </w:rPr>
          <w:t>(三)、营销策略与推广计划</w:t>
        </w:r>
        <w:r>
          <w:tab/>
        </w:r>
        <w:r>
          <w:fldChar w:fldCharType="begin"/>
        </w:r>
        <w:r>
          <w:instrText xml:space="preserve"> PAGEREF _Toc8434 \h </w:instrText>
        </w:r>
        <w:r>
          <w:fldChar w:fldCharType="separate"/>
        </w:r>
        <w:r>
          <w:t>84</w:t>
        </w:r>
        <w:r>
          <w:fldChar w:fldCharType="end"/>
        </w:r>
      </w:hyperlink>
    </w:p>
    <w:p>
      <w:pPr>
        <w:pStyle w:val="TOC2"/>
        <w:tabs>
          <w:tab w:val="right" w:leader="dot" w:pos="8306"/>
        </w:tabs>
      </w:pPr>
      <w:hyperlink w:anchor="_Toc2004" w:history="1">
        <w:r>
          <w:rPr>
            <w:rFonts w:ascii="仿宋" w:eastAsia="仿宋" w:hAnsi="仿宋" w:cs="仿宋" w:hint="eastAsia"/>
            <w:lang w:eastAsia="zh-CN"/>
          </w:rPr>
          <w:t>(四)、产品定价与销售渠道</w:t>
        </w:r>
        <w:r>
          <w:tab/>
        </w:r>
        <w:r>
          <w:fldChar w:fldCharType="begin"/>
        </w:r>
        <w:r>
          <w:instrText xml:space="preserve"> PAGEREF _Toc2004 \h </w:instrText>
        </w:r>
        <w:r>
          <w:fldChar w:fldCharType="separate"/>
        </w:r>
        <w:r>
          <w:t>85</w:t>
        </w:r>
        <w:r>
          <w:fldChar w:fldCharType="end"/>
        </w:r>
      </w:hyperlink>
    </w:p>
    <w:p>
      <w:pPr>
        <w:pStyle w:val="TOC2"/>
        <w:tabs>
          <w:tab w:val="right" w:leader="dot" w:pos="8306"/>
        </w:tabs>
      </w:pPr>
      <w:hyperlink w:anchor="_Toc3026" w:history="1">
        <w:r>
          <w:rPr>
            <w:rFonts w:ascii="仿宋" w:eastAsia="仿宋" w:hAnsi="仿宋" w:cs="仿宋" w:hint="eastAsia"/>
            <w:lang w:eastAsia="zh-CN"/>
          </w:rPr>
          <w:t>(五)、售后服务体系</w:t>
        </w:r>
        <w:r>
          <w:tab/>
        </w:r>
        <w:r>
          <w:fldChar w:fldCharType="begin"/>
        </w:r>
        <w:r>
          <w:instrText xml:space="preserve"> PAGEREF _Toc3026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超细Γ-AL2O3微粉项目报告按照现代超细Γ-AL2O3微粉项目管理理论及标准流程编写，着重分析了超细Γ-AL2O3微粉项目管理中的系统思维、团队协作、时间成本控制等关键要素，并将理论与实验案例相结合，提出创新性的改进措施。报告的结构设计严谨，内容充实，旨在为相关领域的研究者和实践者提供有价值的参考和指引。特别声明，本报告的所有内容均不可用作商业用途，只供学习交流之用，以期通过共享知识增进超细Γ-AL2O3微粉项目管理实践的深度与广度</w:t>
      </w:r>
    </w:p>
    <w:p>
      <w:pPr>
        <w:pStyle w:val="Heading1"/>
        <w:ind w:firstLine="560" w:firstLineChars="200"/>
        <w:rPr>
          <w:rFonts w:ascii="仿宋" w:eastAsia="仿宋" w:hAnsi="仿宋" w:cs="仿宋" w:hint="eastAsia"/>
          <w:sz w:val="28"/>
          <w:lang w:eastAsia="zh-CN"/>
        </w:rPr>
      </w:pPr>
      <w:bookmarkStart w:id="2" w:name="_Toc29034"/>
      <w:r>
        <w:rPr>
          <w:rFonts w:ascii="仿宋" w:eastAsia="仿宋" w:hAnsi="仿宋" w:cs="仿宋" w:hint="eastAsia"/>
          <w:sz w:val="28"/>
          <w:lang w:eastAsia="zh-CN"/>
        </w:rPr>
        <w:t>一、超细Γ-AL2O3微粉项目市场前景分析</w:t>
      </w:r>
      <w:bookmarkEnd w:id="2"/>
    </w:p>
    <w:p>
      <w:pPr>
        <w:pStyle w:val="Heading2"/>
        <w:rPr>
          <w:rFonts w:ascii="仿宋" w:eastAsia="仿宋" w:hAnsi="仿宋" w:cs="仿宋" w:hint="eastAsia"/>
          <w:lang w:eastAsia="zh-CN"/>
        </w:rPr>
      </w:pPr>
      <w:bookmarkStart w:id="3" w:name="_Toc13932"/>
      <w:r>
        <w:rPr>
          <w:rFonts w:ascii="仿宋" w:eastAsia="仿宋" w:hAnsi="仿宋" w:cs="仿宋" w:hint="eastAsia"/>
          <w:lang w:eastAsia="zh-CN"/>
        </w:rPr>
        <w:t>(一)、建设地经济发展概况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经济总体情况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建设地的经济在过去几年呈现出强劲的增长态势。20XX年至20XXX年，该地区的年均GDP增速超过XX%，整体经济规模达到XX亿元。这一持续增长的趋势反映了建设地经济的活力和吸引力。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主要产业结构</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建设地的产业结构多元化，制造业、服务业和高科技产业占据主导地位。先进制造业中的电子、汽车等领域蓬勃发展，服务业包括金融、教育和医疗等多个领域都取得了显著进展。高科技企业的崛起为整体产业结构带来了新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投资环境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一直致力于打造优越的投资环境，吸引了众多国内外企业的投资。政府实施了一系列便利化政策，简化审批程序，降低投资门槛。建设地成为创业者和投资者青睐的热门目的地，各类产业超细Γ-AL2O3微粉项目纷纷落地。</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人口与就业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人口规模逐年增加，形成了多元化的社会结构。城市人口密集区域的就业市场蓬勃发展，同时城乡一体化发展战略也为农村地区提供了更多就业机会。该地区积极推动人才引进和培养，构建了具有创新力的人才队伍。</w:t>
      </w:r>
    </w:p>
    <w:p>
      <w:pPr>
        <w:ind w:firstLine="560" w:firstLineChars="200"/>
        <w:rPr>
          <w:rFonts w:ascii="仿宋" w:eastAsia="仿宋" w:hAnsi="仿宋" w:cs="仿宋" w:hint="eastAsia"/>
          <w:sz w:val="28"/>
        </w:rPr>
      </w:pPr>
      <w:r>
        <w:rPr>
          <w:rFonts w:ascii="仿宋" w:eastAsia="仿宋" w:hAnsi="仿宋" w:cs="仿宋" w:hint="eastAsia"/>
          <w:sz w:val="28"/>
          <w:lang w:eastAsia="zh-CN"/>
        </w:rPr>
        <w:t>5. 城市基础设施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为适应经济快速发展的需要，建设地加大了对基础设施建设的投入。新建、改建的高速公路、城市轨道交通、现代化港口等超细Γ-AL2O3微粉项目得到了快速推进，提高了城市的综合竞争力。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环境保护与可持续发展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建设地注重生态环境保护和可持续发展。实施了大规模的环境治理超细Γ-AL2O3微粉项目，提升了空气质量和水质。同时，该地推动绿色产业和清洁能源的发展，致力于打造宜居宜业的城市环境。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区域合作与国际交往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建设地积极参与区域合作和国际交往，拓展了多领域的国际合作超细Γ-AL2O3微粉项目。通过加强国际交流，该地区引进了大量国外优质技术和资金，同时推动了本地产业的对外拓展。</w:t>
      </w:r>
    </w:p>
    <w:p>
      <w:pPr>
        <w:pStyle w:val="Heading2"/>
        <w:ind w:firstLine="560" w:firstLineChars="200"/>
        <w:rPr>
          <w:rFonts w:ascii="仿宋" w:eastAsia="仿宋" w:hAnsi="仿宋" w:cs="仿宋" w:hint="eastAsia"/>
          <w:sz w:val="28"/>
          <w:lang w:eastAsia="zh-CN"/>
        </w:rPr>
      </w:pPr>
      <w:bookmarkStart w:id="4" w:name="_Toc19576"/>
      <w:r>
        <w:rPr>
          <w:rFonts w:ascii="仿宋" w:eastAsia="仿宋" w:hAnsi="仿宋" w:cs="仿宋" w:hint="eastAsia"/>
          <w:sz w:val="28"/>
          <w:lang w:eastAsia="zh-CN"/>
        </w:rPr>
        <w:t>(二)、行业市场分析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行业在全球范围内的市场规模持续扩大，据最新数据显示，年均增长率达到XX%。市场规模预计将在未来数年内继续增长，达到YY亿元。这一趋势表明行业正受到日益增长的市场需求的推动，为各类企业提供了广泛的商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竞争格局相当激烈，主要由几家大型企业主导市场，占据了相当比例的市场份额。然而，新兴企业通过创新和灵活性也逐渐在市场中崭露头角。尽管入口壁垒相对较高，但随着技术的进步和市场的开放，新进入者有望取得更多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客户主要集中在年轻一代，他们更注重产品的创新性、环保性和品牌形象。消费者趋势显示，线上购物和个性化定制服务逐渐成为主流，这对企业提出了更高的要求。了解这些趋势有助于企业调整产品策略，提升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一直是该行业的推动力，最新的技术趋势涵盖了人工智能、大数据分析以及物联网技术的应用。在全球范围内，多家企业正在加大研发投入，以推动行业的数字化转型。未来趋势显示，智能化产品和服务将成为市场的主导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法规与政策影响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环境对该行业的影响显著，特别是关于环保和消费者权益方面的法规。政府对该行业的监管力度逐渐加强，其中包括新的环保法规和产品标准。同时，政府通过提供税收激励和创新资金，支持企业更好地适应新的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环保要求日益增加，企业在产品制造和供应链管理中不断加强环保措施。社会责任在行业内也占据重要地位，许多企业积极参与社区超细Γ-AL2O3微粉项目和慈善事业，提升了其社会形象。可持续发展计划逐渐成为企业战略的一部分，以确保业务的可持续性和社会责任的履行。</w:t>
      </w:r>
    </w:p>
    <w:p>
      <w:pPr>
        <w:pStyle w:val="Heading1"/>
        <w:ind w:firstLine="560" w:firstLineChars="200"/>
        <w:rPr>
          <w:rFonts w:ascii="仿宋" w:eastAsia="仿宋" w:hAnsi="仿宋" w:cs="仿宋" w:hint="eastAsia"/>
          <w:sz w:val="28"/>
          <w:lang w:eastAsia="zh-CN"/>
        </w:rPr>
      </w:pPr>
      <w:bookmarkStart w:id="5" w:name="_Toc17036"/>
      <w:r>
        <w:rPr>
          <w:rFonts w:ascii="仿宋" w:eastAsia="仿宋" w:hAnsi="仿宋" w:cs="仿宋" w:hint="eastAsia"/>
          <w:sz w:val="28"/>
          <w:lang w:eastAsia="zh-CN"/>
        </w:rPr>
        <w:t>二、工艺分析</w:t>
      </w:r>
      <w:bookmarkEnd w:id="5"/>
    </w:p>
    <w:p>
      <w:pPr>
        <w:pStyle w:val="Heading2"/>
        <w:rPr>
          <w:rFonts w:ascii="仿宋" w:eastAsia="仿宋" w:hAnsi="仿宋" w:cs="仿宋" w:hint="eastAsia"/>
          <w:lang w:eastAsia="zh-CN"/>
        </w:rPr>
      </w:pPr>
      <w:bookmarkStart w:id="6" w:name="_Toc1673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在超细Γ-AL2O3微粉项目中显现出多层面的复杂性和有机性。其系统性突显在对广泛技术领域的全面规划和整合，要求各技术要素相互协调，以确保超细Γ-AL2O3微粉项目整体协同。这种系统性要求技术管理者在超细Γ-AL2O3微粉项目中全局思考，以适应多元领域的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在不断变化的环境中具备创新能力，团队需要持续提出独具创意的技术解决方案，作为推动超细Γ-AL2O3微粉项目进步的引擎。这种创新力使技术管理不仅仅是问题应对，更是超细Γ-AL2O3微粉项目发展的推动力，促使团队在技术层面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技术管理体现出综合性。它要求在不同领域中进行全面考虑，将各种技术要素有机融合，以实现更高水平和更大范围的效果。技术管理者需要跨领域协调，确保超细Γ-AL2O3微粉项目技术方案的综合有效性。</w:t>
      </w:r>
    </w:p>
    <w:p>
      <w:pPr>
        <w:pStyle w:val="Heading2"/>
        <w:ind w:firstLine="560" w:firstLineChars="200"/>
        <w:rPr>
          <w:rFonts w:ascii="仿宋" w:eastAsia="仿宋" w:hAnsi="仿宋" w:cs="仿宋" w:hint="eastAsia"/>
          <w:sz w:val="28"/>
          <w:lang w:eastAsia="zh-CN"/>
        </w:rPr>
      </w:pPr>
      <w:bookmarkStart w:id="7" w:name="_Toc17595"/>
      <w:r>
        <w:rPr>
          <w:rFonts w:ascii="仿宋" w:eastAsia="仿宋" w:hAnsi="仿宋" w:cs="仿宋" w:hint="eastAsia"/>
          <w:sz w:val="28"/>
          <w:lang w:eastAsia="zh-CN"/>
        </w:rPr>
        <w:t>(二)、超细Γ-AL2O3微粉项目工艺技术设计方案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工艺流程设计：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流程设计是超细Γ-AL2O3微粉项目工艺技术设计的核心。在设计中，需要明确每一步骤的操作顺序、所需时间和资源，以确保生产过程的高效性和流畅性。此外，要考虑可能出现的变数，采取灵活的设计以适应实际生产环境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工艺参数设定：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对关键的工艺参数进行合理设定至关重要。这包括但不限于温度、压力、流速等因素。合理的参数设置有助于提高生产效率，确保产品质量的稳定性，并降低可能的生产风险。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工艺设备选择：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在选择工艺设备时，需要考虑其性能、稳定性和可维护性。设备应符合超细Γ-AL2O3微粉项目的实际需求，并与整个生产流程协同工作，确保设备的使用不成为超细Γ-AL2O3微粉项目的瓶颈。</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工艺技术设计应考虑能源消耗的优化。采取先进的节能技术，降低能源浪费，有助于提高生产效益的同时，减少对环境的不良影响。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在工艺技术设计中，环保因素是不可忽视的。采用环保友好型的工艺，减少对环境的污染，符合可持续发展的要求，同时也有助于提升企业的社会形象。</w:t>
      </w:r>
    </w:p>
    <w:p>
      <w:pPr>
        <w:pStyle w:val="Heading2"/>
        <w:ind w:firstLine="560" w:firstLineChars="200"/>
        <w:rPr>
          <w:rFonts w:ascii="仿宋" w:eastAsia="仿宋" w:hAnsi="仿宋" w:cs="仿宋" w:hint="eastAsia"/>
          <w:sz w:val="28"/>
          <w:lang w:eastAsia="zh-CN"/>
        </w:rPr>
      </w:pPr>
      <w:bookmarkStart w:id="8" w:name="_Toc471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以挑选卓越供应商为导向，确保所选设备能够按时交付，满足工程进度需求。我们注重售后服务的卓越性，以及设备生产厂家能够及时提供备品备件的能力，以降低超细Γ-AL2O3微粉项目投资风险，最大限度地减少总体超细Γ-AL2O3微粉项目成本。在投资超细Γ-AL2O3微粉项目中，主要工艺设备及仪器将优先选择国产设备，并确保所选生产设备厂家具备国内领先的技术水平和符合国际认证标准的科学企业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以“先进、高效、实用、节能、可靠”为准则，特别关注超细Γ-AL2O3微粉项目产品生产设备在效率、质量、物料损耗、自动化程度、劳动强度和噪音水平等方面的特性。计划采购国内领先的关键工艺设备和国内外尖端的检测设备，预计购置并安装主要设备合共XXXX台(套)，设备购置费用为XXX万元。通过这一选取原则，我们旨在确保超细Γ-AL2O3微粉项目的生产设备具备最佳性能和效益，以满足超细Γ-AL2O3微粉项目长期的发展需求。</w:t>
      </w:r>
    </w:p>
    <w:p>
      <w:pPr>
        <w:pStyle w:val="Heading1"/>
        <w:ind w:firstLine="560" w:firstLineChars="200"/>
        <w:rPr>
          <w:rFonts w:ascii="仿宋" w:eastAsia="仿宋" w:hAnsi="仿宋" w:cs="仿宋" w:hint="eastAsia"/>
          <w:sz w:val="28"/>
          <w:lang w:eastAsia="zh-CN"/>
        </w:rPr>
      </w:pPr>
      <w:bookmarkStart w:id="9" w:name="_Toc23666"/>
      <w:r>
        <w:rPr>
          <w:rFonts w:ascii="仿宋" w:eastAsia="仿宋" w:hAnsi="仿宋" w:cs="仿宋" w:hint="eastAsia"/>
          <w:sz w:val="28"/>
          <w:lang w:eastAsia="zh-CN"/>
        </w:rPr>
        <w:t>三、建设单位基本信息</w:t>
      </w:r>
      <w:bookmarkEnd w:id="9"/>
    </w:p>
    <w:p>
      <w:pPr>
        <w:pStyle w:val="Heading2"/>
        <w:rPr>
          <w:rFonts w:ascii="仿宋" w:eastAsia="仿宋" w:hAnsi="仿宋" w:cs="仿宋" w:hint="eastAsia"/>
          <w:lang w:eastAsia="zh-CN"/>
        </w:rPr>
      </w:pPr>
      <w:bookmarkStart w:id="10" w:name="_Toc30167"/>
      <w:r>
        <w:rPr>
          <w:rFonts w:ascii="仿宋" w:eastAsia="仿宋" w:hAnsi="仿宋" w:cs="仿宋" w:hint="eastAsia"/>
          <w:lang w:eastAsia="zh-CN"/>
        </w:rPr>
        <w:t>(一)、超细Γ-AL2O3微粉项目承办单位基本情况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一、超细Γ-AL2O3微粉项目承办单位基本情况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公司名称：XXXX有限公司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XXXX有限公司是一家多元化的企业服务提供商，专注于为各类企业提供全方位的支持和解决方案。我们的团队由经验丰富的专业人士组成，致力于帮助企业实现业务目标，提升竞争力。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核心业务领域：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企业管理咨询与规划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组织架构优化与流程改善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人才培养与团队建设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营销策略与市场拓展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公司特色：</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XXXX有限公司以灵活的服务模式和客户至上的理念为特色。我们注重深入了解客户需求，为其提供定制化的解决方案，助力企业在不断变化的市场中蓬勃发展。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发展历程：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2010年：XXXX有限公司成立，专注于企业管理咨询服务。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2014年：逐步拓展服务领域，加强组织优化和团队建设方面的实践。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2017年：成功协助多家企业实现业务增长，树立了良好的业界口碑。</w:t>
      </w:r>
    </w:p>
    <w:p>
      <w:pPr>
        <w:ind w:firstLine="560" w:firstLineChars="200"/>
        <w:rPr>
          <w:rFonts w:ascii="仿宋" w:eastAsia="仿宋" w:hAnsi="仿宋" w:cs="仿宋" w:hint="eastAsia"/>
          <w:sz w:val="28"/>
        </w:rPr>
      </w:pPr>
      <w:r>
        <w:rPr>
          <w:rFonts w:ascii="仿宋" w:eastAsia="仿宋" w:hAnsi="仿宋" w:cs="仿宋" w:hint="eastAsia"/>
          <w:sz w:val="28"/>
          <w:lang w:eastAsia="zh-CN"/>
        </w:rPr>
        <w:t>2021年：与各行各业建立战略伙伴关系，共同推动服务领域的发展。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XXXX有限公司的使命是通过提供高效专业的服务，助力客户在竞争激烈的市场中脱颖而出。我们的愿景是成为企业服务领域的领军者，不断创新，为更多企业创造长期价值。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我们诚挚欢迎各界合作伙伴与我们携手，共同推动企业发展，共创美好的未来。</w:t>
      </w:r>
    </w:p>
    <w:p>
      <w:pPr>
        <w:pStyle w:val="Heading2"/>
        <w:ind w:firstLine="560" w:firstLineChars="200"/>
        <w:rPr>
          <w:rFonts w:ascii="仿宋" w:eastAsia="仿宋" w:hAnsi="仿宋" w:cs="仿宋" w:hint="eastAsia"/>
          <w:sz w:val="28"/>
          <w:lang w:eastAsia="zh-CN"/>
        </w:rPr>
      </w:pPr>
      <w:bookmarkStart w:id="11" w:name="_Toc20728"/>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公司的财务状况是评估其经济效益的核心指标之一。关注以下几个方面：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利润状况： 公司近几年的利润状况显示稳健，净利润达到XX万元，毛利润率和净利润率均保持在行业水平之上。</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资产负债表： 公司资产负债表显示资产总额为XX万元，其中流动资产占比较高，负债结构较为健康，具备较强的偿债能力。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市场份额和竞争力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市场份额： 公司在行业内的市场份额为XX%，并且近年来市场份额有所增长，显示出较强的市场竞争力。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客户满意度： 最新的客户满意度调查显示，客户满意度达到XX%，证明公司的产品或服务在市场上受到高度认可。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3.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投资回报率（ROI）： 公司的综合投资回报率为XX%，在超细Γ-AL2O3微粉项目、市场推广和研发等方面的投资取得了良好的回报。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4. 成本结构和效率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成本结构： 公司的成本结构经过优化，生产成本、运营成本和管理成本均得到有效控制，为公司的经济效益提供了有力支持。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 公司的生产效率较高，资源利用率得到有效提升，进一步推动了产能的提高。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环境影响和社会责任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环境和社会责任： 公司积极参与环境友好型和社会责任活动，体现出对可持续发展的关注，为公司形象增色不少。</w:t>
      </w:r>
    </w:p>
    <w:p>
      <w:pPr>
        <w:ind w:firstLine="560" w:firstLineChars="200"/>
        <w:rPr>
          <w:rFonts w:ascii="仿宋" w:eastAsia="仿宋" w:hAnsi="仿宋" w:cs="仿宋" w:hint="eastAsia"/>
          <w:sz w:val="28"/>
        </w:rPr>
      </w:pPr>
      <w:r>
        <w:rPr>
          <w:rFonts w:ascii="仿宋" w:eastAsia="仿宋" w:hAnsi="仿宋" w:cs="仿宋" w:hint="eastAsia"/>
          <w:sz w:val="28"/>
          <w:lang w:eastAsia="zh-CN"/>
        </w:rPr>
        <w:t>6. 行业趋势和风险管理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行业趋势： 公司积极适应行业趋势，关注市场需求和技术变革，有助于提高公司的经济效益。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 公司建立了有效的风险管理体系，对市场、经济和运营风险有明确的防范和控制措施。</w:t>
      </w:r>
    </w:p>
    <w:p>
      <w:pPr>
        <w:pStyle w:val="Heading1"/>
        <w:ind w:firstLine="560" w:firstLineChars="200"/>
        <w:rPr>
          <w:rFonts w:ascii="仿宋" w:eastAsia="仿宋" w:hAnsi="仿宋" w:cs="仿宋" w:hint="eastAsia"/>
          <w:sz w:val="28"/>
          <w:lang w:eastAsia="zh-CN"/>
        </w:rPr>
      </w:pPr>
      <w:bookmarkStart w:id="12" w:name="_Toc24535"/>
      <w:r>
        <w:rPr>
          <w:rFonts w:ascii="仿宋" w:eastAsia="仿宋" w:hAnsi="仿宋" w:cs="仿宋" w:hint="eastAsia"/>
          <w:sz w:val="28"/>
          <w:lang w:eastAsia="zh-CN"/>
        </w:rPr>
        <w:t>四、土建工程设计</w:t>
      </w:r>
      <w:bookmarkEnd w:id="12"/>
    </w:p>
    <w:p>
      <w:pPr>
        <w:pStyle w:val="Heading2"/>
        <w:rPr>
          <w:rFonts w:ascii="仿宋" w:eastAsia="仿宋" w:hAnsi="仿宋" w:cs="仿宋" w:hint="eastAsia"/>
          <w:lang w:eastAsia="zh-CN"/>
        </w:rPr>
      </w:pPr>
      <w:bookmarkStart w:id="13" w:name="_Toc2045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建筑首要功能是为使用者提供合适的空间，满足其需求。因此，建筑设计应确保功能的实现，空间布局合理，满足建筑的基本功能需求。功能性原则关注建筑的实际用途和用户体验。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2. 美学性原则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美学性是建筑设计的重要方面。建筑应该具有艺术性和美感，以提高空间品质和视觉体验。美学性原则注重建筑的外观设计、色彩搭配、比例和形式等方面，使建筑融入环境并产生良好的审美效果。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结构稳定性原则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建筑结构的稳定性是设计的基本要求之一。建筑设计应确保结构安全可靠，能够承受各种自然和人为的力的作用。结构稳定性原则关注建筑的结构设计、材料选用等方面，以保障建筑的整体安全。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环境友好性原则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社会，环保和可持续性已成为建筑设计的重要考虑因素。建筑应当注重能源利用效率、材料的可再生性、废弃物的处理等方面，以减少对环境的不良影响。环境友好性原则关注建筑的生态设计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经济性原则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建筑设计应当在经济可行性的基础上进行，保持合理的建设成本。考虑建筑的预算和维护成本，确保设计方案在经济上可行。经济性原则关注建筑的成本效益和资源利用效率。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可维护性原则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建筑应易于维护和管理，以确保其长期使用的效果。设计应考虑材料的耐久性、易修复性，使得建筑的维护工作变得简便和经济。可维护性原则注重建筑的长期可用性和维护便捷性。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可变性原则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建筑设计应具有一定的灵活性，以适应可能发生的功能变化或扩建。可变性原则关注建筑设计的灵活性和可调整性，使得建筑能够适应未来的变化需求。</w:t>
      </w:r>
    </w:p>
    <w:p>
      <w:pPr>
        <w:pStyle w:val="Heading2"/>
        <w:ind w:firstLine="560" w:firstLineChars="200"/>
        <w:rPr>
          <w:rFonts w:ascii="仿宋" w:eastAsia="仿宋" w:hAnsi="仿宋" w:cs="仿宋" w:hint="eastAsia"/>
          <w:sz w:val="28"/>
          <w:lang w:eastAsia="zh-CN"/>
        </w:rPr>
      </w:pPr>
      <w:bookmarkStart w:id="14" w:name="_Toc2901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土建工程设计的年限和安全等级是设计阶段需要明确的重要方面。关于土建工程设计年限和安全等级的一般性说明：</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土建工程设计年限：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永久性建筑设计： 永久性建筑通常设计为具有长期使用寿命的结构，其设计年限一般为50年以上。这类建筑包括一些基础设施和重要公共建筑，如桥梁、大坝、地铁站等。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中期建筑设计： 中期建筑的设计年限一般在20到50年之间。这包括许多商业建筑、住宅区和一些中等规模的基础设施。设计时考虑到未来可能的功能变化和社会需求。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短期建筑设计：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一些建筑的设计年限较短，一般在10到20年之间。这可能包括一些暂时性建筑、展览馆、临时设施等。设计时更加灵活，适应性强。</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土建工程安全等级：</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土建工程的安全等级涉及到工程的用途、所处环境、人员密集程度等多个因素。一般性的安全等级划分：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1. 特级安全等级： 一些重要的公共建筑、大型交通枢纽、核电站等可能被划分为特级安全等级。对于这类建筑，安全设计和施工要求非常严格，以确保其在各种情况下的安全性。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一级安全等级： 商业建筑、住宅区、普通桥梁等可能被划分为一级安全等级。对于这类建筑，安全要求较高，但相对于特级安全等级会有一定的灵活性。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二级安全等级： 一些较为简单的建筑或非常规工程可能划分为二级安全等级。安全要求相对较低，但仍需符合基本的安全标准。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具体超细Γ-AL2O3微粉项目中，安全等级的划分和设计年限的确定会根据当地法规、工程性质、用途等因素进行详细规定。设计人员需要根据具体情况确保工程在设计和施工阶段符合相应的安全标准和设计年限要求。</w:t>
      </w:r>
    </w:p>
    <w:p>
      <w:pPr>
        <w:pStyle w:val="Heading2"/>
        <w:ind w:firstLine="560" w:firstLineChars="200"/>
        <w:rPr>
          <w:rFonts w:ascii="仿宋" w:eastAsia="仿宋" w:hAnsi="仿宋" w:cs="仿宋" w:hint="eastAsia"/>
          <w:sz w:val="28"/>
          <w:lang w:eastAsia="zh-CN"/>
        </w:rPr>
      </w:pPr>
      <w:bookmarkStart w:id="15" w:name="_Toc844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确保设计与地区规划相一致，符合当地法规和建设标准。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综合考虑周边环境，与周边建筑和自然景观协调融合。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功能合理性：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确保建筑的功能布局合理，满足业主的实际需求。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考虑建筑的使用性、流程布局和功能空间划分。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结构安全性：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保障建筑结构的安全可靠，满足抗震、抗风等设计标准。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结构设计应适应建筑的高度、荷载和地质条件。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4. 美学设计：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确保建筑外观符合美学要求，融入当地文化和环境。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注意建筑比例、造型、颜色等设计细节，追求良好的视觉效果。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环境友好性：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采用环保材料，考虑能源利用效率，降低对环境的不良影响。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设计中考虑自然通风、采光和绿化，提高建筑的生态性。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可持续性设计：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考虑建筑的长期可维护性和可操作性。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采用可再生能源、水资源合理利用等可持续设计策略。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控制建筑成本，确保设计在预算范围内。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考虑建筑的生命周期成本，综合考虑初期投资和后期运营费用。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考虑建筑的使用安全性，合理设置紧急疏散通道和安全出口。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采用防火、防盗等相关安全设计措施。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9.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注重建筑内部的人性化设计，提供舒适的室内环境。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考虑人流、人员分布和日常使用的便利性。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10. 技术先进性：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采用先进的建筑技术和工艺，提高建筑的技术含量。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关注新兴科技在建筑设计中的应用，提升建筑的竞争力。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总体要求是在建筑工程设计过程中普遍适用的基本原则，具体超细Γ-AL2O3微粉项目中还需根据不同的场景和需求进行详细规划和调整。设计团队需要综合考虑各个方面，确保设计方案能够达到整体的高水平和综合要求。</w:t>
      </w:r>
    </w:p>
    <w:p>
      <w:pPr>
        <w:pStyle w:val="Heading2"/>
        <w:ind w:firstLine="560" w:firstLineChars="200"/>
        <w:rPr>
          <w:rFonts w:ascii="仿宋" w:eastAsia="仿宋" w:hAnsi="仿宋" w:cs="仿宋" w:hint="eastAsia"/>
          <w:sz w:val="28"/>
          <w:lang w:eastAsia="zh-CN"/>
        </w:rPr>
      </w:pPr>
      <w:bookmarkStart w:id="16" w:name="_Toc2335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质量指标：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抗震设防标准： 根据地震区域确定相应的抗震设防标准，确保建筑在地震发生时有足够的抗震能力。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建筑结构强度： 确保建筑结构满足相关的强度标准，能够承受设计荷载。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建筑外墙防水、保温标准： 确保建筑外墙满足防水、保温等标准，提高建筑的使用寿命和舒适性。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进度指标：</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总工期： 规定整个土建工程的总工期，确保工程按时完成。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各阶段工期： 划定各个施工阶段的工期，保障施工的有序推进。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工程竣工验收时间： 规定整个工程的竣工验收时间，确保按计划完成。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总投资： 规定土建工程的总投资额，包括建设成本、设备采购、人工费用等。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单位建筑面积造价： 用于评估工程的经济性，确定每平方米建筑面积的建设成本。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工程造价控制： 制定各项费用的控制标准，确保在预算内完成。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施工安全标准： 规定施工过程中的安全标准，包括作业人员的安全防护、施工场地的安全设施等。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工程建设环境安全： 考虑工程对周边环境的影响，制定相应的环保标准。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建筑材料环保标准： 规定使用的建筑材料应符合环保标准，减少对环境的污染。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施工过程环保措施： 制定在施工过程中采取的环保措施，如减少扬尘、噪音等。</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6. 使用寿命和维护指标：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建筑使用寿命： 设定建筑的使用寿命，根据建筑类型和用途确定。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维护成本标准： 制定建筑维护的相关标准，包括定期检查、保养、修缮等。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设计参数和标准：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建筑结构设计参数： 包括各类结构的设计参数，确保结构合理、安全。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建筑布局设计标准： 规定建筑的布局标准，考虑使用功能、通风、采光等因素。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8. 施工工艺和技术标准：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土建工程施工工艺： 规定土建施工的工艺流程，确保施工的合理性。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施工材料技术标准： 确保使用的施工材料符合相关技术标准，提高工程质量。</w:t>
      </w:r>
    </w:p>
    <w:p>
      <w:pPr>
        <w:pStyle w:val="Heading1"/>
        <w:ind w:firstLine="560" w:firstLineChars="200"/>
        <w:rPr>
          <w:rFonts w:ascii="仿宋" w:eastAsia="仿宋" w:hAnsi="仿宋" w:cs="仿宋" w:hint="eastAsia"/>
          <w:sz w:val="28"/>
          <w:lang w:eastAsia="zh-CN"/>
        </w:rPr>
      </w:pPr>
      <w:bookmarkStart w:id="17" w:name="_Toc354"/>
      <w:r>
        <w:rPr>
          <w:rFonts w:ascii="仿宋" w:eastAsia="仿宋" w:hAnsi="仿宋" w:cs="仿宋" w:hint="eastAsia"/>
          <w:sz w:val="28"/>
          <w:lang w:eastAsia="zh-CN"/>
        </w:rPr>
        <w:t>五、员工福利与企业文化</w:t>
      </w:r>
      <w:bookmarkEnd w:id="17"/>
    </w:p>
    <w:p>
      <w:pPr>
        <w:pStyle w:val="Heading2"/>
        <w:rPr>
          <w:rFonts w:ascii="仿宋" w:eastAsia="仿宋" w:hAnsi="仿宋" w:cs="仿宋" w:hint="eastAsia"/>
          <w:lang w:eastAsia="zh-CN"/>
        </w:rPr>
      </w:pPr>
      <w:bookmarkStart w:id="18" w:name="_Toc16150"/>
      <w:r>
        <w:rPr>
          <w:rFonts w:ascii="仿宋" w:eastAsia="仿宋" w:hAnsi="仿宋" w:cs="仿宋" w:hint="eastAsia"/>
          <w:lang w:eastAsia="zh-CN"/>
        </w:rPr>
        <w:t>(一)、员工福利政策</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薪酬福利</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薪酬福利是员工关注的核心内容之一，直接关系到员工的生活质量和对工作的认同感。企业可以通过以下手段提供有竞争力的薪酬福利：</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基本工资： 确保员工的基本工资水平能够满足生活需求，并与行业水平相符。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绩效奖金： 建立科学的绩效考核体系，通过绩效奖金激发员工的工作热情和动力。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福利补贴： 提供丰富的福利补贴，如交通补贴、通讯补贴、餐补等，以提升员工的实际收入。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福利待遇： 提供完善的社会保险和商业保险，确保员工在面对风险和困难时有相应的保障。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职业发展与培训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为员工提供职业发展和培训机会是企业关心员工成长的体现，也是激发员工积极性的重要手段。相关政策包括：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 制定全面的培训计划，包括入职培训、职业技能培训、管理能力培训等，以提升员工的综合素质。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晋升机制： 建立公平、透明的晋升机制，鼓励员工通过不断学习和提升能力来获得更高职位。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导师制度： 实施导师制度，为员工提供专业指导和职业规划建议，帮助其更好地适应职场环境。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学习资源： 提供员工可以自主学习的学习资源，如在线课程、图书馆资源等，支持员工的个人发展。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工作生活平衡</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工作生活平衡政策是越来越受到关注的员工福利方面，对于提高员工的生活质量和工作效能有着积极的作用：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弹性工作时间： 提供弹性工作时间，让员工更好地平衡工作和生活，有助于提升工作效率。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远程办公： 支持远程办公，让员工可以更加自由地选择工作地点，提高工作的便捷性和舒适度。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带薪休假： 提供丰富的带薪休假政策，包括年假、病假、特殊假期等，保障员工的休息和健康。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健康管理： 提供健康管理服务，包括定期体检、心理健康辅导等，关心员工的身体和心理健康。</w:t>
      </w:r>
    </w:p>
    <w:p>
      <w:pPr>
        <w:pStyle w:val="Heading2"/>
        <w:ind w:firstLine="560" w:firstLineChars="200"/>
        <w:rPr>
          <w:rFonts w:ascii="仿宋" w:eastAsia="仿宋" w:hAnsi="仿宋" w:cs="仿宋" w:hint="eastAsia"/>
          <w:sz w:val="28"/>
          <w:lang w:eastAsia="zh-CN"/>
        </w:rPr>
      </w:pPr>
      <w:bookmarkStart w:id="19" w:name="_Toc10643"/>
      <w:r>
        <w:rPr>
          <w:rFonts w:ascii="仿宋" w:eastAsia="仿宋" w:hAnsi="仿宋" w:cs="仿宋" w:hint="eastAsia"/>
          <w:sz w:val="28"/>
          <w:lang w:eastAsia="zh-CN"/>
        </w:rPr>
        <w:t>(二)、团队建设与员工培训</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团队建设旨在增强团队成员之间的合作、沟通和协调能力，以提高整个团队的绩效。具体的团队建设策略包括：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明确团队目标： 将团队目标明确传达给每位成员，确保大家对团队的方向和目标有清晰的认识。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促进沟通： 建立开放、透明的沟通渠道，鼓励成员分享观点、意见和反馈，提高团队内部的信息流通效率。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团队活动： 定期组织团队活动，如团建、培训、座谈等，促进团队成员之间的相互了解和交流。</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设立明确角色： 明确每位成员的职责和角色，避免工作重叠和责任不清，提高团队协同效率。</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奖励机制：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建立激励机制，通过团队目标的实现奖励优秀表现，激发成员的团队合作意识。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2. 员工培训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员工培训是为了提升员工的专业素养、技能水平，使其更好地适应企业的发展需求。有效的员工培训包括以下关键点：</w:t>
      </w:r>
    </w:p>
    <w:p>
      <w:pPr>
        <w:ind w:firstLine="560" w:firstLineChars="200"/>
        <w:rPr>
          <w:rFonts w:ascii="仿宋" w:eastAsia="仿宋" w:hAnsi="仿宋" w:cs="仿宋" w:hint="eastAsia"/>
          <w:sz w:val="28"/>
        </w:rPr>
      </w:pPr>
      <w:r>
        <w:rPr>
          <w:rFonts w:ascii="仿宋" w:eastAsia="仿宋" w:hAnsi="仿宋" w:cs="仿宋" w:hint="eastAsia"/>
          <w:sz w:val="28"/>
          <w:lang w:eastAsia="zh-CN"/>
        </w:rPr>
        <w:t>需求分析： 在进行培训计划前，对员工的实际需求进行调研和分析，确保培训内容切实符合员工的发展需求。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多样化培训方式： 结合不同学习风格和需求，采用多样化的培训方式，包括课堂培训、在线学习、实践操作等。</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专业师资： 邀请具有丰富经验和专业知识的讲师，确保培训内容的专业性和实用性。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持续培训： 实行持续培训机制，不仅关注新员工的培训，也重视老员工的继续教育，保持员工的职业竞争力。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培训效果评估： 在培训结束后进行效果评估，了解培训的实际收益和改进空间，不断提升培训质量。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团队建设和员工培训，企业能够更好地塑造协同高效的团队，提升员工的综合素养，使其具备更强的适应力和创造力。这两方面的工作是企业人力资源管理中的关键环节，直接影响着企业的竞争力和可持续发展。同时，积极的团队建设和员工培训也有助于提高员工的工作满意度和忠诚度，形成更加稳固的组织基石。</w:t>
      </w:r>
    </w:p>
    <w:p>
      <w:pPr>
        <w:pStyle w:val="Heading2"/>
        <w:ind w:firstLine="560" w:firstLineChars="200"/>
        <w:rPr>
          <w:rFonts w:ascii="仿宋" w:eastAsia="仿宋" w:hAnsi="仿宋" w:cs="仿宋" w:hint="eastAsia"/>
          <w:sz w:val="28"/>
          <w:lang w:eastAsia="zh-CN"/>
        </w:rPr>
      </w:pPr>
      <w:bookmarkStart w:id="20" w:name="_Toc9082"/>
      <w:r>
        <w:rPr>
          <w:rFonts w:ascii="仿宋" w:eastAsia="仿宋" w:hAnsi="仿宋" w:cs="仿宋" w:hint="eastAsia"/>
          <w:sz w:val="28"/>
          <w:lang w:eastAsia="zh-CN"/>
        </w:rPr>
        <w:t>(三)、企业文化建设</w:t>
      </w:r>
      <w:bookmarkEnd w:id="20"/>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1. 明确核心价值观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企业文化的核心在于明确企业的核心价值观。这是企业文化的灵魂，为员工提供行为准则，塑造企业独特的品牌形象。关键步骤包括：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制定核心价值观： 由企业领导层牵头，与全员共同制定公司的核心价值观，确保其具有共识性和引导性。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传达核心价值观： 将核心价值观融入企业的各个方面，通过内外部培训、宣传推广等方式，确保员工理解和认同。</w:t>
      </w:r>
    </w:p>
    <w:p>
      <w:pPr>
        <w:ind w:firstLine="560" w:firstLineChars="200"/>
        <w:rPr>
          <w:rFonts w:ascii="仿宋" w:eastAsia="仿宋" w:hAnsi="仿宋" w:cs="仿宋" w:hint="eastAsia"/>
          <w:sz w:val="28"/>
        </w:rPr>
      </w:pPr>
      <w:r>
        <w:rPr>
          <w:rFonts w:ascii="仿宋" w:eastAsia="仿宋" w:hAnsi="仿宋" w:cs="仿宋" w:hint="eastAsia"/>
          <w:sz w:val="28"/>
          <w:lang w:eastAsia="zh-CN"/>
        </w:rPr>
        <w:t>弘扬核心价值观： 鼓励员工在工作中践行核心价值观，将其内化为行为习惯，从而形成共同的文化认同。</w:t>
      </w:r>
    </w:p>
    <w:p>
      <w:pPr>
        <w:ind w:firstLine="560" w:firstLineChars="200"/>
        <w:rPr>
          <w:rFonts w:ascii="仿宋" w:eastAsia="仿宋" w:hAnsi="仿宋" w:cs="仿宋" w:hint="eastAsia"/>
          <w:sz w:val="28"/>
        </w:rPr>
      </w:pPr>
      <w:r>
        <w:rPr>
          <w:rFonts w:ascii="仿宋" w:eastAsia="仿宋" w:hAnsi="仿宋" w:cs="仿宋" w:hint="eastAsia"/>
          <w:sz w:val="28"/>
          <w:lang w:eastAsia="zh-CN"/>
        </w:rPr>
        <w:t>2. 倡导积极工作氛围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良好的工作氛围是企业文化建设的关键组成部分，直接关系到员工的工作积极性和创造力。相关策略包括：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激励机制： 制定并实施激励机制，包括奖励、晋升机会等，鼓励员工更加积极主动地投入工作。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开放沟通： 打破部门壁垒，鼓励员工之间开放、坦诚的沟通，形成良好的团队合作氛围。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关注员工需求： 通过定期调查、员工反馈等方式了解员工需求，及时调整管理政策，提高员工的满意度。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建设共同的企业愿景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企业文化建设的目标之一是建设共同的企业愿景，激发员工对企业未来发展的期许和认同。关键步骤包括：</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制定愿景目标： 由企业领导层与全员共同参与，确立具有挑战性和激励性的企业愿景，明确未来的发展方向。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传递愿景信息： 通过内外部媒体、企业内部宣传等方式，将企业愿景传递给全员，确保员工对愿景的理解和认同。</w:t>
      </w:r>
    </w:p>
    <w:p>
      <w:pPr>
        <w:ind w:firstLine="560" w:firstLineChars="200"/>
        <w:rPr>
          <w:rFonts w:ascii="仿宋" w:eastAsia="仿宋" w:hAnsi="仿宋" w:cs="仿宋" w:hint="eastAsia"/>
          <w:sz w:val="28"/>
        </w:rPr>
      </w:pPr>
      <w:r>
        <w:rPr>
          <w:rFonts w:ascii="仿宋" w:eastAsia="仿宋" w:hAnsi="仿宋" w:cs="仿宋" w:hint="eastAsia"/>
          <w:sz w:val="28"/>
          <w:lang w:eastAsia="zh-CN"/>
        </w:rPr>
        <w:t>与员工共建： 鼓励员工提出对企业愿景的建议和期望，形成共建共享的愿景文化。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建立共同价值观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共同的价值观是企业文化中的黏合剂，通过共同的价值观可以在组织内形成一种紧密的凝聚力。相关做法包括：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强调团队协作： 在企业文化中强调团队协作的重要性，倡导共同努力、共享成果的工作理念。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倡导责任意识： 建立员工对企业的责任感，使每个员工都能深刻理解自己的工作对企业的贡献。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共享成功： 强调成功是整个团队共同努力的结果，通过共享成功经验和荣誉，进一步加强团队凝聚力。</w:t>
      </w:r>
    </w:p>
    <w:p>
      <w:pPr>
        <w:pStyle w:val="Heading2"/>
        <w:ind w:firstLine="560" w:firstLineChars="200"/>
        <w:rPr>
          <w:rFonts w:ascii="仿宋" w:eastAsia="仿宋" w:hAnsi="仿宋" w:cs="仿宋" w:hint="eastAsia"/>
          <w:sz w:val="28"/>
          <w:lang w:eastAsia="zh-CN"/>
        </w:rPr>
      </w:pPr>
      <w:bookmarkStart w:id="21" w:name="_Toc23836"/>
      <w:r>
        <w:rPr>
          <w:rFonts w:ascii="仿宋" w:eastAsia="仿宋" w:hAnsi="仿宋" w:cs="仿宋" w:hint="eastAsia"/>
          <w:sz w:val="28"/>
          <w:lang w:eastAsia="zh-CN"/>
        </w:rPr>
        <w:t>(四)、员工健康与工作平衡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员工的健康和工作平衡是企业人力资源管理中至关重要的两个方面。建立良好的健康环境和工作平衡，有助于提高员工的工作效能、减轻工作压力，同时增强员工的忠诚度和满意度。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健康管理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员工的身体健康是企业稳定运营的基础，也是提高工作效能的前提。建立健康管理制度包括：</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定期体检：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提供定期的健康体检，早发现和预防潜在健康问题，保障员工的身体健康。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健康教育： 开展健康知识培训，提高员工对健康的认识，鼓励健康生活方式，如合理饮食、适度运动等。</w:t>
      </w:r>
    </w:p>
    <w:p>
      <w:pPr>
        <w:ind w:firstLine="560" w:firstLineChars="200"/>
        <w:rPr>
          <w:rFonts w:ascii="仿宋" w:eastAsia="仿宋" w:hAnsi="仿宋" w:cs="仿宋" w:hint="eastAsia"/>
          <w:sz w:val="28"/>
        </w:rPr>
      </w:pPr>
      <w:r>
        <w:rPr>
          <w:rFonts w:ascii="仿宋" w:eastAsia="仿宋" w:hAnsi="仿宋" w:cs="仿宋" w:hint="eastAsia"/>
          <w:sz w:val="28"/>
          <w:lang w:eastAsia="zh-CN"/>
        </w:rPr>
        <w:t>心理健康支持： 提供心理健康支持服务，包括心理咨询、工作压力管理等，关注员工的心理健康。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职业病防护： 针对特殊行业，建立职业病防护措施，减少员工在工作中可能受到的健康危害。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工作时间与弹性制度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工作平衡是指员工在工作和生活之间能够取得平衡，既能够充分发挥工作潜力，又能够有足够的时间去追求生活中的其他目标。相关做法包括：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弹性工作时间： 提供弹性的工作时间安排，使员工更好地适应个人的作息习惯和生活需求。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远程办公： 鼓励和支持员工在一定条件下进行远程办公，提高工作的灵活性。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带薪休假： 提供充足的带薪休假，让员工有足够的时间休息和放松，减轻工作压力。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加班限制： 设定合理的加班限制，防止员工长时间过度工作，保障员工的身心健康。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健康活动与福利</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通过组织健康活动和提供福利，企业可以增强员工的团队合作精神，同时提升员工对企业的认同感。相关做法包括：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健身活动： 组织定期的健身活动，如羽毛球比赛、健身培训等，促进员工身体锻炼，增强身体素质。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健康餐饮： 提供健康餐饮选择，关注员工的饮食健康，推动员工养成健康的饮食习惯。</w:t>
      </w:r>
    </w:p>
    <w:p>
      <w:pPr>
        <w:ind w:firstLine="560" w:firstLineChars="200"/>
        <w:rPr>
          <w:rFonts w:ascii="仿宋" w:eastAsia="仿宋" w:hAnsi="仿宋" w:cs="仿宋" w:hint="eastAsia"/>
          <w:sz w:val="28"/>
        </w:rPr>
      </w:pPr>
      <w:r>
        <w:rPr>
          <w:rFonts w:ascii="仿宋" w:eastAsia="仿宋" w:hAnsi="仿宋" w:cs="仿宋" w:hint="eastAsia"/>
          <w:sz w:val="28"/>
          <w:lang w:eastAsia="zh-CN"/>
        </w:rPr>
        <w:t>福利政策： 设立完善的员工福利政策，包括健康保险、子女教育支持等，提升员工的生活品质。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关注员工的健康与工作平衡，企业可以营造出积极向上、关爱员工的文化氛围，从而提高员工的工作满意度和忠诚度，实现共赢。</w:t>
      </w:r>
    </w:p>
    <w:p>
      <w:pPr>
        <w:pStyle w:val="Heading1"/>
        <w:ind w:firstLine="560" w:firstLineChars="200"/>
        <w:rPr>
          <w:rFonts w:ascii="仿宋" w:eastAsia="仿宋" w:hAnsi="仿宋" w:cs="仿宋" w:hint="eastAsia"/>
          <w:sz w:val="28"/>
          <w:lang w:eastAsia="zh-CN"/>
        </w:rPr>
      </w:pPr>
      <w:bookmarkStart w:id="22" w:name="_Toc32741"/>
      <w:r>
        <w:rPr>
          <w:rFonts w:ascii="仿宋" w:eastAsia="仿宋" w:hAnsi="仿宋" w:cs="仿宋" w:hint="eastAsia"/>
          <w:sz w:val="28"/>
          <w:lang w:eastAsia="zh-CN"/>
        </w:rPr>
        <w:t>六、超细Γ-AL2O3微粉项目风险评估</w:t>
      </w:r>
      <w:bookmarkEnd w:id="22"/>
    </w:p>
    <w:p>
      <w:pPr>
        <w:pStyle w:val="Heading2"/>
        <w:rPr>
          <w:rFonts w:ascii="仿宋" w:eastAsia="仿宋" w:hAnsi="仿宋" w:cs="仿宋" w:hint="eastAsia"/>
          <w:lang w:eastAsia="zh-CN"/>
        </w:rPr>
      </w:pPr>
      <w:bookmarkStart w:id="23" w:name="_Toc5996"/>
      <w:r>
        <w:rPr>
          <w:rFonts w:ascii="仿宋" w:eastAsia="仿宋" w:hAnsi="仿宋" w:cs="仿宋" w:hint="eastAsia"/>
          <w:lang w:eastAsia="zh-CN"/>
        </w:rPr>
        <w:t>(一)、政策风险分析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政策风险分析是在超细Γ-AL2O3微粉项目实施中考虑政府政策变化可能带来的影响和挑战。政策风险分析的一般步骤：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政策环境变化：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首先，分析所处地区的政治和法规环境。政府在不同时间可能会出台新政策、修改法规或者废除旧政策，这可能对超细Γ-AL2O3微粉项目的经营产生重大影响。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行业监管政策：</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了解行业监管政策的动态变化。某些行业受到特殊监管，政府可能会频繁调整监管标准。超细Γ-AL2O3微粉项目如果处于受监管行业，需要密切关注相关政策变动。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税收政策：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分析税收政策的可能变化。税收政策的调整可能影响企业的盈利水平。了解企业所在地区的税收政策，包括企业所得税、增值税等，以及是否存在税收优惠政策。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4. 贸易政策：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如果超细Γ-AL2O3微粉项目涉及跨境贸易，需要考虑国际贸易政策的影响。关税、贸易壁垒、出口管制等因素可能对超细Γ-AL2O3微粉项目的进出口产生直接影响。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环保和能源政策：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政府对环保和能源政策的调整可能对某些行业产生深远的影响。了解并评估与超细Γ-AL2O3微粉项目相关的环保法规和能源政策的变化。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6. 劳动力法规：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分析劳动力法规的变动。劳动力法规的改变可能导致劳动力成本的波动，或者对雇佣关系和劳动力管理提出新的要求。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市场准入政策：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了解市场准入政策的情况，特别是对新兴产业或外资企业的市场准入条件。政府对于不同行业的准入标准可能会发生变化。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8. 法律体系的稳定性：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评估所处地区的法律体系的稳定性。法律环境的不稳定可能导致合同不确定性，司法争议的增加等。</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9. 政策变动的预测：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尝试预测政府政策的未来变动，可能的方向和趋势。这有助于企业更好地应对潜在的政策风险。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10. 风险缓解策略：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制定针对可能政策风险的应对策略，如建立政府关系、多方沟通、合规性审查等，以降低超细Γ-AL2O3微粉项目受政策影响的程度。</w:t>
      </w:r>
    </w:p>
    <w:p>
      <w:pPr>
        <w:pStyle w:val="Heading2"/>
        <w:ind w:firstLine="560" w:firstLineChars="200"/>
        <w:rPr>
          <w:rFonts w:ascii="仿宋" w:eastAsia="仿宋" w:hAnsi="仿宋" w:cs="仿宋" w:hint="eastAsia"/>
          <w:sz w:val="28"/>
          <w:lang w:eastAsia="zh-CN"/>
        </w:rPr>
      </w:pPr>
      <w:bookmarkStart w:id="24" w:name="_Toc17504"/>
      <w:r>
        <w:rPr>
          <w:rFonts w:ascii="仿宋" w:eastAsia="仿宋" w:hAnsi="仿宋" w:cs="仿宋" w:hint="eastAsia"/>
          <w:sz w:val="28"/>
          <w:lang w:eastAsia="zh-CN"/>
        </w:rPr>
        <w:t>(二)、社会风险分析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首先，评估所处地区的社会稳定性。社会动荡、示威抗议、劳工纷争等可能对超细Γ-AL2O3微粉项目产生负面影响。了解社会的整体稳定水平对风险预测至关重要。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2. 社会关系：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分析超细Γ-AL2O3微粉项目可能涉及的社会关系网络。了解关键利益相关者、社区居民、非政府组织（NGO）等的态度和期望，以及超细Γ-AL2O3微粉项目对其可能产生的影响。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3. 社会对超细Γ-AL2O3微粉项目的接受度：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了解社会对超细Γ-AL2O3微粉项目的接受度和态度。有时候，超细Γ-AL2O3微粉项目可能面临来自社区居民或其他利益相关者的抵制。评估社会对超细Γ-AL2O3微粉项目的整体反应，包括可能的正面和负面反馈。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社会文化背景：</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考虑社会文化背景对超细Γ-AL2O3微粉项目的影响。不同地区有不同的文化价值观念和行为模式，了解并尊重当地文化有助于减少文化冲突和误解。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5. 社会公平和包容性：</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评估超细Γ-AL2O3微粉项目对社会公平和包容性的影响。超细Γ-AL2O3微粉项目是否能够促进社会的平等和包容，避免对弱势群体的不利影响。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超细Γ-AL2O3微粉项目是否考虑社会责任和可持续发展原则，以确保超细Γ-AL2O3微粉项目的可持续性和社会价值。社会责任意识有助于提升超细Γ-AL2O3微粉项目在社会中的声誉和认可。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7. 社区参与和沟通：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建立有效的社区参与和沟通机制，以确保超细Γ-AL2O3微粉项目的透明度和社区居民对超细Γ-AL2O3微粉项目决策的参与。主动与社区进行沟通有助于解决潜在的社会矛盾。</w:t>
      </w:r>
    </w:p>
    <w:p>
      <w:pPr>
        <w:ind w:firstLine="560" w:firstLineChars="200"/>
        <w:rPr>
          <w:rFonts w:ascii="仿宋" w:eastAsia="仿宋" w:hAnsi="仿宋" w:cs="仿宋" w:hint="eastAsia"/>
          <w:sz w:val="28"/>
        </w:rPr>
      </w:pPr>
      <w:r>
        <w:rPr>
          <w:rFonts w:ascii="仿宋" w:eastAsia="仿宋" w:hAnsi="仿宋" w:cs="仿宋" w:hint="eastAsia"/>
          <w:sz w:val="28"/>
          <w:lang w:eastAsia="zh-CN"/>
        </w:rPr>
        <w:t>8. 风险缓解策略：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基于社会风险的评估，制定相应的风险缓解策略。这可能包括社会责任超细Γ-AL2O3微粉项目、社区投资、利益相关者参与计划等。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9. 社会舆论监测：</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监测社会舆论对超细Γ-AL2O3微粉项目的反应，及时了解社会动态，以便及时做出应对调整。</w:t>
      </w:r>
    </w:p>
    <w:p>
      <w:pPr>
        <w:pStyle w:val="Heading2"/>
        <w:ind w:firstLine="560" w:firstLineChars="200"/>
        <w:rPr>
          <w:rFonts w:ascii="仿宋" w:eastAsia="仿宋" w:hAnsi="仿宋" w:cs="仿宋" w:hint="eastAsia"/>
          <w:sz w:val="28"/>
          <w:lang w:eastAsia="zh-CN"/>
        </w:rPr>
      </w:pPr>
      <w:bookmarkStart w:id="25" w:name="_Toc18782"/>
      <w:r>
        <w:rPr>
          <w:rFonts w:ascii="仿宋" w:eastAsia="仿宋" w:hAnsi="仿宋" w:cs="仿宋" w:hint="eastAsia"/>
          <w:sz w:val="28"/>
          <w:lang w:eastAsia="zh-CN"/>
        </w:rPr>
        <w:t>(三)、市场风险分析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市场需求波动：</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评估目标市场的需求是否存在波动性。市场需求的不稳定性可能导致销售额的波动，影响超细Γ-AL2O3微粉项目的盈利能力。了解市场需求的周期性和波动性对风险分析至关重要。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分析目标市场的竞争格局和竞争对手的强度。竞争压力的增加可能导致价格下降、市场份额减少等问题。了解竞争对手的策略和市场定位，制定相应的竞争策略。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考虑技术的快速变革对市场的影响。技术创新可能导致产品或服务的陈旧，需要不断升级以适应市场的新要求。了解技术趋势，及时调整超细Γ-AL2O3微粉项目的技术方向。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分析市场所在地区的法规和政策对超细Γ-AL2O3微粉项目的影响。政策的变动可能对市场准入、产品注册、广告宣传等方面产生影响。密切关注相关法规的动态变化。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消费者行为变化：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了解目标市场消费者行为的可能变化。消费趋势、偏好和购买习惯的变动可能影响产品或服务的市场表现。通过市场调研了解目标消费者的实际需求。</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6. 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评估超细Γ-AL2O3微粉项目所处的供应链的稳定性。供应链中可能存在的问题，如原材料供应不稳定、制造环节问题等，都可能对市场供应和产品交付产生影响。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汇率和国际贸易风险：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如果超细Γ-AL2O3微粉项目涉及跨国贸易，需考虑汇率波动和国际贸易政策的变化。这些因素可能对成本、价格和市场准入造成直接的影响。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市场规模和增长预期：</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了解市场的规模和增长预期，评估是否存在市场容量的瓶颈问题。市场规模的估算和增长预期对超细Γ-AL2O3微粉项目的定位和发展计划有着重要的指导作用。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9. 市场宏观经济环境：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分析市场所在地区的宏观经济环境，包括通货膨胀率、利率水平、就业状况等。这些宏观经济指标直接关系到市场的消费能力和投资环境。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10. 市场推广和品牌建设：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考虑超细Γ-AL2O3微粉项目的市场推广和品牌建设计划，以提高市场知名度和客户忠诚度。市场认知度和品牌声誉对超细Γ-AL2O3微粉项目的市场份额和销售成果具有重要影响。</w:t>
      </w:r>
    </w:p>
    <w:p>
      <w:pPr>
        <w:pStyle w:val="Heading2"/>
        <w:ind w:firstLine="560" w:firstLineChars="200"/>
        <w:rPr>
          <w:rFonts w:ascii="仿宋" w:eastAsia="仿宋" w:hAnsi="仿宋" w:cs="仿宋" w:hint="eastAsia"/>
          <w:sz w:val="28"/>
          <w:lang w:eastAsia="zh-CN"/>
        </w:rPr>
      </w:pPr>
      <w:bookmarkStart w:id="26" w:name="_Toc9090"/>
      <w:r>
        <w:rPr>
          <w:rFonts w:ascii="仿宋" w:eastAsia="仿宋" w:hAnsi="仿宋" w:cs="仿宋" w:hint="eastAsia"/>
          <w:sz w:val="28"/>
          <w:lang w:eastAsia="zh-CN"/>
        </w:rPr>
        <w:t>(四)、资金风险分析</w:t>
      </w:r>
      <w:bookmarkEnd w:id="26"/>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1. 筹资风险：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评估超细Γ-AL2O3微粉项目筹资的难易程度和成本。资金筹集可能涉及银行贷款、股权融资、债务融资等方式，分析各种筹资方式的利弊，评估融资成本和偿还压力。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利率风险：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考虑市场利率的波动对超细Γ-AL2O3微粉项目的影响。利率的上升可能导致融资成本增加，对超细Γ-AL2O3微粉项目的盈利能力和偿还能力产生负面影响。制定利率敏感性分析，评估对利率变动的承受能力。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如果超细Γ-AL2O3微粉项目涉及跨国业务，需考虑汇率波动对资金的影响。汇率波动可能导致外汇损益，增加超细Γ-AL2O3微粉项目的不确定性。采取汇率对冲措施，降低汇率风险。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4. 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评估超细Γ-AL2O3微粉项目的流动性风险，即在资金需求增加时，是否能够及时获得足够的资金。制定资金运作计划，确保超细Γ-AL2O3微粉项目有足够的流动性来支持日常经营和发展。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偿债风险：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分析超细Γ-AL2O3微粉项目的偿债能力，包括偿还利息和本金的能力。确保超细Γ-AL2O3微粉项目有足够的盈利能力来偿还债务，避免因财务压力导致的违约风险。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政策风险：</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考虑国家和地区的宏观经济政策对资金流动的影响。政策变动可能导致资金的流动性发生变化，对超细Γ-AL2O3微粉项目的经营和发展产生重大影响。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7. 信用风险：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如果超细Γ-AL2O3微粉项目与其他机构或个人发生信贷关系，需要评估对方的信用风险。确保选择的合作伙伴有较高的信用度，减小因他们违约而导致的资金损失。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8. 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考虑市场环境的不确定性对资金流动的可能影响。市场波动、行业竞争激烈等因素都可能对超细Γ-AL2O3微粉项目的盈利能力和资金流动性产生影响。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9. 异常风险：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评估超细Γ-AL2O3微粉项目面临的异常风险，如自然灾害、政治动荡等。这些突发性事件可能导致资金的紧张和流动性问题。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10. 资金回收风险：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分析超细Γ-AL2O3微粉项目收益的回收情况，确保超细Γ-AL2O3微粉项目能够按计划实现收益。市场变化、竞争加剧等因素可能影响超细Γ-AL2O3微粉项目的盈利能力。</w:t>
      </w:r>
    </w:p>
    <w:p>
      <w:pPr>
        <w:pStyle w:val="Heading2"/>
        <w:ind w:firstLine="560" w:firstLineChars="200"/>
        <w:rPr>
          <w:rFonts w:ascii="仿宋" w:eastAsia="仿宋" w:hAnsi="仿宋" w:cs="仿宋" w:hint="eastAsia"/>
          <w:sz w:val="28"/>
          <w:lang w:eastAsia="zh-CN"/>
        </w:rPr>
      </w:pPr>
      <w:bookmarkStart w:id="27" w:name="_Toc29612"/>
      <w:r>
        <w:rPr>
          <w:rFonts w:ascii="仿宋" w:eastAsia="仿宋" w:hAnsi="仿宋" w:cs="仿宋" w:hint="eastAsia"/>
          <w:sz w:val="28"/>
          <w:lang w:eastAsia="zh-CN"/>
        </w:rPr>
        <w:t>(五)、技术风险分析</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技术创新风险：</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评估超细Γ-AL2O3微粉项目是否涉及新技术、新工艺或新产品。新技术的引入可能带来创新，但也可能面临技术验证和市场认可的不确定性。制定详细的技术创新计划和验证方案。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技术可行性风险：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对超细Γ-AL2O3微粉项目的技术可行性进行评估，包括技术方案的合理性、实施的难易程度等。确保技术方案在实践中是可行的，避免由于技术可行性问题导致超细Γ-AL2O3微粉项目失败。</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技术人才风险：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评估超细Γ-AL2O3微粉项目团队是否具备足够的技术专业知识和经验。缺乏关键技术人才可能导致超细Γ-AL2O3微粉项目进展受阻。确保团队中有足够的专业技术人才，并制定培训计划。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技术依赖性风险：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分析超细Γ-AL2O3微粉项目是否依赖于特定的技术供应商或合作伙伴。技术依赖性可能导致供应链中断、技术转移困难等问题。确保技术依赖性得到妥善管理。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5. 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考虑技术的快速演进对超细Γ-AL2O3微粉项目的影响。技术的快速变化可能导致超细Γ-AL2O3微粉项目中的技术陈旧，需要不断更新和升级。制定技术演进计划，确保超细Γ-AL2O3微粉项目能够适应技术的变革。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质量控制风险：</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r>
        <w:rPr>
          <w:rFonts w:ascii="仿宋" w:eastAsia="仿宋" w:hAnsi="仿宋" w:cs="仿宋" w:hint="eastAsia"/>
          <w:sz w:val="28"/>
          <w:lang w:eastAsia="zh-CN"/>
        </w:rPr>
        <w:t>评估超细Γ-AL2O3微粉项目在技术研发和生产过程中的质量控制措施。质量问题可能导致产品或服务的不合格，影响市场声誉。建立完善的质量管理体系，确保产品符合标准。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7. 安全性和合规性风险：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考虑超细Γ-AL2O3微粉项目在技术应用中可能面临的安全性和合规性问题。确保技术方案符合相关法规和标准，防范潜在的安全风险。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8. 技术保护风险：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评估超细Γ-AL2O3微粉项目的技术创新是否受到足够的法律保护，包括专利、商标等。确保超细Γ-AL2O3微粉项目的技术成果受到合法的保护，防范知识产权风险。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技术适应性风险：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分析超细Γ-AL2O3微粉项目的技术方案是否适应目标市场的需求。技术的适应性是超细Γ-AL2O3微粉项目成功的关键因素，确保技术方案能够满足目标市场的实际需求。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10. 技术升级风险：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考虑技术升级对超细Γ-AL2O3微粉项目的影响。技术的快速升级可能导致超细Γ-AL2O3微粉项目中的技术设备过时，需要不断进行技术升级。确保超细Γ-AL2O3微粉项目具备升级的灵活性和计划。</w:t>
      </w:r>
    </w:p>
    <w:p>
      <w:pPr>
        <w:pStyle w:val="Heading2"/>
        <w:ind w:firstLine="560" w:firstLineChars="200"/>
        <w:rPr>
          <w:rFonts w:ascii="仿宋" w:eastAsia="仿宋" w:hAnsi="仿宋" w:cs="仿宋" w:hint="eastAsia"/>
          <w:sz w:val="28"/>
          <w:lang w:eastAsia="zh-CN"/>
        </w:rPr>
      </w:pPr>
      <w:bookmarkStart w:id="28" w:name="_Toc22938"/>
      <w:r>
        <w:rPr>
          <w:rFonts w:ascii="仿宋" w:eastAsia="仿宋" w:hAnsi="仿宋" w:cs="仿宋" w:hint="eastAsia"/>
          <w:sz w:val="28"/>
          <w:lang w:eastAsia="zh-CN"/>
        </w:rPr>
        <w:t>(六)、财务风险分析</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1. 资金流动风险：</w:t>
      </w:r>
    </w:p>
    <w:p>
      <w:pPr>
        <w:ind w:firstLine="560" w:firstLineChars="200"/>
        <w:rPr>
          <w:rFonts w:ascii="仿宋" w:eastAsia="仿宋" w:hAnsi="仿宋" w:cs="仿宋" w:hint="eastAsia"/>
          <w:sz w:val="28"/>
        </w:rPr>
        <w:sectPr>
          <w:headerReference w:type="default" r:id="rId72"/>
          <w:footerReference w:type="default" r:id="rId73"/>
          <w:type w:val="nextPage"/>
          <w:pgSz w:w="11906" w:h="16838"/>
          <w:pgMar w:top="1440" w:right="1800" w:bottom="1440" w:left="1800" w:header="851" w:footer="992" w:gutter="0"/>
          <w:pgNumType w:start="35"/>
          <w:cols w:num="1" w:space="425"/>
          <w:titlePg w:val="0"/>
          <w:docGrid w:type="lines" w:linePitch="312" w:charSpace="0"/>
        </w:sectPr>
      </w:pPr>
      <w:r>
        <w:rPr>
          <w:rFonts w:ascii="仿宋" w:eastAsia="仿宋" w:hAnsi="仿宋" w:cs="仿宋" w:hint="eastAsia"/>
          <w:sz w:val="28"/>
          <w:lang w:eastAsia="zh-CN"/>
        </w:rPr>
        <w:t>评估超细Γ-AL2O3微粉项目在不同经济环境下的资金流动情况，考虑可能的资金短缺或过剩。建立合理的资金运作计划，确保超细Γ-AL2O3微粉项目具备足够的流动性来支持日常经营和未来发展。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利润风险：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分析超细Γ-AL2O3微粉项目的盈利能力，考虑市场竞争、价格波动等因素对利润的影响。制定灵活的价格策略，确保超细Γ-AL2O3微粉项目能够在不同市场条件下实现盈利。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财务杠杆风险：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评估超细Γ-AL2O3微粉项目的财务杠杆水平，即债务与权益的比例。高财务杠杆可能增加财务风险，需要谨慎管理债务。确保债务水平符合超细Γ-AL2O3微粉项目的偿债能力。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如果超细Γ-AL2O3微粉项目涉及跨国业务，考虑汇率波动对财务状况的影响。采取汇率对冲措施，降低因汇率波动而导致的财务损失。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5. 利率风险：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分析超细Γ-AL2O3微粉项目的贷款利率和融资成本，考虑市场利率的变动对财务费用的影响。选择固定利率或制定灵活的融资计划，降低利率波动对超细Γ-AL2O3微粉项目的不利影响。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考虑市场波动对超细Γ-AL2O3微粉项目的销售收入和市值的影响。建立市场风险管理机制，制定灵活的市场战略，以适应市场的变化。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7. 流动性风险：</w:t>
      </w:r>
    </w:p>
    <w:p>
      <w:pPr>
        <w:ind w:firstLine="560" w:firstLineChars="200"/>
        <w:rPr>
          <w:rFonts w:ascii="仿宋" w:eastAsia="仿宋" w:hAnsi="仿宋" w:cs="仿宋" w:hint="eastAsia"/>
          <w:sz w:val="28"/>
        </w:rPr>
        <w:sectPr>
          <w:headerReference w:type="default" r:id="rId74"/>
          <w:footerReference w:type="default" r:id="rId75"/>
          <w:type w:val="nextPage"/>
          <w:pgSz w:w="11906" w:h="16838"/>
          <w:pgMar w:top="1440" w:right="1800" w:bottom="1440" w:left="1800" w:header="851" w:footer="992" w:gutter="0"/>
          <w:pgNumType w:start="3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分析超细Γ-AL2O3微粉项目在不同市场环境下的流动性状况。确保超细Γ-AL2O3微粉项目具备足够的流动性，以应对突发事件或市场变动。</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考虑国家和地区宏观经济政策对超细Γ-AL2O3微粉项目财务状况的影响。政策的变动可能导致税收、补贴等方面的财务风险，需要密切关注政策动向。</w:t>
      </w:r>
    </w:p>
    <w:p>
      <w:pPr>
        <w:ind w:firstLine="560" w:firstLineChars="200"/>
        <w:rPr>
          <w:rFonts w:ascii="仿宋" w:eastAsia="仿宋" w:hAnsi="仿宋" w:cs="仿宋" w:hint="eastAsia"/>
          <w:sz w:val="28"/>
        </w:rPr>
      </w:pPr>
      <w:r>
        <w:rPr>
          <w:rFonts w:ascii="仿宋" w:eastAsia="仿宋" w:hAnsi="仿宋" w:cs="仿宋" w:hint="eastAsia"/>
          <w:sz w:val="28"/>
          <w:lang w:eastAsia="zh-CN"/>
        </w:rPr>
        <w:t>9. 偿债风险：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评估超细Γ-AL2O3微粉项目的偿债能力，包括偿还债务的能力。确保超细Γ-AL2O3微粉项目有足够的盈利能力来偿还债务，避免因偿债能力不足而面临违约风险。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10. 财务透明度风险：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确保超细Γ-AL2O3微粉项目的财务信息透明度，避免信息不对称导致的投资者信任问题。建立健全的财务报告和审计体系，提高财务透明度。</w:t>
      </w:r>
    </w:p>
    <w:p>
      <w:pPr>
        <w:pStyle w:val="Heading2"/>
        <w:ind w:firstLine="560" w:firstLineChars="200"/>
        <w:rPr>
          <w:rFonts w:ascii="仿宋" w:eastAsia="仿宋" w:hAnsi="仿宋" w:cs="仿宋" w:hint="eastAsia"/>
          <w:sz w:val="28"/>
          <w:lang w:eastAsia="zh-CN"/>
        </w:rPr>
      </w:pPr>
      <w:bookmarkStart w:id="29" w:name="_Toc3583"/>
      <w:r>
        <w:rPr>
          <w:rFonts w:ascii="仿宋" w:eastAsia="仿宋" w:hAnsi="仿宋" w:cs="仿宋" w:hint="eastAsia"/>
          <w:sz w:val="28"/>
          <w:lang w:eastAsia="zh-CN"/>
        </w:rPr>
        <w:t>(七)、管理风险分析</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1. 领导层变动风险：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考虑领导层的变动对超细Γ-AL2O3微粉项目决策和执行的影响。建立健全的领导层继任计划，确保领导层的平稳过渡，减轻因领导层变动而导致的管理风险。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组织文化风险：</w:t>
      </w:r>
    </w:p>
    <w:p>
      <w:pPr>
        <w:ind w:firstLine="560" w:firstLineChars="200"/>
        <w:rPr>
          <w:rFonts w:ascii="仿宋" w:eastAsia="仿宋" w:hAnsi="仿宋" w:cs="仿宋" w:hint="eastAsia"/>
          <w:sz w:val="28"/>
        </w:rPr>
        <w:sectPr>
          <w:headerReference w:type="default" r:id="rId76"/>
          <w:footerReference w:type="default" r:id="rId77"/>
          <w:type w:val="nextPage"/>
          <w:pgSz w:w="11906" w:h="16838"/>
          <w:pgMar w:top="1440" w:right="1800" w:bottom="1440" w:left="1800" w:header="851" w:footer="992" w:gutter="0"/>
          <w:pgNumType w:start="3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评估超细Γ-AL2O3微粉项目所处组织的文化氛围，确保超细Γ-AL2O3微粉项目团队的价值观和组织文化相符。管理层应重视并促进健康、积极的组织文化，以提高超细Γ-AL2O3微粉项目执行效果。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团队合作风险：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分析团队成员之间的协作和沟通情况，确保团队能够有效合作。建立团队建设机制，提高团队凝聚力和协同效率。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人才流失风险：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评估超细Γ-AL2O3微粉项目团队成员的离职潜在风险。建立人才培养和激励机制，提高员工的忠诚度和满意度，减少人才流失对超细Γ-AL2O3微粉项目的不利影响。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决策失误风险：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分析超细Γ-AL2O3微粉项目决策流程和决策者的决策能力。建立科学的决策流程，提高决策的准确性和效率，降低因决策失误而带来的管理风险。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信息管理风险：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考虑信息流通的透明度和准确性。确保超细Γ-AL2O3微粉项目团队拥有及时、准确的信息，避免信息不对称导致管理风险。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超细Γ-AL2O3微粉项目管控风险：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分析超细Γ-AL2O3微粉项目进度、成本和质量等方面的管控机制。建立有效的超细Γ-AL2O3微粉项目管理体系，确保超细Γ-AL2O3微粉项目能够按计划进行，减轻超细Γ-AL2O3微粉项目管控风险。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8. 沟通风险：</w:t>
      </w:r>
    </w:p>
    <w:p>
      <w:pPr>
        <w:ind w:firstLine="560" w:firstLineChars="200"/>
        <w:rPr>
          <w:rFonts w:ascii="仿宋" w:eastAsia="仿宋" w:hAnsi="仿宋" w:cs="仿宋" w:hint="eastAsia"/>
          <w:sz w:val="28"/>
        </w:rPr>
        <w:sectPr>
          <w:headerReference w:type="default" r:id="rId78"/>
          <w:footerReference w:type="default" r:id="rId79"/>
          <w:type w:val="nextPage"/>
          <w:pgSz w:w="11906" w:h="16838"/>
          <w:pgMar w:top="1440" w:right="1800" w:bottom="1440" w:left="1800" w:header="851" w:footer="992" w:gutter="0"/>
          <w:pgNumType w:start="3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评估超细Γ-AL2O3微粉项目内外沟通的畅通程度。建立有效的沟通机制，确保团队成员之间和与外部利益相关者之间的沟通畅通，降低因沟通不畅而带来的管理风险。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9. 风险管理体系风险：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考虑超细Γ-AL2O3微粉项目的风险管理体系是否健全。建立全面的风险管理机制，包括风险识别、评估、应对和监控，确保超细Γ-AL2O3微粉项目能够及时应对各类风险。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10. 供应链管理风险：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分析超细Γ-AL2O3微粉项目的供应链结构和关键供应商的风险。确保供应链的稳定性和透明度，减轻因供应链问题而带来的管理风险。</w:t>
      </w:r>
    </w:p>
    <w:p>
      <w:pPr>
        <w:pStyle w:val="Heading2"/>
        <w:ind w:firstLine="560" w:firstLineChars="200"/>
        <w:rPr>
          <w:rFonts w:ascii="仿宋" w:eastAsia="仿宋" w:hAnsi="仿宋" w:cs="仿宋" w:hint="eastAsia"/>
          <w:sz w:val="28"/>
          <w:lang w:eastAsia="zh-CN"/>
        </w:rPr>
      </w:pPr>
      <w:bookmarkStart w:id="30" w:name="_Toc16889"/>
      <w:r>
        <w:rPr>
          <w:rFonts w:ascii="仿宋" w:eastAsia="仿宋" w:hAnsi="仿宋" w:cs="仿宋" w:hint="eastAsia"/>
          <w:sz w:val="28"/>
          <w:lang w:eastAsia="zh-CN"/>
        </w:rPr>
        <w:t>(八)、其它风险分析</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1. 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评估超细Γ-AL2O3微粉项目所采用的技术是否成熟、可靠，考虑技术升级和变革的可能性。建立技术监控机制，确保超细Γ-AL2O3微粉项目在技术层面的稳定性和可持续发展。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分析市场竞争格局、需求波动等因素对超细Γ-AL2O3微粉项目的影响。建立市场监测机制，及时了解市场变化，制定灵活的市场策略，适应市场的变化。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法律合规风险：</w:t>
      </w:r>
    </w:p>
    <w:p>
      <w:pPr>
        <w:ind w:firstLine="560" w:firstLineChars="200"/>
        <w:rPr>
          <w:rFonts w:ascii="仿宋" w:eastAsia="仿宋" w:hAnsi="仿宋" w:cs="仿宋" w:hint="eastAsia"/>
          <w:sz w:val="28"/>
        </w:rPr>
        <w:sectPr>
          <w:headerReference w:type="default" r:id="rId80"/>
          <w:footerReference w:type="default" r:id="rId81"/>
          <w:type w:val="nextPage"/>
          <w:pgSz w:w="11906" w:h="16838"/>
          <w:pgMar w:top="1440" w:right="1800" w:bottom="1440" w:left="1800" w:header="851" w:footer="992" w:gutter="0"/>
          <w:pgNumType w:start="3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考虑法律法规对超细Γ-AL2O3微粉项目的影响，确保超细Γ-AL2O3微粉项目的所有活动都符合相关法规。建立法务咨询机制，确保超细Γ-AL2O3微粉项目在法律合规方面不会面临潜在风险。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分析超细Γ-AL2O3微粉项目对环境的影响和可能受到的环保法规限制。建立环境保护机制，确保超细Γ-AL2O3微粉项目在环境方面符合法规要求，减少可能的环境风险。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品牌声誉风险：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考虑超细Γ-AL2O3微粉项目可能对企业品牌声誉产生的影响，包括负面新闻、社会责任等。建立品牌管理机制，提高品牌抵抗危机的能力。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分析超细Γ-AL2O3微粉项目对社会的影响，包括社会舆论、社会责任等。建立社会沟通机制，与各利益相关者进行积极沟通，减少社会风险。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7. 健康安全风险：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评估超细Γ-AL2O3微粉项目对员工和相关利益相关者健康安全的影响。建立健康安全管理机制，确保超细Γ-AL2O3微粉项目在安全方面符合相关法规，减少可能的安全风险。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政治风险：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考虑超细Γ-AL2O3微粉项目所在地区的政治稳定性，分析政治风险对超细Γ-AL2O3微粉项目的潜在影响。建立政治风险监测机制，及时应对可能的政治风险。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9. 投资风险：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2" w:history="1">
        <w:r>
          <w:rPr>
            <w:rFonts w:ascii="SimSun" w:eastAsia="SimSun" w:hAnsi="SimSun" w:cs="SimSun"/>
            <w:b/>
            <w:bCs/>
            <w:color w:val="0000EE"/>
            <w:kern w:val="0"/>
            <w:sz w:val="30"/>
            <w:szCs w:val="30"/>
            <w:u w:val="single" w:color="0000EE"/>
          </w:rPr>
          <w:t>https://d.book118.com/956155234022010103</w:t>
        </w:r>
      </w:hyperlink>
    </w:p>
    <w:p>
      <w:pPr>
        <w:ind w:firstLine="560" w:firstLineChars="200"/>
        <w:rPr>
          <w:rFonts w:ascii="仿宋" w:eastAsia="仿宋" w:hAnsi="仿宋" w:cs="仿宋" w:hint="eastAsia"/>
          <w:sz w:val="28"/>
        </w:rPr>
      </w:pPr>
    </w:p>
    <w:sectPr>
      <w:headerReference w:type="default" r:id="rId83"/>
      <w:footerReference w:type="default" r:id="rId84"/>
      <w:type w:val="nextPage"/>
      <w:pgSz w:w="11906" w:h="16838"/>
      <w:pgMar w:top="1440" w:right="1800" w:bottom="1440" w:left="1800" w:header="851" w:footer="992" w:gutter="0"/>
      <w:pgNumType w:start="4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超细Γ-AL2O3微粉项目概述报告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B93F7C"/>
    <w:rsid w:val="6FB93F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eader" Target="header35.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footer" Target="footer37.xml" /><Relationship Id="rId78" Type="http://schemas.openxmlformats.org/officeDocument/2006/relationships/header" Target="header38.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yperlink" Target="https://d.book118.com/956155234022010103" TargetMode="External" /><Relationship Id="rId83" Type="http://schemas.openxmlformats.org/officeDocument/2006/relationships/header" Target="header40.xml" /><Relationship Id="rId84" Type="http://schemas.openxmlformats.org/officeDocument/2006/relationships/footer" Target="footer40.xml" /><Relationship Id="rId85" Type="http://schemas.openxmlformats.org/officeDocument/2006/relationships/theme" Target="theme/theme1.xml" /><Relationship Id="rId86" Type="http://schemas.openxmlformats.org/officeDocument/2006/relationships/styles" Target="styles.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小吴</dc:creator>
  <cp:lastModifiedBy>小吴</cp:lastModifiedBy>
  <cp:revision>1</cp:revision>
  <dcterms:created xsi:type="dcterms:W3CDTF">2024-01-22T01:27:00Z</dcterms:created>
  <dcterms:modified xsi:type="dcterms:W3CDTF">2024-01-22T01:27:18Z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AA44957FA4854C45A9B0D1739C8A176D_11</vt:lpwstr>
  </property>
  <property fmtid="{D5CDD505-2E9C-101B-9397-08002B2CF9AE}" pid="3" name="KSOProductBuildVer">
    <vt:lpwstr>2052-12.1.0.16120</vt:lpwstr>
  </property>
</Properties>
</file>