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7A3AF3" w:rsidP="007A3AF3" w14:paraId="390FCF3B" w14:textId="77777777">
      <w:pPr>
        <w:spacing w:before="48" w:beforeLines="20" w:after="360" w:afterLines="150" w:line="360" w:lineRule="auto"/>
        <w:jc w:val="center"/>
        <w:rPr>
          <w:rFonts w:ascii="华文中宋" w:eastAsia="华文中宋" w:hAnsi="华文中宋"/>
          <w:b/>
          <w:sz w:val="30"/>
        </w:rPr>
      </w:pPr>
      <w:r w:rsidRPr="007A3AF3">
        <w:rPr>
          <w:rFonts w:ascii="华文中宋" w:eastAsia="华文中宋" w:hAnsi="华文中宋"/>
          <w:b/>
          <w:sz w:val="30"/>
        </w:rPr>
        <w:t>2024</w:t>
      </w:r>
      <w:r w:rsidRPr="007A3AF3">
        <w:rPr>
          <w:rFonts w:ascii="华文中宋" w:eastAsia="华文中宋" w:hAnsi="华文中宋"/>
          <w:b/>
          <w:sz w:val="30"/>
        </w:rPr>
        <w:t>年云南锡业集团</w:t>
      </w:r>
      <w:r w:rsidRPr="007A3AF3">
        <w:rPr>
          <w:rFonts w:ascii="华文中宋" w:eastAsia="华文中宋" w:hAnsi="华文中宋"/>
          <w:b/>
          <w:sz w:val="30"/>
        </w:rPr>
        <w:t>(</w:t>
      </w:r>
      <w:r w:rsidRPr="007A3AF3">
        <w:rPr>
          <w:rFonts w:ascii="华文中宋" w:eastAsia="华文中宋" w:hAnsi="华文中宋"/>
          <w:b/>
          <w:sz w:val="30"/>
        </w:rPr>
        <w:t>控股</w:t>
      </w:r>
      <w:r w:rsidRPr="007A3AF3">
        <w:rPr>
          <w:rFonts w:ascii="华文中宋" w:eastAsia="华文中宋" w:hAnsi="华文中宋"/>
          <w:b/>
          <w:sz w:val="30"/>
        </w:rPr>
        <w:t>)</w:t>
      </w:r>
      <w:r w:rsidRPr="007A3AF3">
        <w:rPr>
          <w:rFonts w:ascii="华文中宋" w:eastAsia="华文中宋" w:hAnsi="华文中宋"/>
          <w:b/>
          <w:sz w:val="30"/>
        </w:rPr>
        <w:t>有限责任公司人员招聘考试题库及答案解析</w:t>
      </w:r>
    </w:p>
    <w:p w:rsidR="00A77B3E" w14:paraId="2E8DDF07"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3B1EC28" w14:textId="77777777">
      <w:pPr>
        <w:spacing w:after="260" w:line="360" w:lineRule="auto"/>
      </w:pPr>
      <w:r>
        <w:rPr>
          <w:rFonts w:eastAsia="微软雅黑" w:cs="宋体"/>
          <w:b/>
        </w:rPr>
        <w:t>一、言语理解与表达</w:t>
      </w:r>
    </w:p>
    <w:p w:rsidR="00E0697D" w14:paraId="2BBD817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民以食为天，人多地少是不少国家面临的共同问题。在全球化时代，国际粮价的波动往往对国内粮食生产影响巨大。据介绍，日本已在海外开发农田</w:t>
      </w:r>
      <w:r w:rsidRPr="00E0697D">
        <w:rPr>
          <w:rFonts w:ascii="Times New Roman" w:eastAsia="微软雅黑" w:hAnsi="微软雅黑" w:cs="宋体" w:hint="eastAsia"/>
          <w:szCs w:val="18"/>
        </w:rPr>
        <w:t>1200</w:t>
      </w:r>
      <w:r w:rsidRPr="00E0697D">
        <w:rPr>
          <w:rFonts w:ascii="Times New Roman" w:eastAsia="微软雅黑" w:hAnsi="微软雅黑" w:cs="宋体" w:hint="eastAsia"/>
          <w:szCs w:val="18"/>
        </w:rPr>
        <w:t>万公顷，相当于其国内耕地面积的</w:t>
      </w:r>
      <w:r w:rsidRPr="00E0697D">
        <w:rPr>
          <w:rFonts w:ascii="Times New Roman" w:eastAsia="微软雅黑" w:hAnsi="微软雅黑" w:cs="宋体" w:hint="eastAsia"/>
          <w:szCs w:val="18"/>
        </w:rPr>
        <w:t>3</w:t>
      </w:r>
      <w:r w:rsidRPr="00E0697D">
        <w:rPr>
          <w:rFonts w:ascii="Times New Roman" w:eastAsia="微软雅黑" w:hAnsi="微软雅黑" w:cs="宋体" w:hint="eastAsia"/>
          <w:szCs w:val="18"/>
        </w:rPr>
        <w:t>倍</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韩国在海外购买和租赁农田</w:t>
      </w:r>
      <w:r w:rsidRPr="00E0697D">
        <w:rPr>
          <w:rFonts w:ascii="Times New Roman" w:eastAsia="微软雅黑" w:hAnsi="微软雅黑" w:cs="宋体" w:hint="eastAsia"/>
          <w:szCs w:val="18"/>
        </w:rPr>
        <w:t>243</w:t>
      </w:r>
      <w:r w:rsidRPr="00E0697D">
        <w:rPr>
          <w:rFonts w:ascii="Times New Roman" w:eastAsia="微软雅黑" w:hAnsi="微软雅黑" w:cs="宋体" w:hint="eastAsia"/>
          <w:szCs w:val="18"/>
        </w:rPr>
        <w:t>万公顷，相当于其国内耕地面积的</w:t>
      </w:r>
      <w:r w:rsidRPr="00E0697D">
        <w:rPr>
          <w:rFonts w:ascii="Times New Roman" w:eastAsia="微软雅黑" w:hAnsi="微软雅黑" w:cs="宋体" w:hint="eastAsia"/>
          <w:szCs w:val="18"/>
        </w:rPr>
        <w:t>1.3</w:t>
      </w:r>
      <w:r w:rsidRPr="00E0697D">
        <w:rPr>
          <w:rFonts w:ascii="Times New Roman" w:eastAsia="微软雅黑" w:hAnsi="微软雅黑" w:cs="宋体" w:hint="eastAsia"/>
          <w:szCs w:val="18"/>
        </w:rPr>
        <w:t>倍，日韩农业“走出去”，借助多元化的规模经营，获得了强大的国际竞争力，对保证其粮食安全起到了积极作用。</w:t>
      </w:r>
    </w:p>
    <w:p w:rsidR="00E0697D" w14:paraId="201D72C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这段文字讨论的重点是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4C8F20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、日本韩国本世纪的耕地面积规模</w:t>
      </w:r>
    </w:p>
    <w:p w:rsidR="00E0697D" w14:paraId="4BF9665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、日韩“走出去”的海外屯田战略</w:t>
      </w:r>
    </w:p>
    <w:p w:rsidR="00E0697D" w14:paraId="39D8A84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、人多地少粮价波动是世界性问题</w:t>
      </w:r>
    </w:p>
    <w:p w:rsidR="00E0697D" w14:paraId="47BC388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、国际粮价与国内粮食生产的联动</w:t>
      </w:r>
    </w:p>
    <w:p w:rsidR="00E0697D" w14:paraId="1AD18E9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74587193"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文段首先提出问题：人多地少、国际粮价波动，接着通过提出日本、韩国海外屯田缓解粮食安全问题的行为解决问题，故重点在后文屯田行为，即</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A</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项没有提到解决对策即海外屯田，</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两项为提出问题部分，非重点信息，排除。故选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3F588C" w14:paraId="000A071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随着“谁主张、谁举证”这一司法原则的强化，能否搜集到有力的证据，成为民事诉讼胜败的关键。目前，虽然人们的调查取证意识增强了，但搜集、保存和运用证据的能力还较弱，许多当事人往往只好委托律师或其他人员进行调查取证，因此民事类调查取证的需求越来越大。</w:t>
      </w:r>
    </w:p>
    <w:p w:rsidR="003F588C" w14:paraId="1BBFE75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这段文字意在说明</w:t>
      </w:r>
      <w:r w:rsidRPr="003F588C">
        <w:rPr>
          <w:rFonts w:ascii="Times New Roman" w:eastAsia="微软雅黑" w:hAnsi="微软雅黑" w:cs="宋体" w:hint="eastAsia"/>
          <w:szCs w:val="18"/>
        </w:rPr>
        <w:t>()</w:t>
      </w:r>
    </w:p>
    <w:p w:rsidR="003F588C" w14:paraId="2C1A952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、民事诉讼中调查取证的主要途径</w:t>
      </w:r>
    </w:p>
    <w:p w:rsidR="003F588C" w14:paraId="12D7CDA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、民事诉讼调查取证需求增大的原因</w:t>
      </w:r>
    </w:p>
    <w:p w:rsidR="003F588C" w14:paraId="7BF9887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、当事人取证意识与取证能力之间的差距</w:t>
      </w:r>
    </w:p>
    <w:p w:rsidR="003F588C" w14:paraId="2EF5F0D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、搜集证据成为诉讼胜败关键的法律因素</w:t>
      </w:r>
    </w:p>
    <w:p w:rsidR="003F588C" w14:paraId="2C24277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020ADA26"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第一句提到“能否搜集到有力的证据，成为民事诉讼胜败的关键”，第二句说“当事人往往只好委托律师或其他人员进行调查取证”，最后叙述“因此民事类调查取证的需求越来越大”，意在说明“民事诉讼调查取证需求增大的原因”。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E0697D" w14:paraId="755F9614"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民间文化同以官方为代表的正统文化和以知识分子为代表的精英文化并非</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的。举例来说，它像无垠无际的沃土，</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着正统文化和精英文化，而衰落了的正统文化和精英文化又如枯枝败叶一样，流落于民间，丰厚了它的土层。</w:t>
      </w:r>
    </w:p>
    <w:p w:rsidR="00E0697D" w14:paraId="6F0D78E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2E3F53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、相依相伴培育</w:t>
      </w:r>
    </w:p>
    <w:p w:rsidR="00E0697D" w14:paraId="2E43C50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、全然隔绝滋养</w:t>
      </w:r>
    </w:p>
    <w:p w:rsidR="00E0697D" w14:paraId="78E998D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、此消彼长维系</w:t>
      </w:r>
    </w:p>
    <w:p w:rsidR="00E0697D" w14:paraId="34997C5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、泾渭分明培养</w:t>
      </w:r>
    </w:p>
    <w:p w:rsidR="00E0697D" w14:paraId="7F45238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1A71A64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由“举例来说”</w:t>
      </w:r>
      <w:r w:rsidRPr="00E0697D">
        <w:rPr>
          <w:rFonts w:ascii="Times New Roman" w:eastAsia="微软雅黑" w:hAnsi="微软雅黑" w:cs="宋体" w:hint="eastAsia"/>
          <w:szCs w:val="18"/>
        </w:rPr>
        <w:t>后对民间文化与正统文化及精英文化的关系的阐述可知，它们是相辅相成，互相包容与补充的。故首先可排除否认二者联系的</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项。文句运用比喻的手法，将“民间文化”比作“无垠无际的沃土”，“滋养”一词正符合“沃土”的特征，形象地传达出了民间文化与正统文化及精英文化的互相包容互相受益的紧密关系。故选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150595F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在西方社会里，孩子成年独立了住在家里都得给父母膳食费，这已是西方社会约定俗成的现象。在这种社会里，大家承认团体的界限，在团体里的成员得具备一定的资格与条件，资格取消了就得走出这个团体。这在他们不是人情冷暖的问题，而是权利问题。在西方社会里人们争取的是权利，而在我们中国，人们看重的却是相互关系、交情。</w:t>
      </w:r>
    </w:p>
    <w:p w:rsidR="00E0697D" w14:paraId="1255FA5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在西方，人们组成一定的社会团体最看重的是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771D9D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、团体成员的界限</w:t>
      </w:r>
    </w:p>
    <w:p w:rsidR="00E0697D" w14:paraId="35BFA93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、团体成员的资格与条件</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https://d.book118.com/956242135234010033</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AF3" w:rsidP="00D07274" w14:paraId="27FC75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AF3" w14:paraId="1C0F1FE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AF3" w:rsidP="00D07274" w14:paraId="1B2F2D1B" w14:textId="496E03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A3AF3" w14:paraId="5190D55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AF3" w14:paraId="07C5F77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AF3"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AF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AF3" w:rsidP="00D07274" w14:textId="496E03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A3AF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AF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AF3"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AF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AF3" w:rsidP="00D07274" w14:textId="496E03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A3AF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AF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AF3" w14:paraId="0013FE3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AF3" w14:paraId="6766D3B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AF3" w14:paraId="22FADC2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AF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AF3"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AF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AF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AF3"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AF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7A3AF3"/>
    <w:rsid w:val="009C641C"/>
    <w:rsid w:val="00A77B3E"/>
    <w:rsid w:val="00A95C3D"/>
    <w:rsid w:val="00BD2748"/>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B04F303"/>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Normal0">
    <w:name w:val="Normal_0"/>
    <w:qFormat/>
    <w:rPr>
      <w:sz w:val="24"/>
      <w:szCs w:val="24"/>
    </w:rPr>
  </w:style>
  <w:style w:type="paragraph" w:styleId="Header">
    <w:name w:val="header"/>
    <w:basedOn w:val="Normal"/>
    <w:link w:val="a"/>
    <w:rsid w:val="007A3AF3"/>
    <w:pPr>
      <w:tabs>
        <w:tab w:val="center" w:pos="4153"/>
        <w:tab w:val="right" w:pos="8306"/>
      </w:tabs>
      <w:snapToGrid w:val="0"/>
      <w:jc w:val="center"/>
    </w:pPr>
    <w:rPr>
      <w:sz w:val="18"/>
      <w:szCs w:val="18"/>
    </w:rPr>
  </w:style>
  <w:style w:type="character" w:customStyle="1" w:styleId="a">
    <w:name w:val="页眉 字符"/>
    <w:basedOn w:val="DefaultParagraphFont"/>
    <w:link w:val="Header"/>
    <w:rsid w:val="007A3AF3"/>
    <w:rPr>
      <w:sz w:val="18"/>
      <w:szCs w:val="18"/>
    </w:rPr>
  </w:style>
  <w:style w:type="paragraph" w:styleId="Footer">
    <w:name w:val="footer"/>
    <w:basedOn w:val="Normal"/>
    <w:link w:val="a0"/>
    <w:rsid w:val="007A3AF3"/>
    <w:pPr>
      <w:tabs>
        <w:tab w:val="center" w:pos="4153"/>
        <w:tab w:val="right" w:pos="8306"/>
      </w:tabs>
      <w:snapToGrid w:val="0"/>
    </w:pPr>
    <w:rPr>
      <w:sz w:val="18"/>
      <w:szCs w:val="18"/>
    </w:rPr>
  </w:style>
  <w:style w:type="character" w:customStyle="1" w:styleId="a0">
    <w:name w:val="页脚 字符"/>
    <w:basedOn w:val="DefaultParagraphFont"/>
    <w:link w:val="Footer"/>
    <w:rsid w:val="007A3AF3"/>
    <w:rPr>
      <w:sz w:val="18"/>
      <w:szCs w:val="18"/>
    </w:rPr>
  </w:style>
  <w:style w:type="character" w:styleId="PageNumber">
    <w:name w:val="page number"/>
    <w:basedOn w:val="DefaultParagraphFont"/>
    <w:rsid w:val="007A3A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56242135234010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3907</Words>
  <Characters>22276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2024-01-12T15:33:00Z</dcterms:created>
  <dcterms:modified xsi:type="dcterms:W3CDTF">2024-01-12T15:33:00Z</dcterms:modified>
</cp:coreProperties>
</file>