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12"/>
        <w:ind w:firstLine="420"/>
        <w:sectPr>
          <w:headerReference w:type="even" r:id="rId6"/>
          <w:headerReference w:type="default" r:id="rId7"/>
          <w:footerReference w:type="even" r:id="rId8"/>
          <w:footerReference w:type="default" r:id="rId9"/>
          <w:pgSz w:w="11906" w:h="16838"/>
          <w:pgMar w:top="1134" w:right="1418" w:bottom="284" w:left="1418" w:header="851" w:footer="677" w:gutter="0"/>
          <w:pgNumType w:fmt="upperRoman" w:start="1"/>
          <w:cols w:num="1" w:space="425"/>
          <w:titlePg/>
          <w:docGrid w:type="lines" w:linePitch="312" w:charSpace="0"/>
        </w:sectPr>
      </w:pPr>
      <w:bookmarkStart w:id="0" w:name="_Toc139105624"/>
      <w:r>
        <w:pict>
          <v:shapetype id="_x0000_t202" coordsize="21600,21600" o:spt="202" path="m,l,21600r21600,l21600,xe">
            <v:stroke joinstyle="miter"/>
            <v:path gradientshapeok="t" o:connecttype="rect"/>
          </v:shapetype>
          <v:shape id="fmFrame4" o:spid="_x0000_s1025" type="#_x0000_t202" style="width:470pt;height:353.45pt;margin-top:268.95pt;margin-left:-1.7pt;mso-height-relative:page;mso-position-horizontal-relative:margin;mso-position-vertical-relative:margin;mso-width-relative:page;position:absolute;z-index:251658240" coordsize="21600,21600" stroked="f">
            <v:stroke joinstyle="miter"/>
            <v:textbox inset="0,0,0,0">
              <w:txbxContent>
                <w:p>
                  <w:pPr>
                    <w:spacing w:after="156" w:afterLines="50"/>
                    <w:jc w:val="center"/>
                    <w:rPr>
                      <w:rFonts w:ascii="黑体" w:eastAsia="黑体"/>
                      <w:sz w:val="52"/>
                      <w:szCs w:val="52"/>
                    </w:rPr>
                  </w:pPr>
                  <w:r>
                    <w:rPr>
                      <w:rFonts w:ascii="黑体" w:eastAsia="黑体" w:hint="eastAsia"/>
                      <w:sz w:val="52"/>
                      <w:szCs w:val="52"/>
                    </w:rPr>
                    <w:t>信息安全技术  证书认证系统</w:t>
                  </w:r>
                </w:p>
                <w:p>
                  <w:pPr>
                    <w:spacing w:after="156" w:afterLines="50"/>
                    <w:jc w:val="center"/>
                    <w:rPr>
                      <w:rFonts w:ascii="黑体" w:eastAsia="黑体"/>
                      <w:sz w:val="52"/>
                      <w:szCs w:val="52"/>
                    </w:rPr>
                  </w:pPr>
                  <w:r>
                    <w:rPr>
                      <w:rFonts w:ascii="黑体" w:eastAsia="黑体" w:hint="eastAsia"/>
                      <w:sz w:val="52"/>
                      <w:szCs w:val="52"/>
                    </w:rPr>
                    <w:t>密码及其相关安全技术规范</w:t>
                  </w:r>
                </w:p>
                <w:p>
                  <w:pPr>
                    <w:jc w:val="center"/>
                    <w:rPr>
                      <w:rFonts w:ascii="黑体" w:eastAsia="黑体"/>
                      <w:sz w:val="28"/>
                      <w:szCs w:val="28"/>
                    </w:rPr>
                  </w:pPr>
                  <w:r>
                    <w:rPr>
                      <w:rFonts w:ascii="黑体" w:eastAsia="黑体" w:hint="eastAsia"/>
                      <w:sz w:val="28"/>
                      <w:szCs w:val="28"/>
                    </w:rPr>
                    <w:t>Information security techniques-s</w:t>
                  </w:r>
                  <w:r>
                    <w:rPr>
                      <w:rFonts w:ascii="黑体" w:eastAsia="黑体"/>
                      <w:sz w:val="28"/>
                      <w:szCs w:val="28"/>
                    </w:rPr>
                    <w:t xml:space="preserve">pecifications of </w:t>
                  </w:r>
                  <w:r>
                    <w:rPr>
                      <w:rFonts w:ascii="黑体" w:eastAsia="黑体" w:hint="eastAsia"/>
                      <w:sz w:val="28"/>
                      <w:szCs w:val="28"/>
                    </w:rPr>
                    <w:t>c</w:t>
                  </w:r>
                  <w:r>
                    <w:rPr>
                      <w:rFonts w:ascii="黑体" w:eastAsia="黑体"/>
                      <w:sz w:val="28"/>
                      <w:szCs w:val="28"/>
                    </w:rPr>
                    <w:t xml:space="preserve">ryptograph and </w:t>
                  </w:r>
                  <w:r>
                    <w:rPr>
                      <w:rFonts w:ascii="黑体" w:eastAsia="黑体" w:hint="eastAsia"/>
                      <w:sz w:val="28"/>
                      <w:szCs w:val="28"/>
                    </w:rPr>
                    <w:t>r</w:t>
                  </w:r>
                  <w:r>
                    <w:rPr>
                      <w:rFonts w:ascii="黑体" w:eastAsia="黑体"/>
                      <w:sz w:val="28"/>
                      <w:szCs w:val="28"/>
                    </w:rPr>
                    <w:t xml:space="preserve">elated </w:t>
                  </w:r>
                  <w:r>
                    <w:rPr>
                      <w:rFonts w:ascii="黑体" w:eastAsia="黑体" w:hint="eastAsia"/>
                      <w:sz w:val="28"/>
                      <w:szCs w:val="28"/>
                    </w:rPr>
                    <w:t>s</w:t>
                  </w:r>
                  <w:r>
                    <w:rPr>
                      <w:rFonts w:ascii="黑体" w:eastAsia="黑体"/>
                      <w:sz w:val="28"/>
                      <w:szCs w:val="28"/>
                    </w:rPr>
                    <w:t xml:space="preserve">ecurity </w:t>
                  </w:r>
                  <w:r>
                    <w:rPr>
                      <w:rFonts w:ascii="黑体" w:eastAsia="黑体" w:hint="eastAsia"/>
                      <w:sz w:val="28"/>
                      <w:szCs w:val="28"/>
                    </w:rPr>
                    <w:t>t</w:t>
                  </w:r>
                  <w:r>
                    <w:rPr>
                      <w:rFonts w:ascii="黑体" w:eastAsia="黑体"/>
                      <w:sz w:val="28"/>
                      <w:szCs w:val="28"/>
                    </w:rPr>
                    <w:t>echnology</w:t>
                  </w:r>
                  <w:r>
                    <w:rPr>
                      <w:rFonts w:ascii="黑体" w:eastAsia="黑体" w:hint="eastAsia"/>
                      <w:sz w:val="28"/>
                      <w:szCs w:val="28"/>
                    </w:rPr>
                    <w:t xml:space="preserve"> </w:t>
                  </w:r>
                  <w:r>
                    <w:rPr>
                      <w:rFonts w:ascii="黑体" w:eastAsia="黑体"/>
                      <w:sz w:val="28"/>
                      <w:szCs w:val="28"/>
                    </w:rPr>
                    <w:t xml:space="preserve">for </w:t>
                  </w:r>
                  <w:r>
                    <w:rPr>
                      <w:rFonts w:ascii="黑体" w:eastAsia="黑体" w:hint="eastAsia"/>
                      <w:sz w:val="28"/>
                      <w:szCs w:val="28"/>
                    </w:rPr>
                    <w:t>c</w:t>
                  </w:r>
                  <w:r>
                    <w:rPr>
                      <w:rFonts w:ascii="黑体" w:eastAsia="黑体"/>
                      <w:sz w:val="28"/>
                      <w:szCs w:val="28"/>
                    </w:rPr>
                    <w:t>ertifica</w:t>
                  </w:r>
                  <w:r>
                    <w:rPr>
                      <w:rFonts w:ascii="黑体" w:eastAsia="黑体" w:hint="eastAsia"/>
                      <w:sz w:val="28"/>
                      <w:szCs w:val="28"/>
                    </w:rPr>
                    <w:t>te authentication</w:t>
                  </w:r>
                  <w:r>
                    <w:rPr>
                      <w:rFonts w:ascii="黑体" w:eastAsia="黑体"/>
                      <w:sz w:val="28"/>
                      <w:szCs w:val="28"/>
                    </w:rPr>
                    <w:t xml:space="preserve"> </w:t>
                  </w:r>
                  <w:r>
                    <w:rPr>
                      <w:rFonts w:ascii="黑体" w:eastAsia="黑体" w:hint="eastAsia"/>
                      <w:sz w:val="28"/>
                      <w:szCs w:val="28"/>
                    </w:rPr>
                    <w:t>s</w:t>
                  </w:r>
                  <w:r>
                    <w:rPr>
                      <w:rFonts w:ascii="黑体" w:eastAsia="黑体"/>
                      <w:sz w:val="28"/>
                      <w:szCs w:val="28"/>
                    </w:rPr>
                    <w:t>ystem</w:t>
                  </w:r>
                </w:p>
                <w:p>
                  <w:pPr>
                    <w:pStyle w:val="a4"/>
                    <w:rPr>
                      <w:rFonts w:hAnsi="宋体" w:cs="Times New Roman"/>
                      <w:sz w:val="24"/>
                      <w:szCs w:val="24"/>
                    </w:rPr>
                  </w:pPr>
                  <w:r>
                    <w:rPr>
                      <w:rFonts w:hAnsi="宋体" w:cs="Times New Roman" w:hint="eastAsia"/>
                      <w:sz w:val="24"/>
                      <w:szCs w:val="24"/>
                    </w:rPr>
                    <w:t>（征求意见稿）</w:t>
                  </w:r>
                </w:p>
                <w:p>
                  <w:pPr>
                    <w:pStyle w:val="a4"/>
                    <w:rPr>
                      <w:rFonts w:hAnsi="宋体" w:cs="Times New Roman"/>
                      <w:sz w:val="21"/>
                      <w:szCs w:val="21"/>
                    </w:rPr>
                  </w:pPr>
                  <w:r>
                    <w:rPr>
                      <w:rFonts w:hAnsi="宋体" w:cs="Times New Roman" w:hint="eastAsia"/>
                      <w:sz w:val="21"/>
                      <w:szCs w:val="21"/>
                    </w:rPr>
                    <w:t>2016-06</w:t>
                  </w:r>
                </w:p>
                <w:p>
                  <w:pPr>
                    <w:pStyle w:val="a4"/>
                    <w:jc w:val="both"/>
                    <w:rPr>
                      <w:rFonts w:ascii="黑体" w:eastAsia="黑体" w:hAnsi="黑体" w:cs="Times New Roman"/>
                    </w:rPr>
                  </w:pPr>
                </w:p>
              </w:txbxContent>
            </v:textbox>
            <w10:wrap anchorx="margin" anchory="margin"/>
          </v:shape>
        </w:pict>
      </w:r>
      <w:r>
        <w:pict>
          <v:line id="_x0000_s1035" o:spid="_x0000_s1026" style="mso-height-relative:page;mso-width-relative:page;position:absolute;z-index:251659264" from="-1.7pt,723.6pt" to="480.3pt,723.6pt" coordsize="21600,21600" stroked="t" strokecolor="#080000"/>
        </w:pict>
      </w:r>
      <w:r>
        <w:pict>
          <v:shape id="fmFrame1" o:spid="_x0000_s1027" type="#_x0000_t202" style="width:200pt;height:69.1pt;margin-top:-0.6pt;margin-left:-7.25pt;mso-height-relative:page;mso-position-horizontal-relative:margin;mso-position-vertical-relative:margin;mso-width-relative:page;position:absolute;z-index:251660288" coordsize="21600,21600" stroked="f">
            <v:stroke joinstyle="miter"/>
            <v:textbox inset="0,0,0,0">
              <w:txbxContent>
                <w:p>
                  <w:pPr>
                    <w:pStyle w:val="a14"/>
                    <w:snapToGrid w:val="0"/>
                    <w:spacing w:line="400" w:lineRule="exact"/>
                    <w:rPr>
                      <w:b/>
                      <w:bCs/>
                    </w:rPr>
                  </w:pPr>
                  <w:r>
                    <w:rPr>
                      <w:bCs/>
                    </w:rPr>
                    <w:t>ICS</w:t>
                  </w:r>
                  <w:r>
                    <w:rPr>
                      <w:b/>
                      <w:bCs/>
                    </w:rPr>
                    <w:t xml:space="preserve">  </w:t>
                  </w:r>
                  <w:r>
                    <w:rPr>
                      <w:rFonts w:ascii="黑体" w:cs="黑体"/>
                      <w:bCs/>
                    </w:rPr>
                    <w:t>35.040</w:t>
                  </w:r>
                  <w:r>
                    <w:rPr>
                      <w:rFonts w:ascii="黑体" w:cs="黑体"/>
                      <w:b/>
                      <w:bCs/>
                    </w:rPr>
                    <w:t>.</w:t>
                  </w:r>
                </w:p>
                <w:p>
                  <w:pPr>
                    <w:pStyle w:val="a14"/>
                    <w:snapToGrid w:val="0"/>
                    <w:spacing w:line="400" w:lineRule="exact"/>
                    <w:rPr>
                      <w:bCs/>
                    </w:rPr>
                  </w:pPr>
                  <w:r>
                    <w:rPr>
                      <w:bCs/>
                    </w:rPr>
                    <w:t>L</w:t>
                  </w:r>
                  <w:r>
                    <w:rPr>
                      <w:rFonts w:ascii="黑体" w:cs="黑体"/>
                      <w:bCs/>
                    </w:rPr>
                    <w:t xml:space="preserve"> 80</w:t>
                  </w:r>
                </w:p>
                <w:p>
                  <w:pPr>
                    <w:pStyle w:val="a14"/>
                    <w:snapToGrid w:val="0"/>
                    <w:spacing w:line="400" w:lineRule="exact"/>
                    <w:rPr>
                      <w:b/>
                      <w:bCs/>
                    </w:rPr>
                  </w:pPr>
                </w:p>
              </w:txbxContent>
            </v:textbox>
            <w10:wrap anchorx="margin" anchory="margin"/>
          </v:shape>
        </w:pict>
      </w:r>
      <w:r>
        <w:pict>
          <v:shape id="fmFrame6" o:spid="_x0000_s1028" type="#_x0000_t202" style="width:256.15pt;height:24.6pt;margin-top:698pt;margin-left:222pt;mso-height-relative:page;mso-position-horizontal-relative:margin;mso-position-vertical-relative:margin;mso-width-relative:page;position:absolute;z-index:251661312" coordsize="21600,21600" stroked="f">
            <v:stroke joinstyle="miter"/>
            <v:textbox inset="0,0,0,0">
              <w:txbxContent>
                <w:p>
                  <w:pPr>
                    <w:pStyle w:val="a13"/>
                  </w:pPr>
                  <w:r>
                    <w:rPr>
                      <w:rFonts w:ascii="黑体" w:hAnsi="黑体" w:cs="黑体" w:hint="eastAsia"/>
                    </w:rPr>
                    <w:t>XXXX</w:t>
                  </w:r>
                  <w:r>
                    <w:t>-</w:t>
                  </w:r>
                  <w:r>
                    <w:rPr>
                      <w:rFonts w:ascii="黑体" w:hAnsi="黑体" w:cs="黑体" w:hint="eastAsia"/>
                    </w:rPr>
                    <w:t>XX</w:t>
                  </w:r>
                  <w:r>
                    <w:t>-</w:t>
                  </w:r>
                  <w:r>
                    <w:rPr>
                      <w:rFonts w:ascii="黑体" w:hAnsi="黑体" w:cs="黑体" w:hint="eastAsia"/>
                    </w:rPr>
                    <w:t>XX</w:t>
                  </w:r>
                  <w:r>
                    <w:rPr>
                      <w:rFonts w:cs="黑体" w:hint="eastAsia"/>
                    </w:rPr>
                    <w:t>实施</w:t>
                  </w:r>
                </w:p>
              </w:txbxContent>
            </v:textbox>
            <w10:wrap anchorx="margin" anchory="margin"/>
          </v:shape>
        </w:pict>
      </w:r>
      <w:r>
        <w:pict>
          <v:shape id="fmFrame5" o:spid="_x0000_s1029" type="#_x0000_t202" style="width:260.85pt;height:24.6pt;margin-top:698pt;margin-left:-3.75pt;mso-height-relative:page;mso-position-horizontal-relative:margin;mso-position-vertical-relative:margin;mso-width-relative:page;position:absolute;z-index:251662336" coordsize="21600,21600" stroked="f">
            <v:stroke joinstyle="miter"/>
            <v:textbox inset="0,0,0,0">
              <w:txbxContent>
                <w:p>
                  <w:pPr>
                    <w:pStyle w:val="a9"/>
                    <w:rPr>
                      <w:rFonts w:ascii="黑体" w:hAnsi="黑体"/>
                    </w:rPr>
                  </w:pPr>
                  <w:r>
                    <w:rPr>
                      <w:rFonts w:ascii="黑体" w:hAnsi="黑体" w:cs="黑体" w:hint="eastAsia"/>
                    </w:rPr>
                    <w:t>XXXX</w:t>
                  </w:r>
                  <w:r>
                    <w:t>-</w:t>
                  </w:r>
                  <w:r>
                    <w:rPr>
                      <w:rFonts w:ascii="黑体" w:hAnsi="黑体" w:cs="黑体" w:hint="eastAsia"/>
                    </w:rPr>
                    <w:t>XX</w:t>
                  </w:r>
                  <w:r>
                    <w:t>-</w:t>
                  </w:r>
                  <w:r>
                    <w:rPr>
                      <w:rFonts w:ascii="黑体" w:hAnsi="黑体" w:cs="黑体" w:hint="eastAsia"/>
                    </w:rPr>
                    <w:t>XX发布</w:t>
                  </w:r>
                </w:p>
              </w:txbxContent>
            </v:textbox>
            <w10:wrap anchorx="margin" anchory="margin"/>
          </v:shape>
        </w:pict>
      </w:r>
      <w:r>
        <w:pict>
          <v:shape id="fmFrame7" o:spid="_x0000_s1030" type="#_x0000_t202" style="width:481.9pt;height:58pt;margin-top:726.3pt;margin-left:0.1pt;mso-height-relative:page;mso-position-horizontal-relative:margin;mso-position-vertical-relative:margin;mso-width-relative:page;position:absolute;z-index:251663360" coordsize="21600,21600" stroked="f">
            <v:stroke joinstyle="miter"/>
            <v:textbox inset="0,0,0,0">
              <w:txbxContent>
                <w:p>
                  <w:pPr>
                    <w:pStyle w:val="a16"/>
                  </w:pPr>
                  <w:r>
                    <w:rPr>
                      <w:b w:val="0"/>
                      <w:bCs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396pt;height:56.1pt" coordsize="21600,21600" o:preferrelative="t" filled="f" stroked="f">
                        <v:stroke joinstyle="miter"/>
                        <v:imagedata r:id="rId10" o:title="GBSendClear"/>
                        <o:lock v:ext="edit" aspectratio="t"/>
                        <w10:anchorlock/>
                      </v:shape>
                    </w:pict>
                  </w:r>
                </w:p>
                <w:p>
                  <w:pPr>
                    <w:pStyle w:val="a16"/>
                    <w:rPr>
                      <w:rFonts w:ascii="黑体" w:eastAsia="黑体" w:cs="Times New Roman"/>
                    </w:rPr>
                  </w:pPr>
                </w:p>
              </w:txbxContent>
            </v:textbox>
            <w10:wrap anchorx="margin" anchory="margin"/>
          </v:shape>
        </w:pict>
      </w:r>
      <w:r>
        <w:pict>
          <v:shape id="图片 1" o:spid="_x0000_s1032" type="#_x0000_t75" alt="GB" style="width:110.5pt;height:56.7pt;margin-top:23.25pt;margin-left:371.5pt;mso-height-relative:page;mso-position-horizontal-relative:margin;mso-position-vertical-relative:margin;mso-width-relative:page;position:absolute;z-index:251664384" coordsize="21600,21600" o:preferrelative="t" filled="f" stroked="f">
            <v:stroke joinstyle="miter"/>
            <v:imagedata r:id="rId11" o:title="GB"/>
            <o:lock v:ext="edit" aspectratio="f"/>
            <w10:wrap anchorx="margin" anchory="margin"/>
            <w10:anchorlock/>
          </v:shape>
        </w:pict>
      </w:r>
      <w:r>
        <w:pict>
          <v:shape id="_x0000_s1036" o:spid="_x0000_s1033" type="#_x0000_t202" style="width:481.9pt;height:45.15pt;margin-top:78pt;margin-left:-9pt;mso-height-relative:page;mso-width-relative:page;position:absolute;z-index:251665408" coordsize="21600,21600" stroked="f">
            <v:stroke joinstyle="miter"/>
            <v:textbox>
              <w:txbxContent>
                <w:p>
                  <w:pPr>
                    <w:pStyle w:val="a15"/>
                    <w:rPr>
                      <w:rFonts w:hAnsi="宋体" w:cs="Times New Roman"/>
                      <w:w w:val="120"/>
                      <w:sz w:val="48"/>
                      <w:szCs w:val="48"/>
                    </w:rPr>
                  </w:pPr>
                  <w:r>
                    <w:rPr>
                      <w:rFonts w:hAnsi="宋体" w:cs="黑体" w:hint="eastAsia"/>
                      <w:w w:val="120"/>
                      <w:sz w:val="48"/>
                      <w:szCs w:val="48"/>
                    </w:rPr>
                    <w:t>中华人民共和国国家标准</w:t>
                  </w:r>
                </w:p>
                <w:p/>
              </w:txbxContent>
            </v:textbox>
          </v:shape>
        </w:pict>
      </w:r>
      <w:r>
        <w:pict>
          <v:line id="_x0000_s1034" o:spid="_x0000_s1034" style="mso-height-relative:page;mso-width-relative:page;position:absolute;z-index:251666432" from="-3.75pt,179pt" to="478.25pt,179pt" coordsize="21600,21600" stroked="t" strokecolor="#080000"/>
        </w:pict>
      </w:r>
      <w:r>
        <w:pict>
          <v:shape id="fmFrame3" o:spid="_x0000_s1035" type="#_x0000_t202" style="width:456.9pt;height:67.75pt;margin-top:141.55pt;margin-left:-3.75pt;mso-height-relative:page;mso-position-horizontal-relative:margin;mso-position-vertical-relative:margin;mso-width-relative:page;position:absolute;z-index:251667456" coordsize="21600,21600" stroked="f">
            <v:stroke joinstyle="miter"/>
            <v:textbox inset="0,0,0,0">
              <w:txbxContent>
                <w:p>
                  <w:pPr>
                    <w:pStyle w:val="2"/>
                    <w:wordWrap w:val="0"/>
                    <w:rPr>
                      <w:rFonts w:ascii="黑体" w:eastAsia="黑体"/>
                      <w:b/>
                      <w:bCs/>
                    </w:rPr>
                  </w:pPr>
                  <w:r>
                    <w:rPr>
                      <w:rFonts w:ascii="黑体" w:eastAsia="黑体" w:hint="eastAsia"/>
                      <w:bCs/>
                    </w:rPr>
                    <w:t>GB/T</w:t>
                  </w:r>
                  <w:r>
                    <w:rPr>
                      <w:rFonts w:ascii="黑体" w:eastAsia="黑体"/>
                      <w:b/>
                      <w:bCs/>
                    </w:rPr>
                    <w:t xml:space="preserve"> </w:t>
                  </w:r>
                  <w:r>
                    <w:rPr>
                      <w:rFonts w:ascii="黑体" w:eastAsia="黑体" w:cs="黑体" w:hint="eastAsia"/>
                      <w:bCs/>
                    </w:rPr>
                    <w:t>XXXX</w:t>
                  </w:r>
                  <w:r>
                    <w:rPr>
                      <w:rFonts w:ascii="黑体" w:eastAsia="黑体" w:hint="eastAsia"/>
                      <w:bCs/>
                    </w:rPr>
                    <w:t>—</w:t>
                  </w:r>
                  <w:r>
                    <w:rPr>
                      <w:rFonts w:ascii="黑体" w:eastAsia="黑体" w:cs="黑体"/>
                      <w:bCs/>
                    </w:rPr>
                    <w:t>XXX</w:t>
                  </w:r>
                  <w:r>
                    <w:rPr>
                      <w:rFonts w:ascii="黑体" w:eastAsia="黑体" w:cs="黑体" w:hint="eastAsia"/>
                      <w:bCs/>
                    </w:rPr>
                    <w:t>X</w:t>
                  </w:r>
                  <w:r>
                    <w:rPr>
                      <w:rFonts w:ascii="黑体" w:eastAsia="黑体" w:cs="黑体" w:hint="eastAsia"/>
                      <w:b/>
                      <w:bCs/>
                    </w:rPr>
                    <w:t xml:space="preserve"> </w:t>
                  </w:r>
                </w:p>
                <w:p>
                  <w:pPr>
                    <w:pStyle w:val="a2"/>
                    <w:rPr>
                      <w:rFonts w:cs="Times New Roman"/>
                    </w:rPr>
                  </w:pPr>
                </w:p>
              </w:txbxContent>
            </v:textbox>
            <w10:wrap anchorx="margin" anchory="margin"/>
          </v:shape>
        </w:pict>
      </w:r>
    </w:p>
    <w:bookmarkEnd w:id="0"/>
    <w:p>
      <w:pPr>
        <w:sectPr>
          <w:headerReference w:type="even" r:id="rId12"/>
          <w:headerReference w:type="default" r:id="rId13"/>
          <w:footerReference w:type="even" r:id="rId14"/>
          <w:footerReference w:type="default" r:id="rId15"/>
          <w:pgSz w:w="11907" w:h="16839"/>
          <w:pgMar w:top="1418" w:right="1134" w:bottom="1134" w:left="1418" w:header="907" w:footer="851" w:gutter="0"/>
          <w:pgNumType w:start="1"/>
          <w:cols w:num="1" w:space="720"/>
          <w:docGrid w:type="linesAndChars" w:linePitch="312" w:charSpace="0"/>
        </w:sectPr>
      </w:pPr>
    </w:p>
    <w:p>
      <w:pPr>
        <w:sectPr>
          <w:headerReference w:type="even" r:id="rId16"/>
          <w:headerReference w:type="default" r:id="rId17"/>
          <w:footerReference w:type="even" r:id="rId18"/>
          <w:footerReference w:type="default" r:id="rId19"/>
          <w:pgSz w:w="11907" w:h="16839"/>
          <w:pgMar w:top="1418" w:right="1134" w:bottom="1134" w:left="1418" w:header="907" w:footer="851" w:gutter="0"/>
          <w:pgNumType w:start="1"/>
          <w:cols w:num="1" w:space="720"/>
          <w:docGrid w:type="linesAndChars" w:linePitch="312" w:charSpace="0"/>
        </w:sectPr>
      </w:pPr>
    </w:p>
    <w:p>
      <w:pPr>
        <w:spacing w:before="312" w:beforeLines="100"/>
        <w:jc w:val="center"/>
        <w:rPr>
          <w:rFonts w:ascii="黑体" w:eastAsia="黑体" w:hAnsi="黑体"/>
          <w:sz w:val="32"/>
          <w:szCs w:val="32"/>
        </w:rPr>
      </w:pPr>
      <w:bookmarkStart w:id="1" w:name="_Toc198204647"/>
      <w:bookmarkStart w:id="2" w:name="_GoBack"/>
      <w:bookmarkEnd w:id="2"/>
      <w:r>
        <w:rPr>
          <w:rFonts w:ascii="黑体" w:eastAsia="黑体" w:hAnsi="黑体" w:hint="eastAsia"/>
          <w:sz w:val="32"/>
          <w:szCs w:val="32"/>
        </w:rPr>
        <w:t>信息安全技术  证书认证系统</w:t>
      </w:r>
    </w:p>
    <w:p>
      <w:pPr>
        <w:spacing w:after="312" w:afterLines="100"/>
        <w:jc w:val="center"/>
        <w:rPr>
          <w:rFonts w:ascii="黑体" w:eastAsia="黑体" w:hAnsi="黑体"/>
          <w:sz w:val="32"/>
          <w:szCs w:val="32"/>
        </w:rPr>
      </w:pPr>
      <w:r>
        <w:rPr>
          <w:rFonts w:ascii="黑体" w:eastAsia="黑体" w:hAnsi="黑体" w:hint="eastAsia"/>
          <w:sz w:val="32"/>
          <w:szCs w:val="32"/>
        </w:rPr>
        <w:t>密码及其相关安全技术规范</w:t>
      </w:r>
    </w:p>
    <w:bookmarkEnd w:id="1"/>
    <w:p>
      <w:pPr>
        <w:widowControl/>
        <w:numPr>
          <w:ilvl w:val="1"/>
          <w:numId w:val="0"/>
        </w:numPr>
        <w:spacing w:before="312" w:beforeLines="100" w:after="312" w:afterLines="100"/>
        <w:jc w:val="left"/>
        <w:outlineLvl w:val="1"/>
        <w:rPr>
          <w:rFonts w:ascii="黑体" w:eastAsia="黑体"/>
          <w:kern w:val="0"/>
        </w:rPr>
      </w:pPr>
      <w:bookmarkStart w:id="3" w:name="_Toc358117223"/>
      <w:bookmarkStart w:id="4" w:name="_Toc445067639"/>
      <w:bookmarkStart w:id="5" w:name="_Toc171049647"/>
      <w:bookmarkStart w:id="6" w:name="_Toc290214326"/>
      <w:r>
        <w:rPr>
          <w:rFonts w:ascii="黑体" w:eastAsia="黑体" w:hint="eastAsia"/>
          <w:kern w:val="0"/>
        </w:rPr>
        <w:t>范围</w:t>
      </w:r>
      <w:bookmarkEnd w:id="3"/>
      <w:bookmarkEnd w:id="4"/>
      <w:bookmarkEnd w:id="5"/>
      <w:bookmarkEnd w:id="6"/>
    </w:p>
    <w:p>
      <w:pPr>
        <w:ind w:firstLine="420" w:firstLineChars="200"/>
        <w:rPr>
          <w:kern w:val="0"/>
        </w:rPr>
      </w:pPr>
      <w:r>
        <w:rPr>
          <w:rFonts w:hint="eastAsia"/>
          <w:kern w:val="0"/>
        </w:rPr>
        <w:t>本标准规定了数字证书认证系统的密码及其相关安全技术要求，包括证书认证中心、密钥管理中心、密码算法、密码设备及接口等。</w:t>
      </w:r>
    </w:p>
    <w:p>
      <w:pPr>
        <w:ind w:firstLine="420" w:firstLineChars="200"/>
        <w:rPr>
          <w:kern w:val="0"/>
        </w:rPr>
      </w:pPr>
      <w:r>
        <w:rPr>
          <w:rFonts w:hint="eastAsia"/>
          <w:kern w:val="0"/>
        </w:rPr>
        <w:t>本标准适用于指导第三方认证机构的数字证书认证系统的建设和检测评估，规范数字证书认证系统中密码及相关安全技术的应用。非第三方认证机构的数字证书认证系统的建设、运行及管理，可参照本标准。</w:t>
      </w:r>
    </w:p>
    <w:p>
      <w:pPr>
        <w:widowControl/>
        <w:numPr>
          <w:ilvl w:val="1"/>
          <w:numId w:val="0"/>
        </w:numPr>
        <w:spacing w:before="312" w:beforeLines="100" w:after="312" w:afterLines="100"/>
        <w:jc w:val="left"/>
        <w:outlineLvl w:val="1"/>
        <w:rPr>
          <w:rFonts w:ascii="黑体" w:eastAsia="黑体"/>
          <w:kern w:val="0"/>
        </w:rPr>
      </w:pPr>
      <w:bookmarkStart w:id="7" w:name="_Toc290214327"/>
      <w:bookmarkStart w:id="8" w:name="_Toc99780360"/>
      <w:bookmarkStart w:id="9" w:name="_Toc99780293"/>
      <w:bookmarkStart w:id="10" w:name="_Toc99780028"/>
      <w:bookmarkStart w:id="11" w:name="_Toc445067640"/>
      <w:bookmarkStart w:id="12" w:name="_Toc358117224"/>
      <w:bookmarkStart w:id="13" w:name="_Toc101945681"/>
      <w:bookmarkStart w:id="14" w:name="_Toc99780069"/>
      <w:bookmarkStart w:id="15" w:name="_Toc171049648"/>
      <w:r>
        <w:rPr>
          <w:rFonts w:ascii="黑体" w:eastAsia="黑体" w:hint="eastAsia"/>
          <w:kern w:val="0"/>
        </w:rPr>
        <w:t>规范性引用文件</w:t>
      </w:r>
      <w:bookmarkEnd w:id="7"/>
      <w:bookmarkEnd w:id="8"/>
      <w:bookmarkEnd w:id="9"/>
      <w:bookmarkEnd w:id="10"/>
      <w:bookmarkEnd w:id="11"/>
      <w:bookmarkEnd w:id="12"/>
      <w:bookmarkEnd w:id="13"/>
      <w:bookmarkEnd w:id="14"/>
      <w:bookmarkEnd w:id="15"/>
    </w:p>
    <w:p>
      <w:pPr>
        <w:ind w:firstLine="420" w:firstLineChars="200"/>
        <w:jc w:val="left"/>
        <w:rPr>
          <w:rFonts w:ascii="宋体" w:hAnsi="宋体"/>
        </w:rPr>
      </w:pPr>
      <w:r>
        <w:rPr>
          <w:rFonts w:ascii="宋体" w:hAnsi="宋体" w:hint="eastAsia"/>
        </w:rPr>
        <w:t>下列文件对于本文件的应用是必不可少的。凡是注日期的引用文件，仅注日期的版本适用于本文件，凡是不注日期的引用文件，其最新版本（包括所有的修改单）适用于本文件。</w:t>
      </w:r>
    </w:p>
    <w:p>
      <w:pPr>
        <w:ind w:firstLine="420" w:firstLineChars="200"/>
        <w:rPr>
          <w:rFonts w:ascii="宋体" w:hAnsi="宋体"/>
          <w:kern w:val="0"/>
        </w:rPr>
      </w:pPr>
      <w:r>
        <w:rPr>
          <w:rFonts w:ascii="宋体" w:hAnsi="宋体" w:hint="eastAsia"/>
          <w:kern w:val="0"/>
        </w:rPr>
        <w:t>GB 50174    电子信息系统机房设计规范</w:t>
      </w:r>
    </w:p>
    <w:p>
      <w:pPr>
        <w:ind w:firstLine="420" w:firstLineChars="200"/>
        <w:rPr>
          <w:rFonts w:ascii="宋体" w:hAnsi="宋体"/>
          <w:kern w:val="0"/>
        </w:rPr>
      </w:pPr>
      <w:r>
        <w:rPr>
          <w:rFonts w:ascii="宋体" w:hAnsi="宋体" w:hint="eastAsia"/>
          <w:kern w:val="0"/>
        </w:rPr>
        <w:t>GB/T 2887   计算站场地通用规范</w:t>
      </w:r>
    </w:p>
    <w:p>
      <w:pPr>
        <w:ind w:firstLine="420" w:firstLineChars="200"/>
        <w:rPr>
          <w:rFonts w:ascii="宋体" w:hAnsi="宋体"/>
          <w:kern w:val="0"/>
        </w:rPr>
      </w:pPr>
      <w:r>
        <w:rPr>
          <w:rFonts w:ascii="宋体" w:hAnsi="宋体" w:hint="eastAsia"/>
          <w:kern w:val="0"/>
        </w:rPr>
        <w:t>GB/T 6650   计算机机房用活动地板技术条件</w:t>
      </w:r>
    </w:p>
    <w:p>
      <w:pPr>
        <w:ind w:firstLine="420" w:firstLineChars="200"/>
        <w:rPr>
          <w:rFonts w:ascii="宋体" w:hAnsi="宋体"/>
          <w:kern w:val="0"/>
        </w:rPr>
      </w:pPr>
      <w:r>
        <w:rPr>
          <w:rFonts w:ascii="宋体" w:hAnsi="宋体" w:hint="eastAsia"/>
          <w:kern w:val="0"/>
        </w:rPr>
        <w:t>GB/T 9361   计算站场地安全要求</w:t>
      </w:r>
    </w:p>
    <w:p>
      <w:pPr>
        <w:ind w:firstLine="420" w:firstLineChars="200"/>
        <w:rPr>
          <w:rFonts w:ascii="宋体" w:hAnsi="宋体"/>
          <w:kern w:val="0"/>
        </w:rPr>
      </w:pPr>
      <w:r>
        <w:rPr>
          <w:rFonts w:ascii="宋体" w:hAnsi="宋体" w:hint="eastAsia"/>
          <w:kern w:val="0"/>
        </w:rPr>
        <w:t>GB/T 20518  信息安全技术 公钥基础设施 数字证书格式</w:t>
      </w:r>
    </w:p>
    <w:p>
      <w:pPr>
        <w:ind w:firstLine="420" w:firstLineChars="200"/>
        <w:rPr>
          <w:rFonts w:ascii="宋体" w:hAnsi="宋体"/>
          <w:kern w:val="0"/>
        </w:rPr>
      </w:pPr>
      <w:r>
        <w:rPr>
          <w:rFonts w:ascii="宋体" w:hAnsi="宋体" w:hint="eastAsia"/>
          <w:kern w:val="0"/>
        </w:rPr>
        <w:t>GM/T 0014   数字证书认证系统密码协议规范</w:t>
      </w:r>
    </w:p>
    <w:p>
      <w:pPr>
        <w:ind w:firstLine="420" w:firstLineChars="200"/>
        <w:rPr>
          <w:rFonts w:ascii="宋体" w:hAnsi="宋体"/>
          <w:kern w:val="0"/>
        </w:rPr>
      </w:pPr>
      <w:r>
        <w:rPr>
          <w:rFonts w:ascii="宋体" w:hAnsi="宋体" w:hint="eastAsia"/>
          <w:kern w:val="0"/>
        </w:rPr>
        <w:t>GM/T 0015   基于SM2密码算法的数字证书格式规范</w:t>
      </w:r>
    </w:p>
    <w:p>
      <w:pPr>
        <w:ind w:firstLine="420" w:firstLineChars="200"/>
        <w:rPr>
          <w:rFonts w:ascii="宋体" w:hAnsi="宋体"/>
          <w:kern w:val="0"/>
        </w:rPr>
      </w:pPr>
      <w:r>
        <w:rPr>
          <w:rFonts w:ascii="宋体" w:hAnsi="宋体" w:hint="eastAsia"/>
          <w:kern w:val="0"/>
        </w:rPr>
        <w:t>GM/T 0016   智能密码钥匙密码应用接口规范</w:t>
      </w:r>
    </w:p>
    <w:p>
      <w:pPr>
        <w:ind w:firstLine="420" w:firstLineChars="200"/>
        <w:rPr>
          <w:rFonts w:ascii="宋体" w:hAnsi="宋体"/>
          <w:kern w:val="0"/>
        </w:rPr>
      </w:pPr>
      <w:r>
        <w:rPr>
          <w:rFonts w:ascii="宋体" w:hAnsi="宋体" w:hint="eastAsia"/>
          <w:kern w:val="0"/>
        </w:rPr>
        <w:t>GM/T 0018   密码设备应用接口规范</w:t>
      </w:r>
    </w:p>
    <w:p>
      <w:pPr>
        <w:ind w:firstLine="420" w:firstLineChars="200"/>
        <w:rPr>
          <w:rFonts w:ascii="宋体" w:hAnsi="宋体"/>
          <w:kern w:val="0"/>
        </w:rPr>
      </w:pPr>
      <w:r>
        <w:rPr>
          <w:rFonts w:ascii="宋体" w:hAnsi="宋体" w:hint="eastAsia"/>
          <w:kern w:val="0"/>
        </w:rPr>
        <w:t>GM/T 0019   通用密码服务接口规范</w:t>
      </w:r>
    </w:p>
    <w:p>
      <w:pPr>
        <w:ind w:firstLine="420" w:firstLineChars="200"/>
        <w:rPr>
          <w:rFonts w:ascii="宋体" w:hAnsi="宋体"/>
          <w:kern w:val="0"/>
        </w:rPr>
      </w:pPr>
      <w:r>
        <w:rPr>
          <w:rFonts w:ascii="宋体" w:hAnsi="宋体" w:hint="eastAsia"/>
          <w:kern w:val="0"/>
        </w:rPr>
        <w:t>GM/T 0020   证书应用综合服务接口规范</w:t>
      </w:r>
    </w:p>
    <w:p>
      <w:pPr>
        <w:ind w:firstLine="420" w:firstLineChars="200"/>
        <w:rPr>
          <w:rFonts w:ascii="宋体" w:hAnsi="宋体"/>
          <w:kern w:val="0"/>
        </w:rPr>
      </w:pPr>
      <w:r>
        <w:rPr>
          <w:rFonts w:ascii="宋体" w:hAnsi="宋体" w:hint="eastAsia"/>
          <w:kern w:val="0"/>
        </w:rPr>
        <w:t>GM/T 0034   基于SM2密码算法的证书认证系统密码及其相关安全技术规范</w:t>
      </w:r>
    </w:p>
    <w:p>
      <w:pPr>
        <w:ind w:firstLine="420" w:firstLineChars="200"/>
        <w:rPr>
          <w:rFonts w:ascii="宋体" w:hAnsi="宋体"/>
          <w:kern w:val="0"/>
        </w:rPr>
      </w:pPr>
      <w:r>
        <w:rPr>
          <w:rFonts w:ascii="宋体" w:hAnsi="宋体" w:hint="eastAsia"/>
          <w:kern w:val="0"/>
        </w:rPr>
        <w:t>BMB 3-1999  处理涉密信息的电磁屏蔽室的技术要求和测试方法</w:t>
      </w:r>
    </w:p>
    <w:p>
      <w:pPr>
        <w:ind w:firstLine="420" w:firstLineChars="200"/>
        <w:rPr>
          <w:rFonts w:ascii="宋体" w:hAnsi="宋体"/>
          <w:kern w:val="0"/>
        </w:rPr>
      </w:pPr>
      <w:r>
        <w:rPr>
          <w:rFonts w:ascii="宋体" w:hAnsi="宋体" w:hint="eastAsia"/>
          <w:kern w:val="0"/>
        </w:rPr>
        <w:t>RFC 6960     X.509 Internet Public Key Infrastructure Online Certificate Status Protocol （OCSP）</w:t>
      </w:r>
    </w:p>
    <w:p>
      <w:pPr>
        <w:widowControl/>
        <w:numPr>
          <w:ilvl w:val="1"/>
          <w:numId w:val="0"/>
        </w:numPr>
        <w:spacing w:before="312" w:beforeLines="100" w:after="312" w:afterLines="100"/>
        <w:jc w:val="left"/>
        <w:outlineLvl w:val="1"/>
        <w:rPr>
          <w:rFonts w:ascii="黑体" w:eastAsia="黑体"/>
          <w:kern w:val="0"/>
        </w:rPr>
      </w:pPr>
      <w:bookmarkStart w:id="16" w:name="_Toc101945683"/>
      <w:bookmarkStart w:id="17" w:name="_Toc99780362"/>
      <w:bookmarkStart w:id="18" w:name="_Toc358117225"/>
      <w:bookmarkStart w:id="19" w:name="_Toc171049649"/>
      <w:bookmarkStart w:id="20" w:name="_Toc99780071"/>
      <w:bookmarkStart w:id="21" w:name="_Toc290214328"/>
      <w:bookmarkStart w:id="22" w:name="_Toc445067641"/>
      <w:r>
        <w:rPr>
          <w:rFonts w:ascii="黑体" w:eastAsia="黑体" w:hint="eastAsia"/>
          <w:kern w:val="0"/>
        </w:rPr>
        <w:t>术语</w:t>
      </w:r>
      <w:bookmarkEnd w:id="16"/>
      <w:bookmarkEnd w:id="17"/>
      <w:bookmarkEnd w:id="18"/>
      <w:bookmarkEnd w:id="19"/>
      <w:bookmarkEnd w:id="20"/>
      <w:bookmarkEnd w:id="21"/>
      <w:r>
        <w:rPr>
          <w:rFonts w:ascii="黑体" w:eastAsia="黑体" w:hint="eastAsia"/>
          <w:kern w:val="0"/>
        </w:rPr>
        <w:t>和定义</w:t>
      </w:r>
      <w:bookmarkEnd w:id="22"/>
    </w:p>
    <w:p>
      <w:pPr>
        <w:ind w:firstLine="420" w:firstLineChars="200"/>
        <w:rPr>
          <w:kern w:val="0"/>
        </w:rPr>
      </w:pPr>
      <w:r>
        <w:rPr>
          <w:rFonts w:hint="eastAsia"/>
          <w:kern w:val="0"/>
        </w:rPr>
        <w:t>下列术语和定义适用于本标准。</w:t>
      </w:r>
    </w:p>
    <w:p>
      <w:pPr>
        <w:ind w:left="420"/>
        <w:rPr>
          <w:rFonts w:ascii="黑体" w:eastAsia="黑体" w:hAnsi="黑体"/>
          <w:szCs w:val="24"/>
        </w:rPr>
      </w:pPr>
      <w:bookmarkStart w:id="23" w:name="_Toc171049904"/>
      <w:bookmarkEnd w:id="23"/>
      <w:bookmarkStart w:id="24" w:name="_Toc155323238"/>
      <w:bookmarkEnd w:id="24"/>
      <w:bookmarkStart w:id="25" w:name="_Toc171049650"/>
      <w:bookmarkEnd w:id="25"/>
      <w:r>
        <w:rPr>
          <w:rFonts w:ascii="黑体" w:eastAsia="黑体" w:hAnsi="黑体" w:hint="eastAsia"/>
          <w:szCs w:val="24"/>
        </w:rPr>
        <w:t>3.1</w:t>
      </w:r>
      <w:bookmarkStart w:id="26" w:name="_Toc155323239"/>
      <w:bookmarkStart w:id="27" w:name="_Toc171049905"/>
      <w:bookmarkStart w:id="28" w:name="_Toc171049651"/>
    </w:p>
    <w:p>
      <w:pPr>
        <w:spacing w:before="156" w:beforeLines="50" w:after="156" w:afterLines="50"/>
        <w:ind w:firstLine="420"/>
        <w:rPr>
          <w:rFonts w:ascii="黑体" w:eastAsia="黑体" w:hAnsi="黑体"/>
          <w:szCs w:val="24"/>
        </w:rPr>
      </w:pPr>
      <w:r>
        <w:rPr>
          <w:rFonts w:ascii="黑体" w:eastAsia="黑体" w:hAnsi="黑体" w:hint="eastAsia"/>
          <w:szCs w:val="24"/>
        </w:rPr>
        <w:t xml:space="preserve">认证机构证书  authority </w:t>
      </w:r>
      <w:bookmarkEnd w:id="26"/>
      <w:r>
        <w:rPr>
          <w:rFonts w:ascii="黑体" w:eastAsia="黑体" w:hAnsi="黑体" w:hint="eastAsia"/>
          <w:szCs w:val="24"/>
        </w:rPr>
        <w:t>certificate</w:t>
      </w:r>
      <w:bookmarkEnd w:id="27"/>
      <w:bookmarkEnd w:id="28"/>
    </w:p>
    <w:p>
      <w:pPr>
        <w:ind w:firstLine="420" w:firstLineChars="200"/>
        <w:rPr>
          <w:kern w:val="0"/>
        </w:rPr>
      </w:pPr>
      <w:r>
        <w:rPr>
          <w:rFonts w:hint="eastAsia"/>
          <w:kern w:val="0"/>
        </w:rPr>
        <w:tab/>
      </w:r>
      <w:r>
        <w:rPr>
          <w:rFonts w:hint="eastAsia"/>
          <w:kern w:val="0"/>
        </w:rPr>
        <w:tab/>
      </w:r>
      <w:r>
        <w:rPr>
          <w:rFonts w:hint="eastAsia"/>
          <w:kern w:val="0"/>
        </w:rPr>
        <w:t>签发给证书认证机构的证书。</w:t>
      </w:r>
    </w:p>
    <w:p>
      <w:pPr>
        <w:ind w:left="420"/>
        <w:rPr>
          <w:rFonts w:ascii="黑体" w:eastAsia="黑体" w:hAnsi="黑体"/>
          <w:szCs w:val="24"/>
        </w:rPr>
      </w:pPr>
      <w:bookmarkStart w:id="29" w:name="_Toc171049652"/>
      <w:bookmarkEnd w:id="29"/>
      <w:bookmarkStart w:id="30" w:name="_Toc171049906"/>
      <w:bookmarkEnd w:id="30"/>
      <w:bookmarkStart w:id="31" w:name="_Toc155323240"/>
      <w:bookmarkEnd w:id="31"/>
      <w:r>
        <w:rPr>
          <w:rFonts w:ascii="黑体" w:eastAsia="黑体" w:hAnsi="黑体" w:hint="eastAsia"/>
          <w:szCs w:val="24"/>
        </w:rPr>
        <w:t>3.2</w:t>
      </w:r>
    </w:p>
    <w:p>
      <w:pPr>
        <w:spacing w:before="156" w:beforeLines="50" w:after="156" w:afterLines="50"/>
        <w:ind w:firstLine="420"/>
        <w:rPr>
          <w:rFonts w:ascii="黑体" w:eastAsia="黑体" w:hAnsi="黑体"/>
          <w:szCs w:val="24"/>
        </w:rPr>
      </w:pPr>
      <w:bookmarkStart w:id="32" w:name="_Toc155323241"/>
      <w:bookmarkStart w:id="33" w:name="_Toc171049653"/>
      <w:r>
        <w:rPr>
          <w:rFonts w:eastAsia="黑体" w:hint="eastAsia"/>
          <w:szCs w:val="24"/>
        </w:rPr>
        <w:tab/>
      </w:r>
      <w:r>
        <w:rPr>
          <w:rFonts w:ascii="黑体" w:eastAsia="黑体" w:hAnsi="黑体" w:hint="eastAsia"/>
          <w:szCs w:val="24"/>
        </w:rPr>
        <w:t xml:space="preserve">CA证书  CA </w:t>
      </w:r>
      <w:bookmarkEnd w:id="32"/>
      <w:r>
        <w:rPr>
          <w:rFonts w:ascii="黑体" w:eastAsia="黑体" w:hAnsi="黑体" w:hint="eastAsia"/>
          <w:szCs w:val="24"/>
        </w:rPr>
        <w:t>certificate</w:t>
      </w:r>
      <w:bookmarkEnd w:id="33"/>
    </w:p>
    <w:p>
      <w:pPr>
        <w:ind w:left="420" w:firstLine="420" w:firstLineChars="200"/>
        <w:rPr>
          <w:kern w:val="0"/>
        </w:rPr>
        <w:sectPr>
          <w:headerReference w:type="even" r:id="rId20"/>
          <w:headerReference w:type="default" r:id="rId21"/>
          <w:footerReference w:type="even" r:id="rId22"/>
          <w:footerReference w:type="default" r:id="rId23"/>
          <w:type w:val="nextPage"/>
          <w:pgSz w:w="11907" w:h="16839"/>
          <w:pgMar w:top="1418" w:right="1134" w:bottom="1134" w:left="1418" w:header="907" w:footer="851" w:gutter="0"/>
          <w:pgNumType w:start="2"/>
          <w:cols w:num="1" w:space="720"/>
          <w:titlePg w:val="0"/>
          <w:docGrid w:type="linesAndChars" w:linePitch="312" w:charSpace="0"/>
        </w:sectPr>
      </w:pPr>
      <w:r>
        <w:rPr>
          <w:rFonts w:hint="eastAsia"/>
          <w:kern w:val="0"/>
        </w:rPr>
        <w:t>由一</w:t>
      </w:r>
      <w:r>
        <w:rPr>
          <w:rFonts w:ascii="宋体" w:hAnsi="宋体" w:hint="eastAsia"/>
          <w:szCs w:val="24"/>
        </w:rPr>
        <w:t>个CA给另一个CA签发的证书，一个CA也可以为</w:t>
      </w:r>
      <w:r>
        <w:rPr>
          <w:rFonts w:hint="eastAsia"/>
          <w:szCs w:val="24"/>
        </w:rPr>
        <w:t>自</w:t>
      </w:r>
      <w:r>
        <w:rPr>
          <w:rFonts w:hint="eastAsia"/>
          <w:kern w:val="0"/>
        </w:rPr>
        <w:t>己签发证书，这是一种自签名的证书。</w:t>
      </w:r>
    </w:p>
    <w:p>
      <w:pPr>
        <w:ind w:left="420"/>
        <w:rPr>
          <w:rFonts w:ascii="黑体" w:eastAsia="黑体" w:hAnsi="黑体"/>
          <w:szCs w:val="24"/>
        </w:rPr>
      </w:pPr>
      <w:bookmarkStart w:id="34" w:name="_Toc171049907"/>
      <w:bookmarkEnd w:id="34"/>
      <w:bookmarkStart w:id="35" w:name="_Toc171049654"/>
      <w:bookmarkEnd w:id="35"/>
      <w:bookmarkStart w:id="36" w:name="_Toc155323242"/>
      <w:bookmarkEnd w:id="36"/>
      <w:r>
        <w:rPr>
          <w:rFonts w:ascii="黑体" w:eastAsia="黑体" w:hAnsi="黑体" w:hint="eastAsia"/>
          <w:szCs w:val="24"/>
        </w:rPr>
        <w:t>3.3</w:t>
      </w:r>
    </w:p>
    <w:p>
      <w:pPr>
        <w:spacing w:before="156" w:beforeLines="50" w:after="156" w:afterLines="50"/>
        <w:ind w:firstLine="420"/>
        <w:rPr>
          <w:rFonts w:ascii="黑体" w:eastAsia="黑体" w:hAnsi="黑体"/>
          <w:szCs w:val="24"/>
        </w:rPr>
      </w:pPr>
      <w:bookmarkStart w:id="37" w:name="_Toc171049908"/>
      <w:bookmarkStart w:id="38" w:name="_Toc155323243"/>
      <w:bookmarkStart w:id="39" w:name="_Toc171049655"/>
      <w:r>
        <w:rPr>
          <w:rFonts w:eastAsia="黑体" w:hint="eastAsia"/>
          <w:szCs w:val="24"/>
        </w:rPr>
        <w:tab/>
      </w:r>
      <w:bookmarkEnd w:id="37"/>
      <w:bookmarkEnd w:id="38"/>
      <w:bookmarkEnd w:id="39"/>
      <w:r>
        <w:rPr>
          <w:rFonts w:ascii="黑体" w:eastAsia="黑体" w:hAnsi="黑体" w:hint="eastAsia"/>
          <w:szCs w:val="24"/>
        </w:rPr>
        <w:t>证书认证系统 certificate authentication system</w:t>
      </w:r>
    </w:p>
    <w:p>
      <w:pPr>
        <w:ind w:left="420" w:firstLine="420"/>
        <w:rPr>
          <w:szCs w:val="24"/>
        </w:rPr>
      </w:pPr>
      <w:r>
        <w:rPr>
          <w:rFonts w:hint="eastAsia"/>
          <w:szCs w:val="24"/>
        </w:rPr>
        <w:t>对数字证书的签发、发布、更新、撤销等数字证书全生命周期进行管理的系统。</w:t>
      </w:r>
    </w:p>
    <w:p>
      <w:pPr>
        <w:ind w:left="420"/>
        <w:rPr>
          <w:rFonts w:ascii="黑体" w:eastAsia="黑体" w:hAnsi="黑体"/>
          <w:szCs w:val="24"/>
        </w:rPr>
      </w:pPr>
      <w:bookmarkStart w:id="40" w:name="_Toc155323244"/>
      <w:bookmarkEnd w:id="40"/>
      <w:bookmarkStart w:id="41" w:name="_Toc171049656"/>
      <w:bookmarkEnd w:id="41"/>
      <w:bookmarkStart w:id="42" w:name="_Toc171049909"/>
      <w:bookmarkEnd w:id="42"/>
      <w:r>
        <w:rPr>
          <w:rFonts w:ascii="黑体" w:eastAsia="黑体" w:hAnsi="黑体" w:hint="eastAsia"/>
          <w:szCs w:val="24"/>
        </w:rPr>
        <w:t>3.4</w:t>
      </w:r>
      <w:bookmarkStart w:id="43" w:name="_Toc155323245"/>
      <w:bookmarkStart w:id="44" w:name="_Toc171049910"/>
      <w:bookmarkStart w:id="45" w:name="_Toc171049657"/>
    </w:p>
    <w:p>
      <w:pPr>
        <w:spacing w:before="156" w:beforeLines="50" w:after="156" w:afterLines="50"/>
        <w:ind w:firstLine="945" w:firstLineChars="450"/>
        <w:rPr>
          <w:rFonts w:ascii="黑体" w:eastAsia="黑体" w:hAnsi="黑体"/>
          <w:szCs w:val="24"/>
        </w:rPr>
      </w:pPr>
      <w:r>
        <w:rPr>
          <w:rFonts w:ascii="黑体" w:eastAsia="黑体" w:hAnsi="黑体" w:hint="eastAsia"/>
          <w:szCs w:val="24"/>
        </w:rPr>
        <w:t>证书策略  Certificate Policy</w:t>
      </w:r>
      <w:bookmarkEnd w:id="43"/>
      <w:bookmarkEnd w:id="44"/>
      <w:bookmarkEnd w:id="45"/>
    </w:p>
    <w:p>
      <w:pPr>
        <w:ind w:left="420" w:firstLine="420"/>
        <w:rPr>
          <w:szCs w:val="24"/>
        </w:rPr>
      </w:pPr>
      <w:r>
        <w:rPr>
          <w:rFonts w:hint="eastAsia"/>
          <w:szCs w:val="24"/>
        </w:rPr>
        <w:t>是一个指定的规则集合，它指出证书对于具有普通安全需求的一个特定团体和（或）具体应用类的适用性。例如，一个特定的证书策略可以指出一个类型的证书对在一定的价格幅度下商品交易的电子数据处理的认证的适用性。</w:t>
      </w:r>
    </w:p>
    <w:p>
      <w:pPr>
        <w:ind w:left="420"/>
        <w:rPr>
          <w:rFonts w:ascii="黑体" w:eastAsia="黑体" w:hAnsi="黑体"/>
          <w:szCs w:val="24"/>
        </w:rPr>
      </w:pPr>
      <w:bookmarkStart w:id="46" w:name="_Toc171049911"/>
      <w:bookmarkEnd w:id="46"/>
      <w:bookmarkStart w:id="47" w:name="_Toc155323246"/>
      <w:bookmarkEnd w:id="47"/>
      <w:bookmarkStart w:id="48" w:name="_Toc171049658"/>
      <w:bookmarkEnd w:id="48"/>
      <w:r>
        <w:rPr>
          <w:rFonts w:ascii="黑体" w:eastAsia="黑体" w:hAnsi="黑体" w:hint="eastAsia"/>
          <w:szCs w:val="24"/>
        </w:rPr>
        <w:t>3.5</w:t>
      </w:r>
      <w:bookmarkStart w:id="49" w:name="_Toc155323247"/>
      <w:bookmarkStart w:id="50" w:name="_Toc171049912"/>
      <w:bookmarkStart w:id="51" w:name="_Toc171049659"/>
    </w:p>
    <w:p>
      <w:pPr>
        <w:spacing w:before="156" w:beforeLines="50" w:after="156" w:afterLines="50"/>
        <w:ind w:left="420" w:firstLine="420"/>
        <w:rPr>
          <w:rFonts w:ascii="黑体" w:eastAsia="黑体" w:hAnsi="黑体"/>
          <w:szCs w:val="24"/>
        </w:rPr>
      </w:pPr>
      <w:r>
        <w:rPr>
          <w:rFonts w:ascii="黑体" w:eastAsia="黑体" w:hAnsi="黑体" w:hint="eastAsia"/>
          <w:szCs w:val="24"/>
        </w:rPr>
        <w:t>证书撤销列表  Certificate Revocation List；CRL</w:t>
      </w:r>
      <w:bookmarkEnd w:id="49"/>
      <w:bookmarkEnd w:id="50"/>
      <w:bookmarkEnd w:id="51"/>
    </w:p>
    <w:p>
      <w:pPr>
        <w:ind w:left="420" w:firstLine="420"/>
        <w:rPr>
          <w:szCs w:val="24"/>
        </w:rPr>
      </w:pPr>
      <w:r>
        <w:rPr>
          <w:rFonts w:hint="eastAsia"/>
          <w:szCs w:val="24"/>
        </w:rPr>
        <w:t>由证书认证机构（CA）签发并发布的被撤销证书的列表。</w:t>
      </w:r>
    </w:p>
    <w:p>
      <w:pPr>
        <w:ind w:left="420"/>
        <w:rPr>
          <w:rFonts w:ascii="黑体" w:eastAsia="黑体" w:hAnsi="黑体"/>
          <w:szCs w:val="24"/>
        </w:rPr>
      </w:pPr>
      <w:bookmarkStart w:id="52" w:name="_Toc155323248"/>
      <w:bookmarkEnd w:id="52"/>
      <w:bookmarkStart w:id="53" w:name="_Toc171049913"/>
      <w:bookmarkEnd w:id="53"/>
      <w:bookmarkStart w:id="54" w:name="_Toc171049660"/>
      <w:bookmarkEnd w:id="54"/>
      <w:r>
        <w:rPr>
          <w:rFonts w:ascii="黑体" w:eastAsia="黑体" w:hAnsi="黑体" w:hint="eastAsia"/>
          <w:szCs w:val="24"/>
        </w:rPr>
        <w:t>3.6</w:t>
      </w:r>
      <w:bookmarkStart w:id="55" w:name="_Toc171049914"/>
      <w:bookmarkStart w:id="56" w:name="_Toc155323249"/>
      <w:bookmarkStart w:id="57" w:name="_Toc171049661"/>
    </w:p>
    <w:p>
      <w:pPr>
        <w:spacing w:before="156" w:beforeLines="50" w:after="156" w:afterLines="50"/>
        <w:ind w:left="420" w:firstLine="420"/>
        <w:rPr>
          <w:rFonts w:ascii="黑体" w:eastAsia="黑体" w:hAnsi="黑体"/>
          <w:szCs w:val="24"/>
        </w:rPr>
      </w:pPr>
      <w:r>
        <w:rPr>
          <w:rFonts w:ascii="黑体" w:eastAsia="黑体" w:hAnsi="黑体" w:hint="eastAsia"/>
          <w:szCs w:val="24"/>
        </w:rPr>
        <w:t xml:space="preserve">证书验证  </w:t>
      </w:r>
      <w:bookmarkEnd w:id="55"/>
      <w:bookmarkEnd w:id="56"/>
      <w:bookmarkEnd w:id="57"/>
      <w:r>
        <w:rPr>
          <w:rFonts w:ascii="黑体" w:eastAsia="黑体" w:hAnsi="黑体"/>
          <w:szCs w:val="24"/>
        </w:rPr>
        <w:t>certificate validation</w:t>
      </w:r>
    </w:p>
    <w:p>
      <w:pPr>
        <w:ind w:left="420" w:firstLine="420"/>
        <w:rPr>
          <w:szCs w:val="24"/>
        </w:rPr>
      </w:pPr>
      <w:r>
        <w:rPr>
          <w:rFonts w:hint="eastAsia"/>
          <w:szCs w:val="24"/>
        </w:rPr>
        <w:t>按照验证策略确认证书有效性和真实性的过程。</w:t>
      </w:r>
    </w:p>
    <w:p>
      <w:pPr>
        <w:ind w:left="420"/>
        <w:rPr>
          <w:rFonts w:ascii="黑体" w:eastAsia="黑体" w:hAnsi="黑体"/>
          <w:szCs w:val="24"/>
        </w:rPr>
      </w:pPr>
      <w:bookmarkStart w:id="58" w:name="_Toc171049915"/>
      <w:bookmarkEnd w:id="58"/>
      <w:bookmarkStart w:id="59" w:name="_Toc171049662"/>
      <w:bookmarkEnd w:id="59"/>
      <w:bookmarkStart w:id="60" w:name="_Toc155323250"/>
      <w:bookmarkEnd w:id="60"/>
      <w:r>
        <w:rPr>
          <w:rFonts w:ascii="黑体" w:eastAsia="黑体" w:hAnsi="黑体" w:hint="eastAsia"/>
          <w:szCs w:val="24"/>
        </w:rPr>
        <w:t>3.7</w:t>
      </w:r>
      <w:bookmarkStart w:id="61" w:name="_Toc171049916"/>
      <w:bookmarkStart w:id="62" w:name="_Toc155323251"/>
      <w:bookmarkStart w:id="63" w:name="_Toc171049663"/>
    </w:p>
    <w:p>
      <w:pPr>
        <w:spacing w:before="156" w:beforeLines="50" w:after="156" w:afterLines="50"/>
        <w:ind w:left="420" w:firstLine="420"/>
        <w:rPr>
          <w:rFonts w:ascii="黑体" w:eastAsia="黑体" w:hAnsi="黑体"/>
          <w:szCs w:val="24"/>
        </w:rPr>
      </w:pPr>
      <w:r>
        <w:rPr>
          <w:rFonts w:ascii="黑体" w:eastAsia="黑体" w:hAnsi="黑体" w:hint="eastAsia"/>
          <w:szCs w:val="24"/>
        </w:rPr>
        <w:t>证书认证机构  Certificate Authority；CA</w:t>
      </w:r>
      <w:bookmarkEnd w:id="61"/>
      <w:bookmarkEnd w:id="62"/>
      <w:bookmarkEnd w:id="63"/>
    </w:p>
    <w:p>
      <w:pPr>
        <w:ind w:left="420" w:firstLine="420"/>
        <w:rPr>
          <w:szCs w:val="24"/>
        </w:rPr>
      </w:pPr>
      <w:r>
        <w:rPr>
          <w:rFonts w:hint="eastAsia"/>
          <w:szCs w:val="24"/>
        </w:rPr>
        <w:t>对数字证书进行全生命周期管理的实体。也称为电子认证服务机构。</w:t>
      </w:r>
    </w:p>
    <w:p>
      <w:pPr>
        <w:ind w:left="420"/>
        <w:rPr>
          <w:rFonts w:ascii="黑体" w:eastAsia="黑体" w:hAnsi="黑体"/>
          <w:szCs w:val="24"/>
        </w:rPr>
      </w:pPr>
      <w:bookmarkStart w:id="64" w:name="_Toc171049664"/>
      <w:bookmarkEnd w:id="64"/>
      <w:bookmarkStart w:id="65" w:name="_Toc155323252"/>
      <w:bookmarkEnd w:id="65"/>
      <w:bookmarkStart w:id="66" w:name="_Toc171049917"/>
      <w:bookmarkEnd w:id="66"/>
      <w:r>
        <w:rPr>
          <w:rFonts w:ascii="黑体" w:eastAsia="黑体" w:hAnsi="黑体" w:hint="eastAsia"/>
          <w:szCs w:val="24"/>
        </w:rPr>
        <w:t>3.8</w:t>
      </w:r>
      <w:bookmarkStart w:id="67" w:name="_Toc155323253"/>
      <w:bookmarkStart w:id="68" w:name="_Toc171049918"/>
      <w:bookmarkStart w:id="69" w:name="_Toc171049665"/>
    </w:p>
    <w:p>
      <w:pPr>
        <w:spacing w:before="156" w:beforeLines="50" w:after="156" w:afterLines="50"/>
        <w:ind w:left="420" w:firstLine="420"/>
        <w:rPr>
          <w:rFonts w:ascii="黑体" w:eastAsia="黑体" w:hAnsi="黑体"/>
          <w:szCs w:val="24"/>
        </w:rPr>
      </w:pPr>
      <w:r>
        <w:rPr>
          <w:rFonts w:ascii="黑体" w:eastAsia="黑体" w:hAnsi="黑体" w:hint="eastAsia"/>
          <w:szCs w:val="24"/>
        </w:rPr>
        <w:t>CA注销列表  Certificate Authority Revocation List；ARL</w:t>
      </w:r>
      <w:bookmarkEnd w:id="67"/>
      <w:bookmarkEnd w:id="68"/>
      <w:bookmarkEnd w:id="69"/>
    </w:p>
    <w:p>
      <w:pPr>
        <w:ind w:left="420" w:firstLine="420"/>
        <w:rPr>
          <w:rFonts w:ascii="宋体" w:hAnsi="宋体"/>
          <w:szCs w:val="24"/>
        </w:rPr>
      </w:pPr>
      <w:r>
        <w:rPr>
          <w:rFonts w:ascii="宋体" w:hAnsi="宋体" w:hint="eastAsia"/>
          <w:szCs w:val="24"/>
        </w:rPr>
        <w:t>标记已经被注销的CA的公钥证书的列表，表示这些证书已经无效。</w:t>
      </w:r>
    </w:p>
    <w:p>
      <w:pPr>
        <w:ind w:left="420"/>
        <w:rPr>
          <w:rFonts w:ascii="黑体" w:eastAsia="黑体" w:hAnsi="黑体"/>
          <w:szCs w:val="24"/>
        </w:rPr>
      </w:pPr>
      <w:bookmarkStart w:id="70" w:name="_Toc171049919"/>
      <w:bookmarkEnd w:id="70"/>
      <w:bookmarkStart w:id="71" w:name="_Toc155323254"/>
      <w:bookmarkEnd w:id="71"/>
      <w:bookmarkStart w:id="72" w:name="_Toc171049666"/>
      <w:bookmarkEnd w:id="72"/>
      <w:r>
        <w:rPr>
          <w:rFonts w:ascii="黑体" w:eastAsia="黑体" w:hAnsi="黑体" w:hint="eastAsia"/>
          <w:szCs w:val="24"/>
        </w:rPr>
        <w:t>3.9</w:t>
      </w:r>
      <w:bookmarkStart w:id="73" w:name="_Toc171049920"/>
      <w:bookmarkStart w:id="74" w:name="_Toc155323255"/>
      <w:bookmarkStart w:id="75" w:name="_Toc171049667"/>
    </w:p>
    <w:p>
      <w:pPr>
        <w:spacing w:before="156" w:beforeLines="50" w:after="156" w:afterLines="50"/>
        <w:ind w:left="420" w:firstLine="420"/>
        <w:rPr>
          <w:rFonts w:ascii="黑体" w:eastAsia="黑体" w:hAnsi="黑体"/>
          <w:szCs w:val="24"/>
        </w:rPr>
      </w:pPr>
      <w:r>
        <w:rPr>
          <w:rFonts w:ascii="黑体" w:eastAsia="黑体" w:hAnsi="黑体" w:hint="eastAsia"/>
          <w:szCs w:val="24"/>
        </w:rPr>
        <w:t>证书认证路径  Certification Path</w:t>
      </w:r>
      <w:bookmarkEnd w:id="73"/>
      <w:bookmarkEnd w:id="74"/>
      <w:bookmarkEnd w:id="75"/>
    </w:p>
    <w:p>
      <w:pPr>
        <w:ind w:left="420" w:firstLine="420"/>
        <w:rPr>
          <w:szCs w:val="24"/>
        </w:rPr>
      </w:pPr>
      <w:r>
        <w:rPr>
          <w:rFonts w:hint="eastAsia"/>
          <w:szCs w:val="24"/>
        </w:rPr>
        <w:t>在目录信息树中对象证书的一个有序的序列。路径的初始节点是最初待验证对象的公钥，可以通过路径获得最终的顶点的公钥。</w:t>
      </w:r>
    </w:p>
    <w:p>
      <w:pPr>
        <w:ind w:left="420"/>
        <w:rPr>
          <w:rFonts w:ascii="黑体" w:eastAsia="黑体" w:hAnsi="黑体"/>
          <w:szCs w:val="24"/>
        </w:rPr>
      </w:pPr>
      <w:bookmarkStart w:id="76" w:name="_Toc171049921"/>
      <w:bookmarkEnd w:id="76"/>
      <w:bookmarkStart w:id="77" w:name="_Toc155323256"/>
      <w:bookmarkEnd w:id="77"/>
      <w:bookmarkStart w:id="78" w:name="_Toc171049668"/>
      <w:bookmarkEnd w:id="78"/>
      <w:r>
        <w:rPr>
          <w:rFonts w:ascii="黑体" w:eastAsia="黑体" w:hAnsi="黑体" w:hint="eastAsia"/>
          <w:szCs w:val="24"/>
        </w:rPr>
        <w:t>3.10</w:t>
      </w:r>
      <w:bookmarkStart w:id="79" w:name="_Toc171049669"/>
      <w:bookmarkStart w:id="80" w:name="_Toc171049922"/>
      <w:bookmarkStart w:id="81" w:name="_Toc155323257"/>
    </w:p>
    <w:p>
      <w:pPr>
        <w:spacing w:before="156" w:beforeLines="50" w:after="156" w:afterLines="50"/>
        <w:ind w:left="420" w:firstLine="420"/>
        <w:rPr>
          <w:rFonts w:ascii="黑体" w:eastAsia="黑体" w:hAnsi="黑体"/>
          <w:szCs w:val="24"/>
        </w:rPr>
      </w:pPr>
      <w:r>
        <w:rPr>
          <w:rFonts w:ascii="黑体" w:eastAsia="黑体" w:hAnsi="黑体" w:hint="eastAsia"/>
          <w:szCs w:val="24"/>
        </w:rPr>
        <w:t>证书撤销列表分发点  Certificate Revocation List Distribution Point</w:t>
      </w:r>
      <w:bookmarkEnd w:id="79"/>
      <w:bookmarkEnd w:id="80"/>
      <w:bookmarkEnd w:id="81"/>
      <w:r>
        <w:rPr>
          <w:rFonts w:ascii="黑体" w:eastAsia="黑体" w:hAnsi="黑体" w:hint="eastAsia"/>
          <w:szCs w:val="24"/>
        </w:rPr>
        <w:t>；CDP</w:t>
      </w:r>
    </w:p>
    <w:p>
      <w:pPr>
        <w:ind w:left="420" w:firstLine="420"/>
        <w:rPr>
          <w:rFonts w:ascii="宋体" w:hAnsi="宋体"/>
          <w:szCs w:val="24"/>
        </w:rPr>
      </w:pPr>
      <w:r>
        <w:rPr>
          <w:rFonts w:ascii="宋体" w:hAnsi="宋体" w:hint="eastAsia"/>
          <w:szCs w:val="24"/>
        </w:rPr>
        <w:t>一个目录条目或其它的证书撤销列表分布源，一个通过证书撤销列表分布点发布的证书撤销列表，可以包括由一个CA发布的所有证书中的一个证书子集的注销条目，也可以包括全部证书的注销条目。</w:t>
      </w:r>
    </w:p>
    <w:p>
      <w:pPr>
        <w:ind w:left="420"/>
        <w:rPr>
          <w:rFonts w:ascii="黑体" w:eastAsia="黑体" w:hAnsi="黑体"/>
          <w:szCs w:val="24"/>
        </w:rPr>
      </w:pPr>
      <w:bookmarkStart w:id="82" w:name="_Toc171049670"/>
      <w:bookmarkEnd w:id="82"/>
      <w:bookmarkStart w:id="83" w:name="_Toc155323258"/>
      <w:bookmarkEnd w:id="83"/>
      <w:bookmarkStart w:id="84" w:name="_Toc171049923"/>
      <w:bookmarkEnd w:id="84"/>
      <w:r>
        <w:rPr>
          <w:rFonts w:ascii="黑体" w:eastAsia="黑体" w:hAnsi="黑体" w:hint="eastAsia"/>
          <w:szCs w:val="24"/>
        </w:rPr>
        <w:t>3.11</w:t>
      </w:r>
      <w:bookmarkStart w:id="85" w:name="_Toc171049671"/>
      <w:bookmarkStart w:id="86" w:name="_Toc171049924"/>
      <w:bookmarkStart w:id="87" w:name="_Toc155323259"/>
    </w:p>
    <w:p>
      <w:pPr>
        <w:spacing w:before="156" w:beforeLines="50" w:after="156" w:afterLines="50"/>
        <w:ind w:left="420" w:firstLine="420"/>
        <w:rPr>
          <w:rFonts w:ascii="黑体" w:eastAsia="黑体" w:hAnsi="黑体"/>
          <w:szCs w:val="24"/>
        </w:rPr>
      </w:pPr>
      <w:r>
        <w:rPr>
          <w:rFonts w:ascii="黑体" w:eastAsia="黑体" w:hAnsi="黑体" w:hint="eastAsia"/>
          <w:szCs w:val="24"/>
        </w:rPr>
        <w:t>增量证书撤销列表  delta-CRL；dCRL</w:t>
      </w:r>
      <w:bookmarkEnd w:id="85"/>
      <w:bookmarkEnd w:id="86"/>
      <w:bookmarkEnd w:id="87"/>
    </w:p>
    <w:p>
      <w:pPr>
        <w:ind w:left="420" w:firstLine="420"/>
        <w:rPr>
          <w:szCs w:val="24"/>
        </w:rPr>
      </w:pPr>
      <w:r>
        <w:rPr>
          <w:rFonts w:hint="eastAsia"/>
          <w:szCs w:val="24"/>
        </w:rPr>
        <w:t>是一个部分的证书撤销列表，它只包括那些在基础证书撤销列表确认后注销状态改变的证书的条目。</w:t>
      </w:r>
    </w:p>
    <w:p>
      <w:pPr>
        <w:ind w:left="420"/>
        <w:rPr>
          <w:rFonts w:ascii="黑体" w:eastAsia="黑体" w:hAnsi="黑体"/>
          <w:szCs w:val="24"/>
        </w:rPr>
      </w:pPr>
      <w:bookmarkStart w:id="88" w:name="_Toc155323260"/>
      <w:bookmarkEnd w:id="88"/>
      <w:bookmarkStart w:id="89" w:name="_Toc171049672"/>
      <w:bookmarkEnd w:id="89"/>
      <w:bookmarkStart w:id="90" w:name="_Toc171049925"/>
      <w:bookmarkEnd w:id="90"/>
      <w:r>
        <w:rPr>
          <w:rFonts w:ascii="黑体" w:eastAsia="黑体" w:hAnsi="黑体" w:hint="eastAsia"/>
          <w:szCs w:val="24"/>
        </w:rPr>
        <w:t>3.12</w:t>
      </w:r>
      <w:bookmarkStart w:id="91" w:name="_Toc171049673"/>
      <w:bookmarkStart w:id="92" w:name="_Toc171049926"/>
      <w:bookmarkStart w:id="93" w:name="_Toc155323261"/>
    </w:p>
    <w:p>
      <w:pPr>
        <w:spacing w:before="156" w:beforeLines="50" w:after="156" w:afterLines="50"/>
        <w:ind w:left="420" w:firstLine="420"/>
        <w:rPr>
          <w:rFonts w:ascii="黑体" w:eastAsia="黑体" w:hAnsi="黑体"/>
          <w:szCs w:val="24"/>
        </w:rPr>
        <w:sectPr>
          <w:headerReference w:type="even" r:id="rId24"/>
          <w:headerReference w:type="default" r:id="rId25"/>
          <w:footerReference w:type="even" r:id="rId26"/>
          <w:footerReference w:type="default" r:id="rId27"/>
          <w:type w:val="nextPage"/>
          <w:pgSz w:w="11907" w:h="16839"/>
          <w:pgMar w:top="1418" w:right="1134" w:bottom="1134" w:left="1418" w:header="907" w:footer="851" w:gutter="0"/>
          <w:pgNumType w:start="3"/>
          <w:cols w:num="1" w:space="720"/>
          <w:titlePg w:val="0"/>
          <w:docGrid w:type="linesAndChars" w:linePitch="312" w:charSpace="0"/>
        </w:sectPr>
      </w:pPr>
      <w:r>
        <w:rPr>
          <w:rFonts w:ascii="黑体" w:eastAsia="黑体" w:hAnsi="黑体" w:hint="eastAsia"/>
          <w:szCs w:val="24"/>
        </w:rPr>
        <w:t>证书序列号  certificate serial number</w:t>
      </w:r>
      <w:bookmarkEnd w:id="91"/>
      <w:bookmarkEnd w:id="92"/>
      <w:bookmarkEnd w:id="93"/>
    </w:p>
    <w:p>
      <w:pPr>
        <w:ind w:left="420" w:firstLine="420"/>
        <w:rPr>
          <w:szCs w:val="24"/>
        </w:rPr>
      </w:pPr>
      <w:r>
        <w:rPr>
          <w:rFonts w:hint="eastAsia"/>
          <w:szCs w:val="24"/>
        </w:rPr>
        <w:t>在一个证书认证机构所签发的证书中用于唯一标识数字证书的一个整数。</w:t>
      </w:r>
    </w:p>
    <w:p>
      <w:pPr>
        <w:ind w:left="420"/>
        <w:rPr>
          <w:rFonts w:ascii="黑体" w:eastAsia="黑体" w:hAnsi="黑体"/>
          <w:szCs w:val="24"/>
        </w:rPr>
      </w:pPr>
      <w:bookmarkStart w:id="94" w:name="_Toc171049674"/>
      <w:bookmarkEnd w:id="94"/>
      <w:bookmarkStart w:id="95" w:name="_Toc155323262"/>
      <w:bookmarkEnd w:id="95"/>
      <w:bookmarkStart w:id="96" w:name="_Toc171049927"/>
      <w:bookmarkEnd w:id="96"/>
      <w:r>
        <w:rPr>
          <w:rFonts w:ascii="黑体" w:eastAsia="黑体" w:hAnsi="黑体" w:hint="eastAsia"/>
          <w:szCs w:val="24"/>
        </w:rPr>
        <w:t>3.13</w:t>
      </w:r>
      <w:bookmarkStart w:id="97" w:name="_Toc155323263"/>
      <w:bookmarkStart w:id="98" w:name="_Toc171049928"/>
      <w:bookmarkStart w:id="99" w:name="_Toc171049675"/>
    </w:p>
    <w:p>
      <w:pPr>
        <w:spacing w:before="156" w:beforeLines="50" w:after="156" w:afterLines="50"/>
        <w:ind w:left="420" w:firstLine="420"/>
        <w:rPr>
          <w:rFonts w:ascii="黑体" w:eastAsia="黑体" w:hAnsi="黑体"/>
          <w:szCs w:val="24"/>
        </w:rPr>
      </w:pPr>
      <w:r>
        <w:rPr>
          <w:rFonts w:ascii="黑体" w:eastAsia="黑体" w:hAnsi="黑体" w:hint="eastAsia"/>
          <w:szCs w:val="24"/>
        </w:rPr>
        <w:t xml:space="preserve">数字证书  </w:t>
      </w:r>
      <w:bookmarkEnd w:id="97"/>
      <w:bookmarkEnd w:id="98"/>
      <w:bookmarkEnd w:id="99"/>
      <w:r>
        <w:rPr>
          <w:rFonts w:ascii="黑体" w:eastAsia="黑体" w:hAnsi="黑体"/>
          <w:szCs w:val="24"/>
        </w:rPr>
        <w:t>digital certificate</w:t>
      </w:r>
    </w:p>
    <w:p>
      <w:pPr>
        <w:ind w:left="420" w:firstLine="420"/>
        <w:rPr>
          <w:szCs w:val="24"/>
        </w:rPr>
      </w:pPr>
      <w:r>
        <w:rPr>
          <w:rFonts w:hint="eastAsia"/>
          <w:szCs w:val="24"/>
        </w:rPr>
        <w:t>也称公钥</w:t>
      </w:r>
      <w:r>
        <w:rPr>
          <w:rFonts w:ascii="宋体" w:hAnsi="宋体" w:hint="eastAsia"/>
          <w:szCs w:val="24"/>
        </w:rPr>
        <w:t>证书，由证书认证机构（CA）签名的包含公开密钥拥有者信息、公开密钥、签发者信息、有效期以及扩展信息的一种数据结构。按类</w:t>
      </w:r>
      <w:r>
        <w:rPr>
          <w:rFonts w:hint="eastAsia"/>
          <w:szCs w:val="24"/>
        </w:rPr>
        <w:t>别可分为个人证书、机构证书和设备证书，按用途可分为签名证书和加密证书。</w:t>
      </w:r>
    </w:p>
    <w:p>
      <w:pPr>
        <w:ind w:left="420"/>
        <w:rPr>
          <w:rFonts w:ascii="黑体" w:eastAsia="黑体" w:hAnsi="黑体"/>
          <w:szCs w:val="24"/>
        </w:rPr>
      </w:pPr>
      <w:bookmarkStart w:id="100" w:name="_Toc171049676"/>
      <w:bookmarkEnd w:id="100"/>
      <w:bookmarkStart w:id="101" w:name="_Toc155323264"/>
      <w:bookmarkEnd w:id="101"/>
      <w:bookmarkStart w:id="102" w:name="_Toc171049929"/>
      <w:bookmarkEnd w:id="102"/>
      <w:r>
        <w:rPr>
          <w:rFonts w:ascii="黑体" w:eastAsia="黑体" w:hAnsi="黑体" w:hint="eastAsia"/>
          <w:szCs w:val="24"/>
        </w:rPr>
        <w:t>3.14</w:t>
      </w:r>
      <w:bookmarkStart w:id="103" w:name="_Toc155323265"/>
      <w:bookmarkStart w:id="104" w:name="_Toc171049677"/>
      <w:bookmarkStart w:id="105" w:name="_Toc171049930"/>
    </w:p>
    <w:p>
      <w:pPr>
        <w:spacing w:before="156" w:beforeLines="50" w:after="156" w:afterLines="50"/>
        <w:ind w:left="420" w:firstLine="420"/>
        <w:rPr>
          <w:rFonts w:ascii="黑体" w:eastAsia="黑体" w:hAnsi="黑体"/>
          <w:szCs w:val="24"/>
        </w:rPr>
      </w:pPr>
      <w:r>
        <w:rPr>
          <w:rFonts w:ascii="黑体" w:eastAsia="黑体" w:hAnsi="黑体" w:hint="eastAsia"/>
          <w:szCs w:val="24"/>
        </w:rPr>
        <w:t>完全的证书撤销列表  full CRL</w:t>
      </w:r>
      <w:bookmarkEnd w:id="103"/>
      <w:bookmarkEnd w:id="104"/>
      <w:bookmarkEnd w:id="105"/>
    </w:p>
    <w:p>
      <w:pPr>
        <w:ind w:left="420" w:firstLine="420"/>
        <w:rPr>
          <w:szCs w:val="24"/>
        </w:rPr>
      </w:pPr>
      <w:r>
        <w:rPr>
          <w:rFonts w:hint="eastAsia"/>
          <w:szCs w:val="24"/>
        </w:rPr>
        <w:t>在给定的范围内，包含所有已经被注销证书的证书撤销列表。</w:t>
      </w:r>
    </w:p>
    <w:p>
      <w:pPr>
        <w:ind w:left="420"/>
        <w:rPr>
          <w:rFonts w:ascii="黑体" w:eastAsia="黑体" w:hAnsi="黑体"/>
          <w:szCs w:val="24"/>
        </w:rPr>
      </w:pPr>
      <w:bookmarkStart w:id="106" w:name="_Toc171049678"/>
      <w:bookmarkEnd w:id="106"/>
      <w:bookmarkStart w:id="107" w:name="_Toc155323266"/>
      <w:bookmarkEnd w:id="107"/>
      <w:bookmarkStart w:id="108" w:name="_Toc171049931"/>
      <w:bookmarkEnd w:id="108"/>
      <w:r>
        <w:rPr>
          <w:rFonts w:ascii="黑体" w:eastAsia="黑体" w:hAnsi="黑体" w:hint="eastAsia"/>
          <w:szCs w:val="24"/>
        </w:rPr>
        <w:t>3.15</w:t>
      </w:r>
      <w:bookmarkStart w:id="109" w:name="_Toc155323267"/>
      <w:bookmarkStart w:id="110" w:name="_Toc171049932"/>
      <w:bookmarkStart w:id="111" w:name="_Toc171049679"/>
    </w:p>
    <w:p>
      <w:pPr>
        <w:spacing w:before="156" w:beforeLines="50" w:after="156" w:afterLines="50"/>
        <w:ind w:left="420" w:firstLine="420"/>
        <w:rPr>
          <w:rFonts w:ascii="黑体" w:eastAsia="黑体" w:hAnsi="黑体"/>
          <w:szCs w:val="24"/>
        </w:rPr>
      </w:pPr>
      <w:r>
        <w:rPr>
          <w:rFonts w:ascii="黑体" w:eastAsia="黑体" w:hAnsi="黑体" w:hint="eastAsia"/>
          <w:szCs w:val="24"/>
        </w:rPr>
        <w:t>私钥  private key</w:t>
      </w:r>
      <w:bookmarkEnd w:id="109"/>
      <w:bookmarkEnd w:id="110"/>
      <w:bookmarkEnd w:id="111"/>
    </w:p>
    <w:p>
      <w:pPr>
        <w:ind w:left="420" w:firstLine="420" w:firstLineChars="200"/>
        <w:rPr>
          <w:kern w:val="0"/>
        </w:rPr>
      </w:pPr>
      <w:r>
        <w:rPr>
          <w:rFonts w:hint="eastAsia"/>
          <w:kern w:val="0"/>
        </w:rPr>
        <w:t>非对称密码算法中只能由拥有者使用的不公开密钥。</w:t>
      </w:r>
    </w:p>
    <w:p>
      <w:pPr>
        <w:ind w:left="420"/>
        <w:rPr>
          <w:rFonts w:ascii="黑体" w:eastAsia="黑体" w:hAnsi="黑体"/>
          <w:szCs w:val="24"/>
        </w:rPr>
      </w:pPr>
      <w:bookmarkStart w:id="112" w:name="_Toc171049933"/>
      <w:bookmarkEnd w:id="112"/>
      <w:bookmarkStart w:id="113" w:name="_Toc155323268"/>
      <w:bookmarkEnd w:id="113"/>
      <w:bookmarkStart w:id="114" w:name="_Toc171049680"/>
      <w:bookmarkEnd w:id="114"/>
      <w:r>
        <w:rPr>
          <w:rFonts w:ascii="黑体" w:eastAsia="黑体" w:hAnsi="黑体" w:hint="eastAsia"/>
          <w:szCs w:val="24"/>
        </w:rPr>
        <w:t>3.16</w:t>
      </w:r>
      <w:bookmarkStart w:id="115" w:name="_Toc171049681"/>
      <w:bookmarkStart w:id="116" w:name="_Toc171049934"/>
      <w:bookmarkStart w:id="117" w:name="_Toc155323269"/>
    </w:p>
    <w:p>
      <w:pPr>
        <w:spacing w:before="156" w:beforeLines="50" w:after="156" w:afterLines="50"/>
        <w:ind w:left="420" w:firstLine="420"/>
        <w:rPr>
          <w:rFonts w:ascii="黑体" w:eastAsia="黑体" w:hAnsi="黑体"/>
          <w:szCs w:val="24"/>
        </w:rPr>
      </w:pPr>
      <w:r>
        <w:rPr>
          <w:rFonts w:ascii="黑体" w:eastAsia="黑体" w:hAnsi="黑体" w:hint="eastAsia"/>
          <w:szCs w:val="24"/>
        </w:rPr>
        <w:t>公钥  public key</w:t>
      </w:r>
      <w:bookmarkEnd w:id="115"/>
      <w:bookmarkEnd w:id="116"/>
      <w:bookmarkEnd w:id="117"/>
    </w:p>
    <w:p>
      <w:pPr>
        <w:ind w:left="420" w:firstLine="420" w:firstLineChars="200"/>
        <w:rPr>
          <w:kern w:val="0"/>
        </w:rPr>
      </w:pPr>
      <w:r>
        <w:rPr>
          <w:rFonts w:hint="eastAsia"/>
          <w:kern w:val="0"/>
        </w:rPr>
        <w:t>非对称密码算法中可以公开的密钥。</w:t>
      </w:r>
    </w:p>
    <w:p>
      <w:pPr>
        <w:ind w:left="420"/>
        <w:rPr>
          <w:rFonts w:ascii="黑体" w:eastAsia="黑体" w:hAnsi="黑体"/>
          <w:szCs w:val="24"/>
        </w:rPr>
      </w:pPr>
      <w:bookmarkStart w:id="118" w:name="_Toc171049682"/>
      <w:bookmarkEnd w:id="118"/>
      <w:bookmarkStart w:id="119" w:name="_Toc155323270"/>
      <w:bookmarkEnd w:id="119"/>
      <w:bookmarkStart w:id="120" w:name="_Toc171049935"/>
      <w:bookmarkEnd w:id="120"/>
      <w:r>
        <w:rPr>
          <w:rFonts w:ascii="黑体" w:eastAsia="黑体" w:hAnsi="黑体" w:hint="eastAsia"/>
          <w:szCs w:val="24"/>
        </w:rPr>
        <w:t>3.17</w:t>
      </w:r>
      <w:bookmarkStart w:id="121" w:name="_Toc171049683"/>
      <w:bookmarkStart w:id="122" w:name="_Toc155323271"/>
      <w:bookmarkStart w:id="123" w:name="_Toc171049936"/>
    </w:p>
    <w:p>
      <w:pPr>
        <w:spacing w:before="156" w:beforeLines="50" w:after="156" w:afterLines="50"/>
        <w:ind w:left="420" w:firstLine="420"/>
        <w:rPr>
          <w:rFonts w:ascii="黑体" w:eastAsia="黑体" w:hAnsi="黑体"/>
          <w:szCs w:val="24"/>
        </w:rPr>
      </w:pPr>
      <w:r>
        <w:rPr>
          <w:rFonts w:ascii="黑体" w:eastAsia="黑体" w:hAnsi="黑体" w:hint="eastAsia"/>
          <w:szCs w:val="24"/>
        </w:rPr>
        <w:t>证书注册机构  Registration Authority；RA</w:t>
      </w:r>
      <w:bookmarkEnd w:id="121"/>
      <w:bookmarkEnd w:id="122"/>
      <w:bookmarkEnd w:id="123"/>
    </w:p>
    <w:p>
      <w:pPr>
        <w:ind w:left="420" w:firstLine="420" w:firstLineChars="200"/>
        <w:rPr>
          <w:kern w:val="0"/>
        </w:rPr>
      </w:pPr>
      <w:r>
        <w:rPr>
          <w:rFonts w:hint="eastAsia"/>
          <w:kern w:val="0"/>
        </w:rPr>
        <w:t>受理数字证书的申请、更新、恢复和注销等业务的实体。</w:t>
      </w:r>
    </w:p>
    <w:p>
      <w:pPr>
        <w:ind w:left="420"/>
        <w:rPr>
          <w:rFonts w:ascii="黑体" w:eastAsia="黑体" w:hAnsi="黑体"/>
          <w:szCs w:val="24"/>
        </w:rPr>
      </w:pPr>
      <w:bookmarkStart w:id="124" w:name="_Toc171049937"/>
      <w:bookmarkEnd w:id="124"/>
      <w:bookmarkStart w:id="125" w:name="_Toc155323272"/>
      <w:bookmarkEnd w:id="125"/>
      <w:bookmarkStart w:id="126" w:name="_Toc171049684"/>
      <w:bookmarkEnd w:id="126"/>
      <w:r>
        <w:rPr>
          <w:rFonts w:ascii="黑体" w:eastAsia="黑体" w:hAnsi="黑体" w:hint="eastAsia"/>
          <w:szCs w:val="24"/>
        </w:rPr>
        <w:t>3.18</w:t>
      </w:r>
      <w:bookmarkStart w:id="127" w:name="_Toc155323273"/>
      <w:bookmarkStart w:id="128" w:name="_Toc171049938"/>
      <w:bookmarkStart w:id="129" w:name="_Toc171049685"/>
    </w:p>
    <w:p>
      <w:pPr>
        <w:spacing w:before="156" w:beforeLines="50" w:after="156" w:afterLines="50"/>
        <w:ind w:left="420" w:firstLine="420"/>
        <w:rPr>
          <w:rFonts w:ascii="黑体" w:eastAsia="黑体" w:hAnsi="黑体"/>
          <w:szCs w:val="24"/>
        </w:rPr>
      </w:pPr>
      <w:r>
        <w:rPr>
          <w:rFonts w:ascii="黑体" w:eastAsia="黑体" w:hAnsi="黑体" w:hint="eastAsia"/>
          <w:szCs w:val="24"/>
        </w:rPr>
        <w:t>依赖方  relying party</w:t>
      </w:r>
      <w:bookmarkEnd w:id="127"/>
      <w:bookmarkEnd w:id="128"/>
      <w:bookmarkEnd w:id="129"/>
    </w:p>
    <w:p>
      <w:pPr>
        <w:ind w:left="420" w:firstLine="420" w:firstLineChars="200"/>
        <w:rPr>
          <w:kern w:val="0"/>
        </w:rPr>
      </w:pPr>
      <w:r>
        <w:rPr>
          <w:rFonts w:hint="eastAsia"/>
          <w:kern w:val="0"/>
        </w:rPr>
        <w:t>使用证书中的数据进行决策的用户或代理。</w:t>
      </w:r>
    </w:p>
    <w:p>
      <w:pPr>
        <w:ind w:left="420"/>
        <w:rPr>
          <w:rFonts w:ascii="黑体" w:eastAsia="黑体" w:hAnsi="黑体"/>
          <w:szCs w:val="24"/>
        </w:rPr>
      </w:pPr>
      <w:bookmarkStart w:id="130" w:name="_Toc155323274"/>
      <w:bookmarkEnd w:id="130"/>
      <w:bookmarkStart w:id="131" w:name="_Toc171049939"/>
      <w:bookmarkEnd w:id="131"/>
      <w:bookmarkStart w:id="132" w:name="_Toc171049686"/>
      <w:bookmarkEnd w:id="132"/>
      <w:r>
        <w:rPr>
          <w:rFonts w:ascii="黑体" w:eastAsia="黑体" w:hAnsi="黑体" w:hint="eastAsia"/>
          <w:szCs w:val="24"/>
        </w:rPr>
        <w:t>3.19</w:t>
      </w:r>
      <w:bookmarkStart w:id="133" w:name="_Toc171049940"/>
      <w:bookmarkStart w:id="134" w:name="_Toc155323275"/>
      <w:bookmarkStart w:id="135" w:name="_Toc171049687"/>
    </w:p>
    <w:p>
      <w:pPr>
        <w:spacing w:before="156" w:beforeLines="50" w:after="156" w:afterLines="50"/>
        <w:ind w:left="420" w:firstLine="420"/>
        <w:rPr>
          <w:rFonts w:ascii="黑体" w:eastAsia="黑体" w:hAnsi="黑体"/>
          <w:szCs w:val="24"/>
        </w:rPr>
      </w:pPr>
      <w:r>
        <w:rPr>
          <w:rFonts w:ascii="黑体" w:eastAsia="黑体" w:hAnsi="黑体" w:hint="eastAsia"/>
          <w:szCs w:val="24"/>
        </w:rPr>
        <w:t>安全策略  security policy</w:t>
      </w:r>
      <w:bookmarkEnd w:id="133"/>
      <w:bookmarkEnd w:id="134"/>
      <w:bookmarkEnd w:id="135"/>
    </w:p>
    <w:p>
      <w:pPr>
        <w:ind w:left="420" w:firstLine="420" w:firstLineChars="200"/>
        <w:rPr>
          <w:kern w:val="0"/>
        </w:rPr>
      </w:pPr>
      <w:r>
        <w:rPr>
          <w:rFonts w:hint="eastAsia"/>
          <w:kern w:val="0"/>
        </w:rPr>
        <w:t>由证书认证机构发布的用于约束安全服务以及设施的使用和提供方式的规则集合。</w:t>
      </w:r>
    </w:p>
    <w:p>
      <w:pPr>
        <w:ind w:left="420"/>
        <w:rPr>
          <w:rFonts w:ascii="黑体" w:eastAsia="黑体" w:hAnsi="黑体"/>
          <w:szCs w:val="24"/>
        </w:rPr>
      </w:pPr>
      <w:r>
        <w:rPr>
          <w:rFonts w:ascii="黑体" w:eastAsia="黑体" w:hAnsi="黑体" w:hint="eastAsia"/>
          <w:szCs w:val="24"/>
        </w:rPr>
        <w:t>3.20</w:t>
      </w:r>
    </w:p>
    <w:p>
      <w:pPr>
        <w:spacing w:before="156" w:beforeLines="50" w:after="156" w:afterLines="50"/>
        <w:ind w:left="420" w:firstLine="420"/>
        <w:rPr>
          <w:rFonts w:ascii="黑体" w:eastAsia="黑体" w:hAnsi="黑体"/>
          <w:szCs w:val="24"/>
        </w:rPr>
      </w:pPr>
      <w:r>
        <w:rPr>
          <w:rFonts w:ascii="黑体" w:eastAsia="黑体" w:hAnsi="黑体" w:hint="eastAsia"/>
          <w:szCs w:val="24"/>
        </w:rPr>
        <w:t>SM2算法  SM2 algorithm</w:t>
      </w:r>
    </w:p>
    <w:p>
      <w:pPr>
        <w:ind w:left="420" w:firstLine="420" w:firstLineChars="200"/>
        <w:rPr>
          <w:kern w:val="0"/>
        </w:rPr>
      </w:pPr>
      <w:r>
        <w:rPr>
          <w:rFonts w:hint="eastAsia"/>
          <w:kern w:val="0"/>
        </w:rPr>
        <w:t>一种椭圆曲线公钥密码算法，其密钥长度为256比特。</w:t>
      </w:r>
    </w:p>
    <w:p>
      <w:pPr>
        <w:ind w:left="420"/>
        <w:rPr>
          <w:rFonts w:ascii="黑体" w:eastAsia="黑体" w:hAnsi="黑体"/>
          <w:szCs w:val="24"/>
        </w:rPr>
      </w:pPr>
      <w:bookmarkStart w:id="136" w:name="_Toc155323276"/>
      <w:bookmarkEnd w:id="136"/>
      <w:bookmarkStart w:id="137" w:name="_Toc171049941"/>
      <w:bookmarkEnd w:id="137"/>
      <w:bookmarkStart w:id="138" w:name="_Toc171049688"/>
      <w:bookmarkEnd w:id="138"/>
      <w:r>
        <w:rPr>
          <w:rFonts w:ascii="黑体" w:eastAsia="黑体" w:hAnsi="黑体" w:hint="eastAsia"/>
          <w:szCs w:val="24"/>
        </w:rPr>
        <w:t>3.2</w:t>
      </w:r>
      <w:bookmarkStart w:id="139" w:name="_Toc171049942"/>
      <w:bookmarkStart w:id="140" w:name="_Toc155323277"/>
      <w:bookmarkStart w:id="141" w:name="_Toc171049689"/>
      <w:r>
        <w:rPr>
          <w:rFonts w:ascii="黑体" w:eastAsia="黑体" w:hAnsi="黑体" w:hint="eastAsia"/>
          <w:szCs w:val="24"/>
        </w:rPr>
        <w:t>1</w:t>
      </w:r>
    </w:p>
    <w:p>
      <w:pPr>
        <w:spacing w:before="156" w:beforeLines="50" w:after="156" w:afterLines="50"/>
        <w:ind w:left="420" w:firstLine="420"/>
        <w:rPr>
          <w:rFonts w:ascii="黑体" w:eastAsia="黑体" w:hAnsi="黑体"/>
          <w:szCs w:val="24"/>
        </w:rPr>
      </w:pPr>
      <w:r>
        <w:rPr>
          <w:rFonts w:ascii="黑体" w:eastAsia="黑体" w:hAnsi="黑体" w:hint="eastAsia"/>
          <w:szCs w:val="24"/>
        </w:rPr>
        <w:t>信任  trust</w:t>
      </w:r>
      <w:bookmarkEnd w:id="139"/>
      <w:bookmarkEnd w:id="140"/>
      <w:bookmarkEnd w:id="141"/>
    </w:p>
    <w:p>
      <w:pPr>
        <w:ind w:left="420" w:firstLine="420" w:firstLineChars="200"/>
        <w:rPr>
          <w:kern w:val="0"/>
          <w:sz w:val="20"/>
          <w:szCs w:val="24"/>
        </w:rPr>
      </w:pPr>
      <w:r>
        <w:rPr>
          <w:rFonts w:hint="eastAsia"/>
          <w:kern w:val="0"/>
        </w:rPr>
        <w:t>通常说一个实体信任另一个实体表示后一个实体将完全按照第一个实体的规定进行相关的活动。在本标准中，信任用来描述一个认证实体与证书认证机构之间的关系。</w:t>
      </w:r>
    </w:p>
    <w:p>
      <w:pPr>
        <w:widowControl/>
        <w:numPr>
          <w:ilvl w:val="1"/>
          <w:numId w:val="0"/>
        </w:numPr>
        <w:spacing w:before="312" w:beforeLines="100" w:after="312" w:afterLines="100"/>
        <w:jc w:val="left"/>
        <w:outlineLvl w:val="1"/>
        <w:rPr>
          <w:rFonts w:ascii="黑体" w:eastAsia="黑体"/>
          <w:kern w:val="0"/>
        </w:rPr>
      </w:pPr>
      <w:bookmarkStart w:id="142" w:name="_Toc99780072"/>
      <w:bookmarkStart w:id="143" w:name="_Toc99780363"/>
      <w:bookmarkStart w:id="144" w:name="_Toc101945684"/>
      <w:bookmarkStart w:id="145" w:name="_Toc171049690"/>
      <w:bookmarkStart w:id="146" w:name="_Toc290214329"/>
      <w:bookmarkStart w:id="147" w:name="_Toc358117226"/>
      <w:bookmarkStart w:id="148" w:name="_Toc445067642"/>
      <w:r>
        <w:rPr>
          <w:rFonts w:ascii="黑体" w:eastAsia="黑体" w:hint="eastAsia"/>
          <w:kern w:val="0"/>
        </w:rPr>
        <w:t>缩略语</w:t>
      </w:r>
      <w:bookmarkEnd w:id="142"/>
      <w:bookmarkEnd w:id="143"/>
      <w:bookmarkEnd w:id="144"/>
      <w:bookmarkEnd w:id="145"/>
      <w:bookmarkEnd w:id="146"/>
      <w:bookmarkEnd w:id="147"/>
      <w:bookmarkEnd w:id="148"/>
    </w:p>
    <w:p>
      <w:pPr>
        <w:widowControl/>
        <w:autoSpaceDE w:val="0"/>
        <w:autoSpaceDN w:val="0"/>
        <w:ind w:firstLine="420" w:firstLineChars="200"/>
        <w:jc w:val="left"/>
        <w:rPr>
          <w:rFonts w:ascii="宋体" w:hAnsi="宋体"/>
          <w:kern w:val="0"/>
        </w:rPr>
      </w:pPr>
      <w:r>
        <w:rPr>
          <w:rFonts w:ascii="宋体" w:hAnsi="宋体" w:hint="eastAsia"/>
          <w:kern w:val="0"/>
        </w:rPr>
        <w:t>下列缩略语适用于本文件</w:t>
      </w:r>
    </w:p>
    <w:p>
      <w:pPr>
        <w:ind w:firstLine="420" w:firstLineChars="200"/>
        <w:rPr>
          <w:rFonts w:ascii="宋体" w:hAnsi="宋体"/>
          <w:kern w:val="0"/>
        </w:rPr>
        <w:sectPr>
          <w:headerReference w:type="even" r:id="rId28"/>
          <w:headerReference w:type="default" r:id="rId29"/>
          <w:footerReference w:type="even" r:id="rId30"/>
          <w:footerReference w:type="default" r:id="rId31"/>
          <w:type w:val="nextPage"/>
          <w:pgSz w:w="11907" w:h="16839"/>
          <w:pgMar w:top="1418" w:right="1134" w:bottom="1134" w:left="1418" w:header="907" w:footer="851" w:gutter="0"/>
          <w:pgNumType w:start="4"/>
          <w:cols w:num="1" w:space="720"/>
          <w:titlePg w:val="0"/>
          <w:docGrid w:type="linesAndChars" w:linePitch="312" w:charSpace="0"/>
        </w:sectPr>
      </w:pPr>
      <w:r>
        <w:rPr>
          <w:rFonts w:ascii="宋体" w:hAnsi="宋体" w:hint="eastAsia"/>
          <w:kern w:val="0"/>
        </w:rPr>
        <w:t>ARL    CA注销列表（Certificate Authority Revocation List）</w:t>
      </w:r>
    </w:p>
    <w:p>
      <w:pPr>
        <w:ind w:firstLine="420" w:firstLineChars="200"/>
        <w:rPr>
          <w:rFonts w:ascii="宋体" w:hAnsi="宋体"/>
          <w:kern w:val="0"/>
        </w:rPr>
      </w:pPr>
      <w:r>
        <w:rPr>
          <w:rFonts w:ascii="宋体" w:hAnsi="宋体" w:hint="eastAsia"/>
          <w:kern w:val="0"/>
        </w:rPr>
        <w:t>CA     证书认证机构（Certificate Authority）</w:t>
      </w:r>
    </w:p>
    <w:p>
      <w:pPr>
        <w:ind w:firstLine="420" w:firstLineChars="200"/>
        <w:rPr>
          <w:rFonts w:ascii="宋体" w:hAnsi="宋体"/>
          <w:kern w:val="0"/>
        </w:rPr>
      </w:pPr>
      <w:r>
        <w:rPr>
          <w:rFonts w:ascii="宋体" w:hAnsi="宋体" w:hint="eastAsia"/>
          <w:kern w:val="0"/>
        </w:rPr>
        <w:t>CRL    证书撤销列表（Certificate Revocation List）</w:t>
      </w:r>
    </w:p>
    <w:p>
      <w:pPr>
        <w:ind w:firstLine="420" w:firstLineChars="200"/>
        <w:rPr>
          <w:rFonts w:ascii="宋体" w:hAnsi="宋体"/>
          <w:kern w:val="0"/>
        </w:rPr>
      </w:pPr>
      <w:r>
        <w:rPr>
          <w:rFonts w:ascii="宋体" w:hAnsi="宋体" w:hint="eastAsia"/>
          <w:kern w:val="0"/>
        </w:rPr>
        <w:t>dCRL   增量证书撤销列表（Delta-CRL）</w:t>
      </w:r>
    </w:p>
    <w:p>
      <w:pPr>
        <w:ind w:firstLine="420" w:firstLineChars="200"/>
        <w:rPr>
          <w:rFonts w:ascii="宋体" w:hAnsi="宋体"/>
          <w:kern w:val="0"/>
        </w:rPr>
      </w:pPr>
      <w:r>
        <w:rPr>
          <w:rFonts w:ascii="宋体" w:hAnsi="宋体" w:hint="eastAsia"/>
          <w:kern w:val="0"/>
        </w:rPr>
        <w:t>DIT    目录信息树系统（Directory Information Tree）</w:t>
      </w:r>
    </w:p>
    <w:p>
      <w:pPr>
        <w:ind w:firstLine="420" w:firstLineChars="200"/>
        <w:rPr>
          <w:rFonts w:ascii="宋体" w:hAnsi="宋体"/>
          <w:kern w:val="0"/>
        </w:rPr>
      </w:pPr>
      <w:r>
        <w:rPr>
          <w:rFonts w:ascii="宋体" w:hAnsi="宋体" w:hint="eastAsia"/>
          <w:kern w:val="0"/>
        </w:rPr>
        <w:t>HTTP   超文本传输协议（Hypertext Transfer Protocol）</w:t>
      </w:r>
    </w:p>
    <w:p>
      <w:pPr>
        <w:ind w:firstLine="420" w:firstLineChars="200"/>
        <w:rPr>
          <w:rFonts w:ascii="宋体" w:hAnsi="宋体"/>
          <w:kern w:val="0"/>
        </w:rPr>
      </w:pPr>
      <w:r>
        <w:rPr>
          <w:rFonts w:ascii="宋体" w:hAnsi="宋体" w:hint="eastAsia"/>
          <w:kern w:val="0"/>
        </w:rPr>
        <w:t>HTTPS  安全超文本传输协议（Secure Hypertext Transfer Protocol）</w:t>
      </w:r>
    </w:p>
    <w:p>
      <w:pPr>
        <w:ind w:firstLine="420" w:firstLineChars="200"/>
        <w:rPr>
          <w:rFonts w:ascii="宋体" w:hAnsi="宋体"/>
          <w:kern w:val="0"/>
        </w:rPr>
      </w:pPr>
      <w:r>
        <w:rPr>
          <w:rFonts w:ascii="宋体" w:hAnsi="宋体" w:hint="eastAsia"/>
          <w:kern w:val="0"/>
        </w:rPr>
        <w:t>KMC    密钥管理中心（Key Management Centre）</w:t>
      </w:r>
    </w:p>
    <w:p>
      <w:pPr>
        <w:ind w:firstLine="420" w:firstLineChars="200"/>
        <w:rPr>
          <w:rFonts w:ascii="宋体" w:hAnsi="宋体"/>
          <w:kern w:val="0"/>
        </w:rPr>
      </w:pPr>
      <w:r>
        <w:rPr>
          <w:rFonts w:ascii="宋体" w:hAnsi="宋体" w:hint="eastAsia"/>
          <w:kern w:val="0"/>
        </w:rPr>
        <w:t>LDAP   轻量级目录访问协议（Lightweight Directory Access Protocol）</w:t>
      </w:r>
    </w:p>
    <w:p>
      <w:pPr>
        <w:ind w:firstLine="420" w:firstLineChars="200"/>
        <w:rPr>
          <w:rFonts w:ascii="宋体" w:hAnsi="宋体"/>
          <w:kern w:val="0"/>
        </w:rPr>
      </w:pPr>
      <w:r>
        <w:rPr>
          <w:rFonts w:ascii="宋体" w:hAnsi="宋体" w:hint="eastAsia"/>
          <w:kern w:val="0"/>
        </w:rPr>
        <w:t>OCSP   在线证书状态查询协议（Online Certificate Status Protocol）</w:t>
      </w:r>
    </w:p>
    <w:p>
      <w:pPr>
        <w:ind w:firstLine="420" w:firstLineChars="200"/>
        <w:rPr>
          <w:rFonts w:ascii="宋体" w:hAnsi="宋体"/>
          <w:kern w:val="0"/>
        </w:rPr>
      </w:pPr>
      <w:r>
        <w:rPr>
          <w:rFonts w:ascii="宋体" w:hAnsi="宋体" w:hint="eastAsia"/>
          <w:kern w:val="0"/>
        </w:rPr>
        <w:t>OID    对象标识符 （Object ID）</w:t>
      </w:r>
    </w:p>
    <w:p>
      <w:pPr>
        <w:ind w:firstLine="420" w:firstLineChars="200"/>
        <w:rPr>
          <w:rFonts w:ascii="宋体" w:hAnsi="宋体"/>
          <w:kern w:val="0"/>
        </w:rPr>
      </w:pPr>
      <w:r>
        <w:rPr>
          <w:rFonts w:ascii="宋体" w:hAnsi="宋体" w:hint="eastAsia"/>
          <w:kern w:val="0"/>
        </w:rPr>
        <w:t>RA     证书注册机构（Registration Authority）</w:t>
      </w:r>
    </w:p>
    <w:p>
      <w:pPr>
        <w:ind w:firstLine="420" w:firstLineChars="200"/>
        <w:rPr>
          <w:kern w:val="0"/>
        </w:rPr>
      </w:pPr>
      <w:r>
        <w:rPr>
          <w:rFonts w:ascii="宋体" w:hAnsi="宋体" w:hint="eastAsia"/>
          <w:kern w:val="0"/>
        </w:rPr>
        <w:t>SOCSP  简易在线证书状态查询协议（Simple Online Certificate Status Protocol）</w:t>
      </w:r>
    </w:p>
    <w:p>
      <w:pPr>
        <w:widowControl/>
        <w:numPr>
          <w:ilvl w:val="1"/>
          <w:numId w:val="0"/>
        </w:numPr>
        <w:spacing w:before="312" w:beforeLines="100" w:after="312" w:afterLines="100"/>
        <w:jc w:val="left"/>
        <w:outlineLvl w:val="1"/>
        <w:rPr>
          <w:rFonts w:ascii="黑体" w:eastAsia="黑体"/>
          <w:kern w:val="0"/>
        </w:rPr>
      </w:pPr>
      <w:bookmarkStart w:id="149" w:name="_Toc99780030"/>
      <w:bookmarkStart w:id="150" w:name="_Toc99780073"/>
      <w:bookmarkStart w:id="151" w:name="_Toc99780364"/>
      <w:bookmarkStart w:id="152" w:name="_Toc101945685"/>
      <w:bookmarkStart w:id="153" w:name="_Toc26929594"/>
      <w:bookmarkStart w:id="154" w:name="_Toc99550851"/>
      <w:bookmarkStart w:id="155" w:name="_Toc99780295"/>
      <w:bookmarkStart w:id="156" w:name="_Toc171049691"/>
      <w:bookmarkStart w:id="157" w:name="_Toc358117227"/>
      <w:bookmarkStart w:id="158" w:name="_Toc445067643"/>
      <w:bookmarkStart w:id="159" w:name="_Toc290214330"/>
      <w:r>
        <w:rPr>
          <w:rFonts w:ascii="黑体" w:eastAsia="黑体" w:hint="eastAsia"/>
          <w:kern w:val="0"/>
        </w:rPr>
        <w:t>证书认证系统</w:t>
      </w:r>
      <w:bookmarkEnd w:id="149"/>
      <w:bookmarkEnd w:id="150"/>
      <w:bookmarkEnd w:id="151"/>
      <w:bookmarkEnd w:id="152"/>
      <w:bookmarkEnd w:id="153"/>
      <w:bookmarkEnd w:id="154"/>
      <w:bookmarkEnd w:id="155"/>
      <w:bookmarkEnd w:id="156"/>
      <w:bookmarkEnd w:id="157"/>
      <w:bookmarkEnd w:id="158"/>
      <w:bookmarkEnd w:id="159"/>
    </w:p>
    <w:p>
      <w:pPr>
        <w:widowControl/>
        <w:numPr>
          <w:ilvl w:val="2"/>
          <w:numId w:val="0"/>
        </w:numPr>
        <w:spacing w:before="156" w:beforeLines="50" w:after="156" w:afterLines="50"/>
        <w:jc w:val="left"/>
        <w:outlineLvl w:val="2"/>
        <w:rPr>
          <w:rFonts w:eastAsia="黑体"/>
          <w:kern w:val="0"/>
        </w:rPr>
      </w:pPr>
      <w:bookmarkStart w:id="160" w:name="_Toc171049692"/>
      <w:bookmarkStart w:id="161" w:name="_Toc358117228"/>
      <w:bookmarkStart w:id="162" w:name="_Toc290214331"/>
      <w:bookmarkStart w:id="163" w:name="_Toc445067644"/>
      <w:r>
        <w:rPr>
          <w:rFonts w:eastAsia="黑体" w:hint="eastAsia"/>
          <w:kern w:val="0"/>
        </w:rPr>
        <w:t>概述</w:t>
      </w:r>
      <w:bookmarkEnd w:id="160"/>
      <w:bookmarkEnd w:id="161"/>
      <w:bookmarkEnd w:id="162"/>
      <w:bookmarkEnd w:id="163"/>
    </w:p>
    <w:p>
      <w:pPr>
        <w:ind w:firstLine="420" w:firstLineChars="200"/>
        <w:rPr>
          <w:rFonts w:ascii="宋体" w:hAnsi="宋体"/>
          <w:kern w:val="0"/>
        </w:rPr>
      </w:pPr>
      <w:r>
        <w:rPr>
          <w:rFonts w:ascii="宋体" w:hAnsi="宋体" w:hint="eastAsia"/>
          <w:kern w:val="0"/>
        </w:rPr>
        <w:t>证书认证系统是对生命周期内的数字证书进行全过程管理的安全系统。证书认证系统必须采用双证书（用于数字签名的证书和用于数据加密的证书）机制，并建设双中心（证书认证中心和密钥管理中心）。证书认证系统在逻辑上可分为核心层、管理层和服务层，其中，</w:t>
      </w:r>
      <w:r>
        <w:rPr>
          <w:rFonts w:ascii="宋体" w:hAnsi="宋体" w:cs="宋体" w:hint="eastAsia"/>
          <w:kern w:val="0"/>
        </w:rPr>
        <w:t>核心层由密钥管理中心、证书/CRL生成与签发系统、证书/CRL存储发布系统构成</w:t>
      </w:r>
      <w:r>
        <w:rPr>
          <w:rFonts w:ascii="宋体" w:hAnsi="宋体" w:hint="eastAsia"/>
          <w:kern w:val="0"/>
        </w:rPr>
        <w:t>；管理层由证书管理系统和安全管理系统构成；服务层由证书注册管理系统（包括远程用户注册管理系统）和证书查询系统构成。建议的证书认证系统的逻辑结构如图1所示。</w:t>
      </w:r>
    </w:p>
    <w:p>
      <w:pPr>
        <w:tabs>
          <w:tab w:val="left" w:pos="8789"/>
          <w:tab w:val="left" w:pos="9356"/>
        </w:tabs>
        <w:jc w:val="center"/>
        <w:rPr>
          <w:szCs w:val="24"/>
        </w:rPr>
        <w:sectPr>
          <w:headerReference w:type="even" r:id="rId32"/>
          <w:headerReference w:type="default" r:id="rId33"/>
          <w:footerReference w:type="even" r:id="rId34"/>
          <w:footerReference w:type="default" r:id="rId35"/>
          <w:type w:val="nextPage"/>
          <w:pgSz w:w="11907" w:h="16839"/>
          <w:pgMar w:top="1418" w:right="1134" w:bottom="1134" w:left="1418" w:header="907" w:footer="851" w:gutter="0"/>
          <w:pgNumType w:start="5"/>
          <w:cols w:num="1" w:space="720"/>
          <w:titlePg w:val="0"/>
          <w:docGrid w:type="linesAndChars" w:linePitch="312" w:charSpace="0"/>
        </w:sectPr>
      </w:pPr>
      <w:r>
        <w:rPr>
          <w:szCs w:val="24"/>
        </w:rPr>
        <w:object>
          <v:shape id="_x0000_i1036" type="#_x0000_t75" style="width:432.85pt;height:357.5pt" o:ole="" coordsize="21600,21600" o:preferrelative="t" filled="f" stroked="f">
            <v:stroke joinstyle="miter"/>
            <v:imagedata r:id="rId36" o:title=""/>
            <o:lock v:ext="edit" aspectratio="t"/>
            <w10:anchorlock/>
          </v:shape>
          <o:OLEObject Type="Embed" ProgID="Visio.Drawing.11" ShapeID="_x0000_i1036" DrawAspect="Content" ObjectID="_1468075725" r:id="rId37"/>
        </w:object>
      </w:r>
    </w:p>
    <w:p>
      <w:pPr>
        <w:widowControl/>
        <w:numPr>
          <w:ilvl w:val="0"/>
          <w:numId w:val="14"/>
        </w:numPr>
        <w:ind w:left="0" w:firstLine="0"/>
        <w:jc w:val="center"/>
        <w:rPr>
          <w:rFonts w:ascii="黑体" w:eastAsia="黑体"/>
          <w:kern w:val="0"/>
        </w:rPr>
      </w:pPr>
      <w:bookmarkStart w:id="164" w:name="_Toc99780058"/>
      <w:bookmarkStart w:id="165" w:name="_Toc99780455"/>
      <w:bookmarkStart w:id="166" w:name="_Toc286827952"/>
    </w:p>
    <w:p>
      <w:pPr>
        <w:widowControl/>
        <w:numPr>
          <w:ilvl w:val="0"/>
          <w:numId w:val="14"/>
        </w:numPr>
        <w:ind w:left="0" w:firstLine="0"/>
        <w:jc w:val="center"/>
        <w:rPr>
          <w:rFonts w:ascii="黑体" w:eastAsia="黑体"/>
          <w:kern w:val="0"/>
        </w:rPr>
      </w:pPr>
      <w:r>
        <w:rPr>
          <w:rFonts w:ascii="黑体" w:eastAsia="黑体" w:hint="eastAsia"/>
          <w:kern w:val="0"/>
        </w:rPr>
        <w:t>图1 证书认证系统逻辑结构</w:t>
      </w:r>
      <w:bookmarkEnd w:id="164"/>
      <w:bookmarkEnd w:id="165"/>
      <w:bookmarkEnd w:id="166"/>
    </w:p>
    <w:p>
      <w:pPr>
        <w:widowControl/>
        <w:numPr>
          <w:ilvl w:val="2"/>
          <w:numId w:val="0"/>
        </w:numPr>
        <w:spacing w:before="156" w:beforeLines="50" w:after="156" w:afterLines="50"/>
        <w:jc w:val="left"/>
        <w:outlineLvl w:val="2"/>
        <w:rPr>
          <w:rFonts w:eastAsia="黑体"/>
          <w:kern w:val="0"/>
        </w:rPr>
      </w:pPr>
      <w:bookmarkStart w:id="167" w:name="_Toc99550852"/>
      <w:bookmarkStart w:id="168" w:name="_Toc171049693"/>
      <w:bookmarkStart w:id="169" w:name="_Toc290214332"/>
      <w:bookmarkStart w:id="170" w:name="_Toc99780074"/>
      <w:bookmarkStart w:id="171" w:name="_Toc358117229"/>
      <w:bookmarkStart w:id="172" w:name="_Toc26929595"/>
      <w:bookmarkStart w:id="173" w:name="_Toc101945686"/>
      <w:bookmarkStart w:id="174" w:name="_Toc99780365"/>
      <w:bookmarkStart w:id="175" w:name="_Toc445067645"/>
      <w:r>
        <w:rPr>
          <w:rFonts w:eastAsia="黑体" w:hint="eastAsia"/>
          <w:kern w:val="0"/>
        </w:rPr>
        <w:t>功能</w:t>
      </w:r>
      <w:bookmarkEnd w:id="167"/>
      <w:bookmarkEnd w:id="168"/>
      <w:bookmarkEnd w:id="169"/>
      <w:bookmarkEnd w:id="170"/>
      <w:bookmarkEnd w:id="171"/>
      <w:bookmarkEnd w:id="172"/>
      <w:bookmarkEnd w:id="173"/>
      <w:bookmarkEnd w:id="174"/>
      <w:r>
        <w:rPr>
          <w:rFonts w:eastAsia="黑体" w:hint="eastAsia"/>
          <w:kern w:val="0"/>
        </w:rPr>
        <w:t>描述</w:t>
      </w:r>
      <w:bookmarkEnd w:id="175"/>
    </w:p>
    <w:p>
      <w:pPr>
        <w:widowControl/>
        <w:numPr>
          <w:ilvl w:val="3"/>
          <w:numId w:val="15"/>
        </w:numPr>
        <w:spacing w:before="156" w:beforeLines="50" w:after="156" w:afterLines="50"/>
        <w:jc w:val="left"/>
        <w:outlineLvl w:val="3"/>
        <w:rPr>
          <w:rFonts w:eastAsia="黑体"/>
          <w:kern w:val="0"/>
        </w:rPr>
      </w:pPr>
      <w:bookmarkStart w:id="176" w:name="_Toc171049694"/>
      <w:r>
        <w:rPr>
          <w:rFonts w:eastAsia="黑体" w:hint="eastAsia"/>
          <w:kern w:val="0"/>
        </w:rPr>
        <w:t>概述</w:t>
      </w:r>
      <w:bookmarkEnd w:id="176"/>
    </w:p>
    <w:p>
      <w:pPr>
        <w:ind w:firstLine="420" w:firstLineChars="200"/>
        <w:rPr>
          <w:rFonts w:ascii="宋体" w:hAnsi="宋体"/>
          <w:kern w:val="0"/>
        </w:rPr>
      </w:pPr>
      <w:r>
        <w:rPr>
          <w:rFonts w:ascii="宋体" w:hAnsi="宋体" w:hint="eastAsia"/>
          <w:kern w:val="0"/>
        </w:rPr>
        <w:t>证书认证系统提供了对生命周期内的数字证书进行全过程管理的功能，包括用户注册管理、证书</w:t>
      </w:r>
      <w:r>
        <w:rPr>
          <w:rFonts w:ascii="宋体" w:hAnsi="宋体"/>
          <w:kern w:val="0"/>
        </w:rPr>
        <w:t>/证书撤销列表的生成与签发、证书/证书撤销列表的存储与发布、证书状态的查询和密钥的生成与管理以及安全管理</w:t>
      </w:r>
      <w:r>
        <w:rPr>
          <w:rFonts w:ascii="宋体" w:hAnsi="宋体" w:hint="eastAsia"/>
          <w:kern w:val="0"/>
        </w:rPr>
        <w:t>等。</w:t>
      </w:r>
    </w:p>
    <w:p>
      <w:pPr>
        <w:widowControl/>
        <w:numPr>
          <w:ilvl w:val="3"/>
          <w:numId w:val="15"/>
        </w:numPr>
        <w:spacing w:before="156" w:beforeLines="50" w:after="156" w:afterLines="50"/>
        <w:jc w:val="left"/>
        <w:outlineLvl w:val="3"/>
        <w:rPr>
          <w:rFonts w:eastAsia="黑体"/>
          <w:kern w:val="0"/>
        </w:rPr>
      </w:pPr>
      <w:bookmarkStart w:id="177" w:name="_Toc26929596"/>
      <w:bookmarkStart w:id="178" w:name="_Toc99550853"/>
      <w:bookmarkStart w:id="179" w:name="_Toc171049695"/>
      <w:r>
        <w:rPr>
          <w:rFonts w:eastAsia="黑体" w:hint="eastAsia"/>
          <w:kern w:val="0"/>
        </w:rPr>
        <w:t>用户注册管理系统</w:t>
      </w:r>
      <w:bookmarkEnd w:id="177"/>
      <w:bookmarkEnd w:id="178"/>
      <w:bookmarkEnd w:id="179"/>
    </w:p>
    <w:p>
      <w:pPr>
        <w:ind w:firstLine="420" w:firstLineChars="200"/>
        <w:rPr>
          <w:kern w:val="0"/>
        </w:rPr>
      </w:pPr>
      <w:r>
        <w:rPr>
          <w:rFonts w:hint="eastAsia"/>
          <w:kern w:val="0"/>
        </w:rPr>
        <w:t>用户注册管理系统负责用户的证书申请、身份审核和证书下载，可分为本地注册管理系统和远程注册管理系统。</w:t>
      </w:r>
    </w:p>
    <w:p>
      <w:pPr>
        <w:widowControl/>
        <w:numPr>
          <w:ilvl w:val="3"/>
          <w:numId w:val="15"/>
        </w:numPr>
        <w:spacing w:before="156" w:beforeLines="50" w:after="156" w:afterLines="50"/>
        <w:jc w:val="left"/>
        <w:outlineLvl w:val="3"/>
        <w:rPr>
          <w:rFonts w:eastAsia="黑体"/>
          <w:kern w:val="0"/>
        </w:rPr>
      </w:pPr>
      <w:r>
        <w:rPr>
          <w:rFonts w:eastAsia="黑体" w:hint="eastAsia"/>
          <w:snapToGrid w:val="0"/>
          <w:kern w:val="0"/>
        </w:rPr>
        <w:t>证书申请</w:t>
      </w:r>
    </w:p>
    <w:p>
      <w:pPr>
        <w:ind w:firstLine="420" w:firstLineChars="200"/>
        <w:rPr>
          <w:kern w:val="0"/>
        </w:rPr>
      </w:pPr>
      <w:r>
        <w:rPr>
          <w:rFonts w:hint="eastAsia"/>
          <w:kern w:val="0"/>
        </w:rPr>
        <w:t>证书申请可采用在线或离线两种方式：</w:t>
      </w:r>
    </w:p>
    <w:p>
      <w:pPr>
        <w:tabs>
          <w:tab w:val="left" w:pos="851"/>
          <w:tab w:val="left" w:pos="1288"/>
        </w:tabs>
        <w:ind w:left="840" w:hanging="420" w:leftChars="200" w:hangingChars="200"/>
        <w:jc w:val="left"/>
        <w:rPr>
          <w:rFonts w:ascii="宋体"/>
          <w:kern w:val="0"/>
        </w:rPr>
      </w:pPr>
      <w:r>
        <w:rPr>
          <w:rFonts w:ascii="宋体" w:hint="eastAsia"/>
          <w:kern w:val="0"/>
        </w:rPr>
        <w:t>在线方式：用户通过</w:t>
      </w:r>
      <w:r>
        <w:rPr>
          <w:rFonts w:ascii="宋体"/>
          <w:kern w:val="0"/>
        </w:rPr>
        <w:t>互联网</w:t>
      </w:r>
      <w:r>
        <w:rPr>
          <w:rFonts w:ascii="宋体" w:hint="eastAsia"/>
          <w:kern w:val="0"/>
        </w:rPr>
        <w:t>等登录到用户注册管理系统申请证书；</w:t>
      </w:r>
    </w:p>
    <w:p>
      <w:pPr>
        <w:tabs>
          <w:tab w:val="left" w:pos="851"/>
          <w:tab w:val="left" w:pos="1288"/>
        </w:tabs>
        <w:ind w:left="840" w:hanging="420" w:leftChars="200" w:hangingChars="200"/>
        <w:jc w:val="left"/>
        <w:rPr>
          <w:rFonts w:ascii="宋体"/>
          <w:kern w:val="0"/>
        </w:rPr>
      </w:pPr>
      <w:r>
        <w:rPr>
          <w:rFonts w:ascii="宋体" w:hint="eastAsia"/>
          <w:kern w:val="0"/>
        </w:rPr>
        <w:t>离线方式：用户到指定的注册机构申请证书。</w:t>
      </w:r>
    </w:p>
    <w:p>
      <w:pPr>
        <w:widowControl/>
        <w:numPr>
          <w:ilvl w:val="3"/>
          <w:numId w:val="15"/>
        </w:numPr>
        <w:spacing w:before="156" w:beforeLines="50" w:after="156" w:afterLines="50"/>
        <w:jc w:val="left"/>
        <w:outlineLvl w:val="3"/>
        <w:rPr>
          <w:rFonts w:eastAsia="黑体"/>
          <w:kern w:val="0"/>
        </w:rPr>
      </w:pPr>
      <w:r>
        <w:rPr>
          <w:rFonts w:eastAsia="黑体" w:hint="eastAsia"/>
          <w:kern w:val="0"/>
        </w:rPr>
        <w:t>身份审核</w:t>
      </w:r>
    </w:p>
    <w:p>
      <w:pPr>
        <w:ind w:firstLine="420" w:firstLineChars="200"/>
        <w:rPr>
          <w:kern w:val="0"/>
        </w:rPr>
      </w:pPr>
      <w:r>
        <w:rPr>
          <w:rFonts w:hint="eastAsia"/>
          <w:kern w:val="0"/>
        </w:rPr>
        <w:t>审核人员通过用户注册管理系统，对证书申请者进行身份审核。</w:t>
      </w:r>
    </w:p>
    <w:p>
      <w:pPr>
        <w:widowControl/>
        <w:numPr>
          <w:ilvl w:val="3"/>
          <w:numId w:val="15"/>
        </w:numPr>
        <w:spacing w:before="156" w:beforeLines="50" w:after="156" w:afterLines="50"/>
        <w:jc w:val="left"/>
        <w:outlineLvl w:val="3"/>
        <w:rPr>
          <w:rFonts w:eastAsia="黑体"/>
          <w:kern w:val="0"/>
        </w:rPr>
      </w:pPr>
      <w:r>
        <w:rPr>
          <w:rFonts w:eastAsia="黑体" w:hint="eastAsia"/>
          <w:kern w:val="0"/>
        </w:rPr>
        <w:t>证书下载</w:t>
      </w:r>
    </w:p>
    <w:p>
      <w:pPr>
        <w:ind w:firstLine="420" w:firstLineChars="200"/>
        <w:rPr>
          <w:kern w:val="0"/>
        </w:rPr>
      </w:pPr>
      <w:r>
        <w:rPr>
          <w:rFonts w:hint="eastAsia"/>
          <w:kern w:val="0"/>
        </w:rPr>
        <w:t>证书下载可采用在线或离线两种方式：</w:t>
      </w:r>
    </w:p>
    <w:p>
      <w:pPr>
        <w:tabs>
          <w:tab w:val="left" w:pos="851"/>
          <w:tab w:val="left" w:pos="1288"/>
        </w:tabs>
        <w:ind w:left="840" w:hanging="420" w:leftChars="200" w:hangingChars="200"/>
        <w:jc w:val="left"/>
        <w:rPr>
          <w:rFonts w:ascii="宋体"/>
          <w:kern w:val="0"/>
        </w:rPr>
      </w:pPr>
      <w:r>
        <w:rPr>
          <w:rFonts w:ascii="宋体" w:hint="eastAsia"/>
          <w:kern w:val="0"/>
        </w:rPr>
        <w:t>在线方式：用户通过互联网等登录到用户注册管理系统下载证书；</w:t>
      </w:r>
    </w:p>
    <w:p>
      <w:pPr>
        <w:tabs>
          <w:tab w:val="left" w:pos="851"/>
          <w:tab w:val="left" w:pos="1288"/>
        </w:tabs>
        <w:ind w:left="840" w:hanging="420" w:leftChars="200" w:hangingChars="200"/>
        <w:jc w:val="left"/>
        <w:rPr>
          <w:rFonts w:ascii="宋体"/>
          <w:kern w:val="0"/>
        </w:rPr>
      </w:pPr>
      <w:r>
        <w:rPr>
          <w:rFonts w:ascii="宋体" w:hint="eastAsia"/>
          <w:kern w:val="0"/>
        </w:rPr>
        <w:t>离线方式：用户到指定的注册机构下载证书。</w:t>
      </w:r>
    </w:p>
    <w:p>
      <w:pPr>
        <w:widowControl/>
        <w:numPr>
          <w:ilvl w:val="3"/>
          <w:numId w:val="15"/>
        </w:numPr>
        <w:spacing w:before="156" w:beforeLines="50" w:after="156" w:afterLines="50"/>
        <w:jc w:val="left"/>
        <w:outlineLvl w:val="3"/>
        <w:rPr>
          <w:rFonts w:eastAsia="黑体"/>
          <w:kern w:val="0"/>
        </w:rPr>
      </w:pPr>
      <w:bookmarkStart w:id="180" w:name="_Toc171049696"/>
      <w:bookmarkStart w:id="181" w:name="_Toc99550854"/>
      <w:bookmarkStart w:id="182" w:name="_Toc26929597"/>
      <w:r>
        <w:rPr>
          <w:rFonts w:eastAsia="黑体" w:hint="eastAsia"/>
          <w:kern w:val="0"/>
        </w:rPr>
        <w:t>证书/证书撤销列表生成与签发系统</w:t>
      </w:r>
      <w:bookmarkEnd w:id="180"/>
      <w:bookmarkEnd w:id="181"/>
      <w:bookmarkEnd w:id="182"/>
    </w:p>
    <w:p>
      <w:pPr>
        <w:widowControl/>
        <w:numPr>
          <w:ilvl w:val="4"/>
          <w:numId w:val="15"/>
        </w:numPr>
        <w:spacing w:before="156" w:beforeLines="50" w:after="156" w:afterLines="50"/>
        <w:jc w:val="left"/>
        <w:outlineLvl w:val="4"/>
        <w:rPr>
          <w:rFonts w:eastAsia="黑体"/>
          <w:kern w:val="0"/>
        </w:rPr>
      </w:pPr>
      <w:r>
        <w:rPr>
          <w:rFonts w:eastAsia="黑体" w:hint="eastAsia"/>
          <w:kern w:val="0"/>
        </w:rPr>
        <w:t>功能</w:t>
      </w:r>
    </w:p>
    <w:p>
      <w:pPr>
        <w:ind w:firstLine="420" w:firstLineChars="200"/>
        <w:rPr>
          <w:kern w:val="0"/>
        </w:rPr>
      </w:pPr>
      <w:r>
        <w:rPr>
          <w:rFonts w:hint="eastAsia"/>
          <w:kern w:val="0"/>
        </w:rPr>
        <w:t>证书/证书撤销列表生成与签发系统负责生成、签发数字证书和证书撤销列表。</w:t>
      </w:r>
    </w:p>
    <w:p>
      <w:pPr>
        <w:widowControl/>
        <w:numPr>
          <w:ilvl w:val="4"/>
          <w:numId w:val="15"/>
        </w:numPr>
        <w:spacing w:before="156" w:beforeLines="50" w:after="156" w:afterLines="50"/>
        <w:jc w:val="left"/>
        <w:outlineLvl w:val="4"/>
        <w:rPr>
          <w:rFonts w:eastAsia="黑体"/>
          <w:kern w:val="0"/>
        </w:rPr>
      </w:pPr>
      <w:r>
        <w:rPr>
          <w:rFonts w:eastAsia="黑体" w:hint="eastAsia"/>
          <w:kern w:val="0"/>
        </w:rPr>
        <w:t>证书类型</w:t>
      </w:r>
    </w:p>
    <w:p>
      <w:pPr>
        <w:ind w:firstLine="420" w:firstLineChars="200"/>
        <w:rPr>
          <w:kern w:val="0"/>
        </w:rPr>
      </w:pPr>
      <w:r>
        <w:rPr>
          <w:rFonts w:hint="eastAsia"/>
          <w:kern w:val="0"/>
        </w:rPr>
        <w:t xml:space="preserve">按主体对象，证书分为人员证书、设备证书和机构证书三种类型； </w:t>
      </w:r>
    </w:p>
    <w:p>
      <w:pPr>
        <w:ind w:firstLine="420" w:firstLineChars="200"/>
        <w:rPr>
          <w:kern w:val="0"/>
        </w:rPr>
      </w:pPr>
      <w:r>
        <w:rPr>
          <w:rFonts w:hint="eastAsia"/>
          <w:kern w:val="0"/>
        </w:rPr>
        <w:t>按功能，证书分为加密证书和签名证书两种类型。</w:t>
      </w:r>
    </w:p>
    <w:p>
      <w:pPr>
        <w:widowControl/>
        <w:numPr>
          <w:ilvl w:val="4"/>
          <w:numId w:val="15"/>
        </w:numPr>
        <w:spacing w:before="156" w:beforeLines="50" w:after="156" w:afterLines="50"/>
        <w:jc w:val="left"/>
        <w:outlineLvl w:val="4"/>
        <w:rPr>
          <w:rFonts w:eastAsia="黑体"/>
          <w:kern w:val="0"/>
        </w:rPr>
      </w:pPr>
      <w:r>
        <w:rPr>
          <w:rFonts w:eastAsia="黑体" w:hint="eastAsia"/>
          <w:snapToGrid w:val="0"/>
          <w:kern w:val="0"/>
        </w:rPr>
        <w:t>证书机制</w:t>
      </w:r>
    </w:p>
    <w:p>
      <w:pPr>
        <w:ind w:firstLine="420" w:firstLineChars="200"/>
        <w:rPr>
          <w:kern w:val="0"/>
        </w:rPr>
      </w:pPr>
      <w:r>
        <w:rPr>
          <w:rFonts w:hint="eastAsia"/>
          <w:kern w:val="0"/>
        </w:rPr>
        <w:t>证书认证系统采用双证书机制。每个用户拥有两张数字证书，一张用于数字签名，另一张用于数据加密。用于数字签名的密钥对可以由用户利用具有密码运算功能的证书载体产生；用于数据加密的密钥对由密钥管理中心产生并负责安全管理。签名证书和加密证书一起保存在用户的证书载体中。</w:t>
      </w:r>
    </w:p>
    <w:p>
      <w:pPr>
        <w:widowControl/>
        <w:numPr>
          <w:ilvl w:val="4"/>
          <w:numId w:val="15"/>
        </w:numPr>
        <w:spacing w:before="156" w:beforeLines="50" w:after="156" w:afterLines="50"/>
        <w:jc w:val="left"/>
        <w:outlineLvl w:val="4"/>
        <w:rPr>
          <w:rFonts w:eastAsia="黑体"/>
          <w:kern w:val="0"/>
        </w:rPr>
      </w:pPr>
      <w:r>
        <w:rPr>
          <w:rFonts w:eastAsia="黑体" w:hint="eastAsia"/>
          <w:kern w:val="0"/>
        </w:rPr>
        <w:t>证书生成/签发</w:t>
      </w:r>
    </w:p>
    <w:p>
      <w:pPr>
        <w:ind w:firstLine="420" w:firstLineChars="200"/>
        <w:rPr>
          <w:rFonts w:ascii="宋体" w:hAnsi="宋体"/>
          <w:szCs w:val="24"/>
        </w:rPr>
      </w:pPr>
      <w:r>
        <w:rPr>
          <w:rFonts w:ascii="宋体" w:hAnsi="宋体" w:hint="eastAsia"/>
          <w:szCs w:val="24"/>
        </w:rPr>
        <w:t>用户的数字证书由该系统的CA签发，根CA的数字证书由根CA自己签发，下级CA的数字证书由上级CA签发。</w:t>
      </w:r>
    </w:p>
    <w:p>
      <w:pPr>
        <w:widowControl/>
        <w:numPr>
          <w:ilvl w:val="4"/>
          <w:numId w:val="15"/>
        </w:numPr>
        <w:spacing w:before="156" w:beforeLines="50" w:after="156" w:afterLines="50"/>
        <w:jc w:val="left"/>
        <w:outlineLvl w:val="4"/>
        <w:rPr>
          <w:rFonts w:eastAsia="黑体"/>
          <w:kern w:val="0"/>
        </w:rPr>
        <w:sectPr>
          <w:headerReference w:type="even" r:id="rId38"/>
          <w:headerReference w:type="default" r:id="rId39"/>
          <w:footerReference w:type="even" r:id="rId40"/>
          <w:footerReference w:type="default" r:id="rId41"/>
          <w:type w:val="nextPage"/>
          <w:pgSz w:w="11907" w:h="16839"/>
          <w:pgMar w:top="1418" w:right="1134" w:bottom="1134" w:left="1418" w:header="907" w:footer="851" w:gutter="0"/>
          <w:pgNumType w:start="6"/>
          <w:cols w:num="1" w:space="720"/>
          <w:titlePg w:val="0"/>
          <w:docGrid w:type="linesAndChars" w:linePitch="312" w:charSpace="0"/>
        </w:sectPr>
      </w:pPr>
      <w:r>
        <w:rPr>
          <w:rFonts w:eastAsia="黑体" w:hint="eastAsia"/>
          <w:kern w:val="0"/>
        </w:rPr>
        <w:t>证书撤销列表</w:t>
      </w:r>
    </w:p>
    <w:p>
      <w:pPr>
        <w:ind w:firstLine="420" w:firstLineChars="200"/>
        <w:rPr>
          <w:rFonts w:ascii="宋体" w:hAnsi="宋体"/>
          <w:szCs w:val="24"/>
        </w:rPr>
      </w:pPr>
      <w:r>
        <w:rPr>
          <w:rFonts w:ascii="宋体" w:hAnsi="宋体" w:hint="eastAsia"/>
          <w:szCs w:val="24"/>
        </w:rPr>
        <w:t>证书撤销列表是在证书有效期之内，CA签发的终止使用证书的信息，分为用户证书撤销列表（CRL）和CA证书撤销列表（ARL）两类。在证书的使用过程中，应用系统通过检查CRL/ARL，获取有关证书的状态。</w:t>
      </w:r>
    </w:p>
    <w:p>
      <w:pPr>
        <w:widowControl/>
        <w:numPr>
          <w:ilvl w:val="4"/>
          <w:numId w:val="15"/>
        </w:numPr>
        <w:spacing w:before="156" w:beforeLines="50" w:after="156" w:afterLines="50"/>
        <w:jc w:val="left"/>
        <w:outlineLvl w:val="4"/>
        <w:rPr>
          <w:rFonts w:eastAsia="黑体"/>
          <w:kern w:val="0"/>
        </w:rPr>
      </w:pPr>
      <w:bookmarkStart w:id="183" w:name="_Toc171049697"/>
      <w:bookmarkStart w:id="184" w:name="_Toc26929598"/>
      <w:bookmarkStart w:id="185" w:name="_Toc99550855"/>
      <w:r>
        <w:rPr>
          <w:rFonts w:eastAsia="黑体" w:hint="eastAsia"/>
          <w:kern w:val="0"/>
        </w:rPr>
        <w:t>证书/证书撤销列表存储与发布系统</w:t>
      </w:r>
      <w:bookmarkEnd w:id="183"/>
      <w:bookmarkEnd w:id="184"/>
      <w:bookmarkEnd w:id="185"/>
    </w:p>
    <w:p>
      <w:pPr>
        <w:ind w:firstLine="420" w:firstLineChars="200"/>
        <w:rPr>
          <w:rFonts w:ascii="宋体" w:hAnsi="宋体"/>
          <w:kern w:val="0"/>
        </w:rPr>
      </w:pPr>
      <w:r>
        <w:rPr>
          <w:rFonts w:ascii="宋体" w:hAnsi="宋体" w:hint="eastAsia"/>
          <w:kern w:val="0"/>
        </w:rPr>
        <w:t>证书/证书撤销列表存储与发布系统负责数字证书、证书撤销列表的存储和发布。</w:t>
      </w:r>
    </w:p>
    <w:p>
      <w:pPr>
        <w:ind w:firstLine="420" w:firstLineChars="200"/>
        <w:rPr>
          <w:rFonts w:ascii="宋体" w:hAnsi="宋体"/>
          <w:kern w:val="0"/>
        </w:rPr>
      </w:pPr>
      <w:r>
        <w:rPr>
          <w:rFonts w:ascii="宋体" w:hAnsi="宋体" w:hint="eastAsia"/>
          <w:kern w:val="0"/>
        </w:rPr>
        <w:t>根据应用环境的不同，证书/证书撤销列表存储与发布系统应采用数据库或目录服务方式，实现数字证书/证书撤销列表的存储、备份和恢复等功能，并提供查询服务。</w:t>
      </w:r>
    </w:p>
    <w:p>
      <w:pPr>
        <w:ind w:firstLine="420" w:firstLineChars="200"/>
        <w:rPr>
          <w:rFonts w:ascii="宋体" w:hAnsi="宋体"/>
          <w:kern w:val="0"/>
        </w:rPr>
      </w:pPr>
      <w:r>
        <w:rPr>
          <w:rFonts w:ascii="宋体" w:hAnsi="宋体" w:hint="eastAsia"/>
          <w:kern w:val="0"/>
        </w:rPr>
        <w:t>使用目录服务方式，应采用主、从目录服务器结构以保证主目录服务器的安全，同时从目录服务器可以采用分布式的方式进行设置，以提高系统的效率。用户只能访问从目录服务器。</w:t>
      </w:r>
    </w:p>
    <w:p>
      <w:pPr>
        <w:widowControl/>
        <w:numPr>
          <w:ilvl w:val="4"/>
          <w:numId w:val="15"/>
        </w:numPr>
        <w:spacing w:before="156" w:beforeLines="50" w:after="156" w:afterLines="50"/>
        <w:jc w:val="left"/>
        <w:outlineLvl w:val="4"/>
        <w:rPr>
          <w:rFonts w:eastAsia="黑体"/>
          <w:kern w:val="0"/>
        </w:rPr>
      </w:pPr>
      <w:bookmarkStart w:id="186" w:name="_Toc26929599"/>
      <w:bookmarkStart w:id="187" w:name="_Toc171049698"/>
      <w:bookmarkStart w:id="188" w:name="_Toc99550856"/>
      <w:r>
        <w:rPr>
          <w:rFonts w:eastAsia="黑体" w:hint="eastAsia"/>
          <w:kern w:val="0"/>
        </w:rPr>
        <w:t>证书状态查询系统</w:t>
      </w:r>
      <w:bookmarkEnd w:id="186"/>
      <w:bookmarkEnd w:id="187"/>
      <w:bookmarkEnd w:id="188"/>
    </w:p>
    <w:p>
      <w:pPr>
        <w:ind w:firstLine="420" w:firstLineChars="200"/>
        <w:rPr>
          <w:kern w:val="0"/>
        </w:rPr>
      </w:pPr>
      <w:r>
        <w:rPr>
          <w:rFonts w:hint="eastAsia"/>
          <w:kern w:val="0"/>
        </w:rPr>
        <w:t>证书状态查询系统应为用户和应用系统提供证书状态查询服务，包括：</w:t>
      </w:r>
    </w:p>
    <w:p>
      <w:pPr>
        <w:tabs>
          <w:tab w:val="left" w:pos="851"/>
          <w:tab w:val="left" w:pos="1288"/>
        </w:tabs>
        <w:ind w:left="840" w:hanging="420" w:leftChars="200" w:hangingChars="200"/>
        <w:jc w:val="left"/>
        <w:rPr>
          <w:rFonts w:ascii="宋体"/>
          <w:kern w:val="0"/>
        </w:rPr>
      </w:pPr>
      <w:r>
        <w:rPr>
          <w:rFonts w:ascii="宋体" w:hint="eastAsia"/>
          <w:kern w:val="0"/>
        </w:rPr>
        <w:t>CRL查询：用户或应用系统利用数字证书中标识的CRL地址，下载CRL，并检验证书有效性。</w:t>
      </w:r>
    </w:p>
    <w:p>
      <w:pPr>
        <w:tabs>
          <w:tab w:val="left" w:pos="851"/>
          <w:tab w:val="left" w:pos="1288"/>
        </w:tabs>
        <w:ind w:left="840" w:hanging="420" w:leftChars="200" w:hangingChars="200"/>
        <w:jc w:val="left"/>
        <w:rPr>
          <w:rFonts w:ascii="宋体"/>
          <w:kern w:val="0"/>
        </w:rPr>
      </w:pPr>
      <w:r>
        <w:rPr>
          <w:rFonts w:ascii="宋体" w:hint="eastAsia"/>
          <w:kern w:val="0"/>
        </w:rPr>
        <w:t>在线证书状态查询：用户或应用系统按照在RFC 6960中定义的OCSP协议，实时在线查询证书的状态。</w:t>
      </w:r>
    </w:p>
    <w:p>
      <w:pPr>
        <w:ind w:firstLine="420" w:firstLineChars="200"/>
        <w:rPr>
          <w:kern w:val="0"/>
        </w:rPr>
      </w:pPr>
      <w:r>
        <w:rPr>
          <w:rFonts w:hint="eastAsia"/>
          <w:kern w:val="0"/>
        </w:rPr>
        <w:t>在实际应用中，可以根据具体情况采用上述两种查询方式之一或全部。</w:t>
      </w:r>
    </w:p>
    <w:p>
      <w:pPr>
        <w:widowControl/>
        <w:numPr>
          <w:ilvl w:val="4"/>
          <w:numId w:val="15"/>
        </w:numPr>
        <w:spacing w:before="156" w:beforeLines="50" w:after="156" w:afterLines="50"/>
        <w:jc w:val="left"/>
        <w:outlineLvl w:val="4"/>
        <w:rPr>
          <w:rFonts w:eastAsia="黑体"/>
          <w:kern w:val="0"/>
        </w:rPr>
      </w:pPr>
      <w:bookmarkStart w:id="189" w:name="_Toc26929601"/>
      <w:bookmarkStart w:id="190" w:name="_Toc99550858"/>
      <w:bookmarkStart w:id="191" w:name="_Toc171049699"/>
      <w:r>
        <w:rPr>
          <w:rFonts w:eastAsia="黑体" w:hint="eastAsia"/>
          <w:kern w:val="0"/>
        </w:rPr>
        <w:t>证书管理系统</w:t>
      </w:r>
      <w:bookmarkEnd w:id="189"/>
      <w:bookmarkEnd w:id="190"/>
      <w:bookmarkEnd w:id="191"/>
    </w:p>
    <w:p>
      <w:pPr>
        <w:ind w:firstLine="420" w:firstLineChars="200"/>
        <w:rPr>
          <w:rFonts w:ascii="宋体" w:hAnsi="宋体"/>
          <w:kern w:val="0"/>
        </w:rPr>
      </w:pPr>
      <w:r>
        <w:rPr>
          <w:rFonts w:ascii="宋体" w:hAnsi="宋体" w:hint="eastAsia"/>
          <w:kern w:val="0"/>
        </w:rPr>
        <w:t>证书管理系统是证书认证系统中实现对证书/证书撤销列表的申请、审核、生成、签发、存储、发布、注销、归档等功能的管理控制系统。</w:t>
      </w:r>
    </w:p>
    <w:p>
      <w:pPr>
        <w:widowControl/>
        <w:numPr>
          <w:ilvl w:val="4"/>
          <w:numId w:val="15"/>
        </w:numPr>
        <w:spacing w:before="156" w:beforeLines="50" w:after="156" w:afterLines="50"/>
        <w:jc w:val="left"/>
        <w:outlineLvl w:val="4"/>
        <w:rPr>
          <w:rFonts w:eastAsia="黑体"/>
          <w:kern w:val="0"/>
        </w:rPr>
      </w:pPr>
      <w:bookmarkStart w:id="192" w:name="_Toc26929602"/>
      <w:bookmarkStart w:id="193" w:name="_Toc99550859"/>
      <w:bookmarkStart w:id="194" w:name="_Toc171049700"/>
      <w:r>
        <w:rPr>
          <w:rFonts w:eastAsia="黑体" w:hint="eastAsia"/>
          <w:kern w:val="0"/>
        </w:rPr>
        <w:t>安全管理系统</w:t>
      </w:r>
      <w:bookmarkEnd w:id="192"/>
      <w:bookmarkEnd w:id="193"/>
      <w:bookmarkEnd w:id="194"/>
    </w:p>
    <w:p>
      <w:pPr>
        <w:ind w:firstLine="420" w:firstLineChars="200"/>
        <w:rPr>
          <w:kern w:val="0"/>
        </w:rPr>
      </w:pPr>
      <w:r>
        <w:rPr>
          <w:rFonts w:hint="eastAsia"/>
          <w:kern w:val="0"/>
        </w:rPr>
        <w:t>安全管理系统主要包括安全审计系统和安全防护系统。</w:t>
      </w:r>
    </w:p>
    <w:p>
      <w:pPr>
        <w:ind w:firstLine="420" w:firstLineChars="200"/>
        <w:rPr>
          <w:kern w:val="0"/>
        </w:rPr>
      </w:pPr>
      <w:r>
        <w:rPr>
          <w:rFonts w:hint="eastAsia"/>
          <w:kern w:val="0"/>
        </w:rPr>
        <w:t>安全审计系统提供事件级审计功能，对涉及系统安全的行为、人员、时间等记录进行跟踪、统计和分析。</w:t>
      </w:r>
    </w:p>
    <w:p>
      <w:pPr>
        <w:ind w:firstLine="420" w:firstLineChars="200"/>
        <w:rPr>
          <w:kern w:val="0"/>
        </w:rPr>
      </w:pPr>
      <w:r>
        <w:rPr>
          <w:rFonts w:hint="eastAsia"/>
          <w:kern w:val="0"/>
        </w:rPr>
        <w:t>安全防护系统提供访问控制、入侵检测（入侵防御）、漏洞扫描、病毒防治等网络安全功能。</w:t>
      </w:r>
    </w:p>
    <w:p>
      <w:pPr>
        <w:widowControl/>
        <w:numPr>
          <w:ilvl w:val="2"/>
          <w:numId w:val="0"/>
        </w:numPr>
        <w:spacing w:before="156" w:beforeLines="50" w:after="156" w:afterLines="50"/>
        <w:jc w:val="left"/>
        <w:outlineLvl w:val="2"/>
        <w:rPr>
          <w:rFonts w:eastAsia="黑体"/>
          <w:kern w:val="0"/>
        </w:rPr>
      </w:pPr>
      <w:bookmarkStart w:id="195" w:name="_Toc99780075"/>
      <w:bookmarkStart w:id="196" w:name="_Toc99780366"/>
      <w:bookmarkStart w:id="197" w:name="_Toc26929603"/>
      <w:bookmarkStart w:id="198" w:name="_Toc99550860"/>
      <w:bookmarkStart w:id="199" w:name="_Toc101945687"/>
      <w:bookmarkStart w:id="200" w:name="_Toc171049701"/>
      <w:bookmarkStart w:id="201" w:name="_Toc358117230"/>
      <w:bookmarkStart w:id="202" w:name="_Toc290214333"/>
      <w:bookmarkStart w:id="203" w:name="_Toc445067646"/>
      <w:r>
        <w:rPr>
          <w:rFonts w:eastAsia="黑体" w:hint="eastAsia"/>
          <w:kern w:val="0"/>
        </w:rPr>
        <w:t>系统设计</w:t>
      </w:r>
      <w:bookmarkEnd w:id="195"/>
      <w:bookmarkEnd w:id="196"/>
      <w:bookmarkEnd w:id="197"/>
      <w:bookmarkEnd w:id="198"/>
      <w:bookmarkEnd w:id="199"/>
      <w:bookmarkEnd w:id="200"/>
      <w:bookmarkEnd w:id="201"/>
      <w:bookmarkEnd w:id="202"/>
      <w:bookmarkEnd w:id="203"/>
    </w:p>
    <w:p>
      <w:pPr>
        <w:widowControl/>
        <w:numPr>
          <w:ilvl w:val="3"/>
          <w:numId w:val="15"/>
        </w:numPr>
        <w:spacing w:before="156" w:beforeLines="50" w:after="156" w:afterLines="50"/>
        <w:jc w:val="left"/>
        <w:outlineLvl w:val="3"/>
        <w:rPr>
          <w:rFonts w:eastAsia="黑体"/>
          <w:kern w:val="0"/>
        </w:rPr>
      </w:pPr>
      <w:bookmarkStart w:id="204" w:name="_Toc171049702"/>
      <w:r>
        <w:rPr>
          <w:rFonts w:eastAsia="黑体" w:hint="eastAsia"/>
          <w:kern w:val="0"/>
        </w:rPr>
        <w:t>概述</w:t>
      </w:r>
      <w:bookmarkEnd w:id="204"/>
    </w:p>
    <w:p>
      <w:pPr>
        <w:ind w:firstLine="420" w:firstLineChars="200"/>
        <w:rPr>
          <w:kern w:val="0"/>
        </w:rPr>
      </w:pPr>
      <w:r>
        <w:rPr>
          <w:rFonts w:hint="eastAsia"/>
          <w:kern w:val="0"/>
        </w:rPr>
        <w:t>证书认证系统的设计包括系统的总体设计和各子系统设计，本标准提供证书认证系统的设计原则以及各个子系统的实现方式，在具体实现过程中，应根据所选择的开发平台和开发环境进行详细设计。</w:t>
      </w:r>
    </w:p>
    <w:p>
      <w:pPr>
        <w:widowControl/>
        <w:numPr>
          <w:ilvl w:val="3"/>
          <w:numId w:val="15"/>
        </w:numPr>
        <w:spacing w:before="156" w:beforeLines="50" w:after="156" w:afterLines="50"/>
        <w:jc w:val="left"/>
        <w:outlineLvl w:val="3"/>
        <w:rPr>
          <w:rFonts w:eastAsia="黑体"/>
          <w:kern w:val="0"/>
        </w:rPr>
      </w:pPr>
      <w:bookmarkStart w:id="205" w:name="_Toc26929604"/>
      <w:bookmarkStart w:id="206" w:name="_Toc171049703"/>
      <w:bookmarkStart w:id="207" w:name="_Toc99550861"/>
      <w:r>
        <w:rPr>
          <w:rFonts w:eastAsia="黑体" w:hint="eastAsia"/>
          <w:kern w:val="0"/>
        </w:rPr>
        <w:t>总体设计原则</w:t>
      </w:r>
      <w:bookmarkEnd w:id="205"/>
      <w:bookmarkEnd w:id="206"/>
      <w:bookmarkEnd w:id="207"/>
    </w:p>
    <w:p>
      <w:pPr>
        <w:ind w:firstLine="420" w:firstLineChars="200"/>
        <w:rPr>
          <w:kern w:val="0"/>
        </w:rPr>
      </w:pPr>
      <w:r>
        <w:rPr>
          <w:rFonts w:hint="eastAsia"/>
          <w:kern w:val="0"/>
        </w:rPr>
        <w:t>证书认证系统的总体设计原则如下：</w:t>
      </w:r>
    </w:p>
    <w:p>
      <w:pPr>
        <w:widowControl/>
        <w:numPr>
          <w:ilvl w:val="0"/>
          <w:numId w:val="16"/>
        </w:numPr>
        <w:jc w:val="left"/>
        <w:rPr>
          <w:rFonts w:ascii="宋体"/>
          <w:kern w:val="0"/>
        </w:rPr>
      </w:pPr>
      <w:r>
        <w:rPr>
          <w:rFonts w:ascii="宋体" w:hint="eastAsia"/>
          <w:kern w:val="0"/>
        </w:rPr>
        <w:t>证书认证系统遵循标准化、模块化设计原则；</w:t>
      </w:r>
    </w:p>
    <w:p>
      <w:pPr>
        <w:widowControl/>
        <w:numPr>
          <w:ilvl w:val="0"/>
          <w:numId w:val="16"/>
        </w:numPr>
        <w:jc w:val="left"/>
        <w:rPr>
          <w:rFonts w:ascii="宋体"/>
          <w:kern w:val="0"/>
        </w:rPr>
      </w:pPr>
      <w:r>
        <w:rPr>
          <w:rFonts w:ascii="宋体" w:hint="eastAsia"/>
          <w:kern w:val="0"/>
        </w:rPr>
        <w:t>证书认证系统设置相对独立的功能模块，通过各模块之间的安全连接，实现各项功能；</w:t>
      </w:r>
    </w:p>
    <w:p>
      <w:pPr>
        <w:widowControl/>
        <w:numPr>
          <w:ilvl w:val="0"/>
          <w:numId w:val="16"/>
        </w:numPr>
        <w:jc w:val="left"/>
        <w:rPr>
          <w:rFonts w:ascii="宋体"/>
          <w:kern w:val="0"/>
        </w:rPr>
      </w:pPr>
      <w:r>
        <w:rPr>
          <w:rFonts w:ascii="宋体" w:hint="eastAsia"/>
          <w:kern w:val="0"/>
        </w:rPr>
        <w:t>各模块之间的通信采用基于身份鉴别机制的安全通信协议；</w:t>
      </w:r>
    </w:p>
    <w:p>
      <w:pPr>
        <w:widowControl/>
        <w:numPr>
          <w:ilvl w:val="0"/>
          <w:numId w:val="16"/>
        </w:numPr>
        <w:jc w:val="left"/>
        <w:rPr>
          <w:rFonts w:ascii="宋体"/>
          <w:kern w:val="0"/>
        </w:rPr>
      </w:pPr>
      <w:r>
        <w:rPr>
          <w:rFonts w:ascii="宋体" w:hint="eastAsia"/>
          <w:kern w:val="0"/>
        </w:rPr>
        <w:t>各模块使用的密码运算都必须在密码设备中完成；</w:t>
      </w:r>
    </w:p>
    <w:p>
      <w:pPr>
        <w:widowControl/>
        <w:numPr>
          <w:ilvl w:val="0"/>
          <w:numId w:val="16"/>
        </w:numPr>
        <w:jc w:val="left"/>
        <w:rPr>
          <w:rFonts w:ascii="宋体"/>
          <w:kern w:val="0"/>
        </w:rPr>
      </w:pPr>
      <w:r>
        <w:rPr>
          <w:rFonts w:ascii="宋体" w:hint="eastAsia"/>
          <w:kern w:val="0"/>
        </w:rPr>
        <w:t>各模块产生的审计日志文件采用统一的格式传递和存储；</w:t>
      </w:r>
    </w:p>
    <w:p>
      <w:pPr>
        <w:widowControl/>
        <w:numPr>
          <w:ilvl w:val="0"/>
          <w:numId w:val="16"/>
        </w:numPr>
        <w:jc w:val="left"/>
        <w:rPr>
          <w:rFonts w:ascii="宋体"/>
          <w:kern w:val="0"/>
        </w:rPr>
      </w:pPr>
      <w:r>
        <w:rPr>
          <w:rFonts w:ascii="宋体" w:hint="eastAsia"/>
          <w:kern w:val="0"/>
        </w:rPr>
        <w:t>用户注册管理系统、证书/证书撤销列表生成与签发系统和密钥管理中心可以设置独立的数据库；</w:t>
      </w:r>
    </w:p>
    <w:p>
      <w:pPr>
        <w:widowControl/>
        <w:numPr>
          <w:ilvl w:val="0"/>
          <w:numId w:val="16"/>
        </w:numPr>
        <w:jc w:val="left"/>
        <w:rPr>
          <w:rFonts w:ascii="宋体"/>
          <w:kern w:val="0"/>
        </w:rPr>
      </w:pPr>
      <w:r>
        <w:rPr>
          <w:rFonts w:ascii="宋体" w:hint="eastAsia"/>
          <w:kern w:val="0"/>
        </w:rPr>
        <w:t>证书认证系统的各模块应设置有效的系统管理功能；</w:t>
      </w:r>
    </w:p>
    <w:p>
      <w:pPr>
        <w:widowControl/>
        <w:numPr>
          <w:ilvl w:val="0"/>
          <w:numId w:val="16"/>
        </w:numPr>
        <w:jc w:val="left"/>
        <w:rPr>
          <w:rFonts w:ascii="宋体"/>
          <w:kern w:val="0"/>
        </w:rPr>
      </w:pPr>
      <w:r>
        <w:rPr>
          <w:rFonts w:ascii="宋体" w:hint="eastAsia"/>
          <w:kern w:val="0"/>
        </w:rPr>
        <w:t>系统必须具备访问控制功能；</w:t>
      </w:r>
    </w:p>
    <w:p>
      <w:pPr>
        <w:widowControl/>
        <w:numPr>
          <w:ilvl w:val="0"/>
          <w:numId w:val="16"/>
        </w:numPr>
        <w:jc w:val="left"/>
        <w:rPr>
          <w:rFonts w:ascii="宋体"/>
          <w:kern w:val="0"/>
        </w:rPr>
        <w:sectPr>
          <w:headerReference w:type="even" r:id="rId42"/>
          <w:headerReference w:type="default" r:id="rId43"/>
          <w:footerReference w:type="even" r:id="rId44"/>
          <w:footerReference w:type="default" r:id="rId45"/>
          <w:type w:val="nextPage"/>
          <w:pgSz w:w="11907" w:h="16839"/>
          <w:pgMar w:top="1418" w:right="1134" w:bottom="1134" w:left="1418" w:header="907" w:footer="851" w:gutter="0"/>
          <w:pgNumType w:start="7"/>
          <w:cols w:num="1" w:space="720"/>
          <w:titlePg w:val="0"/>
          <w:docGrid w:type="linesAndChars" w:linePitch="312" w:charSpace="0"/>
        </w:sectPr>
      </w:pPr>
      <w:r>
        <w:rPr>
          <w:rFonts w:ascii="宋体" w:hint="eastAsia"/>
          <w:kern w:val="0"/>
        </w:rPr>
        <w:t>系统在实现证书管理功能的同时，必须充分考虑系统本身的安全性。</w:t>
      </w:r>
    </w:p>
    <w:p>
      <w:pPr>
        <w:widowControl/>
        <w:numPr>
          <w:ilvl w:val="3"/>
          <w:numId w:val="15"/>
        </w:numPr>
        <w:spacing w:before="156" w:beforeLines="50" w:after="156" w:afterLines="50"/>
        <w:jc w:val="left"/>
        <w:outlineLvl w:val="3"/>
        <w:rPr>
          <w:rFonts w:eastAsia="黑体"/>
          <w:kern w:val="0"/>
        </w:rPr>
      </w:pPr>
      <w:bookmarkStart w:id="208" w:name="_Toc26929605"/>
      <w:bookmarkStart w:id="209" w:name="_Toc171049704"/>
      <w:bookmarkStart w:id="210" w:name="_Toc99550862"/>
      <w:r>
        <w:rPr>
          <w:rFonts w:eastAsia="黑体" w:hint="eastAsia"/>
          <w:kern w:val="0"/>
        </w:rPr>
        <w:t>用户注册管理系统设计</w:t>
      </w:r>
      <w:bookmarkEnd w:id="208"/>
      <w:bookmarkEnd w:id="209"/>
      <w:bookmarkEnd w:id="210"/>
    </w:p>
    <w:p>
      <w:pPr>
        <w:widowControl/>
        <w:numPr>
          <w:ilvl w:val="4"/>
          <w:numId w:val="15"/>
        </w:numPr>
        <w:spacing w:before="156" w:beforeLines="50" w:after="156" w:afterLines="50"/>
        <w:jc w:val="left"/>
        <w:outlineLvl w:val="4"/>
        <w:rPr>
          <w:rFonts w:eastAsia="黑体"/>
          <w:kern w:val="0"/>
        </w:rPr>
      </w:pPr>
      <w:r>
        <w:rPr>
          <w:rFonts w:eastAsia="黑体" w:hint="eastAsia"/>
          <w:kern w:val="0"/>
        </w:rPr>
        <w:t>用户注册管理系统功能</w:t>
      </w:r>
    </w:p>
    <w:p>
      <w:pPr>
        <w:ind w:firstLine="420" w:firstLineChars="200"/>
        <w:rPr>
          <w:kern w:val="0"/>
        </w:rPr>
      </w:pPr>
      <w:r>
        <w:rPr>
          <w:rFonts w:hint="eastAsia"/>
          <w:kern w:val="0"/>
        </w:rPr>
        <w:t>用户注册管理系统负责用户证书/证书撤销列表的申请、审核以及证书的制作，其主要功能如下：</w:t>
      </w:r>
    </w:p>
    <w:p>
      <w:pPr>
        <w:tabs>
          <w:tab w:val="left" w:pos="851"/>
          <w:tab w:val="left" w:pos="1288"/>
        </w:tabs>
        <w:ind w:left="840" w:hanging="420" w:leftChars="200" w:hangingChars="200"/>
        <w:jc w:val="left"/>
        <w:rPr>
          <w:rFonts w:ascii="宋体"/>
          <w:kern w:val="0"/>
        </w:rPr>
      </w:pPr>
      <w:r>
        <w:rPr>
          <w:rFonts w:ascii="宋体" w:hint="eastAsia"/>
          <w:kern w:val="0"/>
        </w:rPr>
        <w:t>用户信息的录入：录入用户的申请信息，用户申请信息包括签发证书所需要的信息，还包括用于验证用户身份的信息，这些信息存放在用户注册管理系统的数据库中。用户注册管理系统应能够批量接受从外部系统生成的、以电子文档方式存储的用户信息；</w:t>
      </w:r>
    </w:p>
    <w:p>
      <w:pPr>
        <w:tabs>
          <w:tab w:val="left" w:pos="851"/>
          <w:tab w:val="left" w:pos="1288"/>
        </w:tabs>
        <w:ind w:left="840" w:hanging="420" w:leftChars="200" w:hangingChars="200"/>
        <w:jc w:val="left"/>
        <w:rPr>
          <w:rFonts w:ascii="宋体"/>
          <w:kern w:val="0"/>
        </w:rPr>
      </w:pPr>
      <w:r>
        <w:rPr>
          <w:rFonts w:ascii="宋体" w:hint="eastAsia"/>
          <w:kern w:val="0"/>
        </w:rPr>
        <w:t>用户信息的审核：提取用户的申请信息，审核用户的真实身份，当审核通过后，将证书签发所需要的信息提交给签发系统；</w:t>
      </w:r>
    </w:p>
    <w:p>
      <w:pPr>
        <w:tabs>
          <w:tab w:val="left" w:pos="851"/>
          <w:tab w:val="left" w:pos="1288"/>
        </w:tabs>
        <w:ind w:left="840" w:hanging="420" w:leftChars="200" w:hangingChars="200"/>
        <w:jc w:val="left"/>
        <w:rPr>
          <w:rFonts w:ascii="宋体"/>
          <w:kern w:val="0"/>
        </w:rPr>
      </w:pPr>
      <w:r>
        <w:rPr>
          <w:rFonts w:ascii="宋体" w:hint="eastAsia"/>
          <w:kern w:val="0"/>
        </w:rPr>
        <w:t>用户证书下载：用户注册管理系统提供证书下载功能，当签发系统为用户签发证书后，用户注册管理系统能够下载用户证书，并将用户证书写入指定的用户证书载体中，然后分发给用户；</w:t>
      </w:r>
    </w:p>
    <w:p>
      <w:pPr>
        <w:tabs>
          <w:tab w:val="left" w:pos="851"/>
          <w:tab w:val="left" w:pos="1288"/>
        </w:tabs>
        <w:ind w:left="840" w:hanging="420" w:leftChars="200" w:hangingChars="200"/>
        <w:jc w:val="left"/>
        <w:rPr>
          <w:rFonts w:ascii="宋体"/>
          <w:kern w:val="0"/>
        </w:rPr>
      </w:pPr>
      <w:r>
        <w:rPr>
          <w:rFonts w:ascii="宋体" w:hint="eastAsia"/>
          <w:kern w:val="0"/>
        </w:rPr>
        <w:t>安全审计：负责对用户注册管理系统的管理人员、操作人员的操作日志进行查询、统计以及报表打印等；</w:t>
      </w:r>
    </w:p>
    <w:p>
      <w:pPr>
        <w:tabs>
          <w:tab w:val="left" w:pos="851"/>
          <w:tab w:val="left" w:pos="1288"/>
        </w:tabs>
        <w:ind w:left="840" w:hanging="420" w:leftChars="200" w:hangingChars="200"/>
        <w:jc w:val="left"/>
        <w:rPr>
          <w:rFonts w:ascii="宋体"/>
          <w:kern w:val="0"/>
        </w:rPr>
      </w:pPr>
      <w:r>
        <w:rPr>
          <w:rFonts w:ascii="宋体" w:hint="eastAsia"/>
          <w:kern w:val="0"/>
        </w:rPr>
        <w:t>安全管理：对用户注册管理系统的登陆进行安全访问控制，并对用户信息数据库进行管理和备份；</w:t>
      </w:r>
    </w:p>
    <w:p>
      <w:pPr>
        <w:tabs>
          <w:tab w:val="left" w:pos="851"/>
          <w:tab w:val="left" w:pos="1288"/>
        </w:tabs>
        <w:ind w:left="840" w:hanging="420" w:leftChars="200" w:hangingChars="200"/>
        <w:jc w:val="left"/>
        <w:rPr>
          <w:rFonts w:ascii="宋体"/>
          <w:kern w:val="0"/>
        </w:rPr>
      </w:pPr>
      <w:r>
        <w:rPr>
          <w:rFonts w:ascii="宋体" w:hint="eastAsia"/>
          <w:kern w:val="0"/>
        </w:rPr>
        <w:t>多级审核：用户注册管理系统可根据需要采用分级部署的模式，对不同种类和等级的证书，可由不同级别的用户注册管理系统进行审核。用户注册管理系统应能够根据需求支持多级注册管理系统的建立和多级审核模式。</w:t>
      </w:r>
    </w:p>
    <w:p>
      <w:pPr>
        <w:ind w:firstLine="420" w:firstLineChars="200"/>
        <w:rPr>
          <w:kern w:val="0"/>
        </w:rPr>
      </w:pPr>
      <w:r>
        <w:rPr>
          <w:rFonts w:hint="eastAsia"/>
          <w:kern w:val="0"/>
        </w:rPr>
        <w:t>用户注册管理系统应具有并行处理的能力。</w:t>
      </w:r>
    </w:p>
    <w:p>
      <w:pPr>
        <w:widowControl/>
        <w:numPr>
          <w:ilvl w:val="4"/>
          <w:numId w:val="15"/>
        </w:numPr>
        <w:spacing w:before="156" w:beforeLines="50" w:after="156" w:afterLines="50"/>
        <w:jc w:val="left"/>
        <w:outlineLvl w:val="4"/>
        <w:rPr>
          <w:rFonts w:eastAsia="黑体"/>
          <w:kern w:val="0"/>
        </w:rPr>
      </w:pPr>
      <w:r>
        <w:rPr>
          <w:rFonts w:eastAsia="黑体" w:hint="eastAsia"/>
          <w:kern w:val="0"/>
        </w:rPr>
        <w:t>用户注册管理系统结构</w:t>
      </w:r>
    </w:p>
    <w:p>
      <w:pPr>
        <w:ind w:firstLine="420" w:firstLineChars="200"/>
        <w:rPr>
          <w:rFonts w:ascii="宋体" w:hAnsi="宋体"/>
          <w:kern w:val="0"/>
        </w:rPr>
      </w:pPr>
      <w:r>
        <w:rPr>
          <w:rFonts w:ascii="宋体" w:hAnsi="宋体" w:hint="eastAsia"/>
          <w:kern w:val="0"/>
        </w:rPr>
        <w:t>用户注册管理系统有本地注册管理和远程注册管理两种方式，分别由注册管理、数据库、信息录入、身份审核、证书制作、安全管理以及安全审计几部分构成。其结构如图2所示：</w:t>
      </w:r>
    </w:p>
    <w:p>
      <w:pPr>
        <w:ind w:firstLine="420" w:firstLineChars="200"/>
        <w:rPr>
          <w:kern w:val="0"/>
        </w:rPr>
      </w:pPr>
      <w:r>
        <w:rPr>
          <w:kern w:val="0"/>
        </w:rPr>
        <w:pict>
          <v:group id="_x0000_s1096" o:spid="_x0000_s1037" style="width:323pt;height:202.3pt;margin-top:23.4pt;margin-left:73.5pt;mso-height-relative:page;mso-width-relative:page;mso-wrap-distance-bottom:0;mso-wrap-distance-top:0;position:absolute;z-index:251668480" coordsize="5760,3744">
            <v:oval id="_x0000_s1097" o:spid="_x0000_s1038" style="width:2160;height:624;left:3060;position:absolute;top:1404" coordsize="21600,21600">
              <v:textbox>
                <w:txbxContent>
                  <w:p>
                    <w:r>
                      <w:rPr>
                        <w:rFonts w:hint="eastAsia"/>
                      </w:rPr>
                      <w:t>本地注册管理</w:t>
                    </w:r>
                  </w:p>
                </w:txbxContent>
              </v:textbox>
            </v:oval>
            <v:oval id="_x0000_s1098" o:spid="_x0000_s1039" style="width:2160;height:624;position:absolute;top:1404" coordsize="21600,21600">
              <v:textbox>
                <w:txbxContent>
                  <w:p>
                    <w:r>
                      <w:rPr>
                        <w:rFonts w:hint="eastAsia"/>
                      </w:rPr>
                      <w:t>远程注册管理</w:t>
                    </w:r>
                  </w:p>
                </w:txbxContent>
              </v:textbox>
            </v:oval>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1099" o:spid="_x0000_s1040" type="#_x0000_t22" style="width:900;height:780;left:4680;position:absolute" coordsize="21600,21600">
              <v:textbox>
                <w:txbxContent>
                  <w:p>
                    <w:r>
                      <w:rPr>
                        <w:rFonts w:hint="eastAsia"/>
                      </w:rPr>
                      <w:t>数据库</w:t>
                    </w:r>
                  </w:p>
                </w:txbxContent>
              </v:textbox>
            </v:shape>
            <v:shape id="_x0000_s1100" o:spid="_x0000_s1041" type="#_x0000_t202" style="width:1260;height:468;left:2520;position:absolute;top:156" coordsize="21600,21600">
              <v:stroke joinstyle="miter"/>
              <v:textbox>
                <w:txbxContent>
                  <w:p>
                    <w:r>
                      <w:rPr>
                        <w:rFonts w:hint="eastAsia"/>
                      </w:rPr>
                      <w:t>安全审计</w:t>
                    </w:r>
                  </w:p>
                </w:txbxContent>
              </v:textbox>
            </v:shape>
            <v:shape id="_x0000_s1101" o:spid="_x0000_s1042" type="#_x0000_t202" style="width:1260;height:468;left:360;position:absolute;top:156" coordsize="21600,21600">
              <v:stroke joinstyle="miter"/>
              <v:textbox>
                <w:txbxContent>
                  <w:p>
                    <w:r>
                      <w:rPr>
                        <w:rFonts w:hint="eastAsia"/>
                      </w:rPr>
                      <w:t>安全管理</w:t>
                    </w:r>
                  </w:p>
                </w:txbxContent>
              </v:textbox>
            </v:shape>
            <v:shape id="_x0000_s1102" o:spid="_x0000_s1043" type="#_x0000_t202" style="width:1260;height:468;left:180;position:absolute;top:3276" coordsize="21600,21600">
              <v:stroke joinstyle="miter"/>
              <v:textbox>
                <w:txbxContent>
                  <w:p>
                    <w:r>
                      <w:rPr>
                        <w:rFonts w:hint="eastAsia"/>
                      </w:rPr>
                      <w:t>信息录入</w:t>
                    </w:r>
                  </w:p>
                </w:txbxContent>
              </v:textbox>
            </v:shape>
            <v:shape id="_x0000_s1103" o:spid="_x0000_s1044" type="#_x0000_t202" style="width:1260;height:468;left:2520;position:absolute;top:3276" coordsize="21600,21600">
              <v:stroke joinstyle="miter"/>
              <v:textbox>
                <w:txbxContent>
                  <w:p>
                    <w:r>
                      <w:rPr>
                        <w:rFonts w:hint="eastAsia"/>
                      </w:rPr>
                      <w:t>身份审核</w:t>
                    </w:r>
                  </w:p>
                </w:txbxContent>
              </v:textbox>
            </v:shape>
            <v:shape id="_x0000_s1104" o:spid="_x0000_s1045" type="#_x0000_t202" style="width:1260;height:468;left:4500;position:absolute;top:3276" coordsize="21600,21600">
              <v:stroke joinstyle="miter"/>
              <v:textbox>
                <w:txbxContent>
                  <w:p>
                    <w:r>
                      <w:rPr>
                        <w:rFonts w:hint="eastAsia"/>
                      </w:rPr>
                      <w:t>证书制作</w:t>
                    </w:r>
                  </w:p>
                </w:txbxContent>
              </v:textbox>
            </v:shape>
            <v:line id="_x0000_s1105" o:spid="_x0000_s1046" style="flip:y;position:absolute" from="720,2028" to="720,3276" coordsize="21600,21600">
              <v:stroke endarrow="block"/>
            </v:line>
            <v:line id="_x0000_s1106" o:spid="_x0000_s1047" style="flip:y;position:absolute" from="1080,2964" to="1080,3276" coordsize="21600,21600"/>
            <v:line id="_x0000_s1107" o:spid="_x0000_s1048" style="position:absolute" from="1080,2964" to="3240,2964" coordsize="21600,21600"/>
            <v:line id="_x0000_s1108" o:spid="_x0000_s1049" style="flip:y;position:absolute" from="3240,1872" to="3240,2964" coordsize="21600,21600">
              <v:stroke endarrow="block"/>
            </v:line>
            <v:line id="_x0000_s1109" o:spid="_x0000_s1050" style="flip:y;position:absolute" from="2700,2808" to="2700,3276" coordsize="21600,21600">
              <v:stroke startarrow="block"/>
            </v:line>
            <v:line id="_x0000_s1110" o:spid="_x0000_s1051" style="flip:x;position:absolute" from="1080,2808" to="2700,2808" coordsize="21600,21600"/>
            <v:line id="_x0000_s1111" o:spid="_x0000_s1052" style="flip:y;position:absolute" from="1080,2028" to="1080,2808" coordsize="21600,21600">
              <v:stroke endarrow="block"/>
            </v:line>
            <v:line id="_x0000_s1112" o:spid="_x0000_s1053" style="flip:y;position:absolute" from="3600,2028" to="3600,3276" coordsize="21600,21600">
              <v:stroke startarrow="block" endarrow="block"/>
            </v:line>
            <v:line id="_x0000_s1113" o:spid="_x0000_s1054" style="position:absolute" from="1440,2028" to="1440,2652" coordsize="21600,21600"/>
            <v:line id="_x0000_s1114" o:spid="_x0000_s1055" style="position:absolute" from="1440,2652" to="4680,2652" coordsize="21600,21600"/>
            <v:line id="_x0000_s1115" o:spid="_x0000_s1056" style="position:absolute" from="4680,2652" to="4680,3276" coordsize="21600,21600">
              <v:stroke endarrow="block"/>
            </v:line>
            <v:line id="_x0000_s1116" o:spid="_x0000_s1057" style="position:absolute" from="5040,1872" to="5040,3276" coordsize="21600,21600">
              <v:stroke endarrow="block"/>
            </v:line>
            <v:line id="_x0000_s1117" o:spid="_x0000_s1058" style="position:absolute" from="720,624" to="720,1404" coordsize="21600,21600">
              <v:stroke startarrow="block" endarrow="block"/>
            </v:line>
            <v:line id="_x0000_s1118" o:spid="_x0000_s1059" style="position:absolute" from="1080,936" to="1080,1404" coordsize="21600,21600"/>
            <v:line id="_x0000_s1119" o:spid="_x0000_s1060" style="position:absolute" from="1080,936" to="2700,936" coordsize="21600,21600"/>
            <v:line id="_x0000_s1120" o:spid="_x0000_s1061" style="flip:y;position:absolute" from="2700,624" to="2700,936" coordsize="21600,21600">
              <v:stroke endarrow="block"/>
            </v:line>
            <v:line id="_x0000_s1121" o:spid="_x0000_s1062" style="flip:y;position:absolute" from="1440,1092" to="1440,1404" coordsize="21600,21600"/>
            <v:line id="_x0000_s1122" o:spid="_x0000_s1063" style="flip:y;position:absolute" from="1440,1092" to="4860,1092" coordsize="21600,21600"/>
            <v:line id="_x0000_s1123" o:spid="_x0000_s1064" style="flip:y;position:absolute" from="4860,780" to="4860,1092" coordsize="21600,21600">
              <v:stroke endarrow="block"/>
            </v:line>
            <v:line id="_x0000_s1124" o:spid="_x0000_s1065" style="flip:x;position:absolute" from="1620,468" to="1980,468" coordsize="21600,21600">
              <v:stroke endarrow="block"/>
            </v:line>
            <v:line id="_x0000_s1125" o:spid="_x0000_s1066" style="position:absolute" from="1980,468" to="1980,1248" coordsize="21600,21600"/>
            <v:line id="_x0000_s1126" o:spid="_x0000_s1067" style="position:absolute" from="1980,1248" to="3240,1248" coordsize="21600,21600"/>
            <v:line id="_x0000_s1127" o:spid="_x0000_s1068" style="position:absolute" from="3240,1248" to="3240,1560" coordsize="21600,21600">
              <v:stroke endarrow="block"/>
            </v:line>
            <v:line id="_x0000_s1128" o:spid="_x0000_s1069" style="flip:y;position:absolute" from="3600,624" to="3600,1404" coordsize="21600,21600">
              <v:stroke endarrow="block"/>
            </v:line>
            <v:line id="_x0000_s1129" o:spid="_x0000_s1070" style="flip:y;position:absolute" from="5040,780" to="5040,1560" coordsize="21600,21600">
              <v:stroke endarrow="block"/>
            </v:line>
            <w10:wrap type="topAndBottom"/>
          </v:group>
        </w:pict>
      </w:r>
    </w:p>
    <w:p>
      <w:pPr>
        <w:rPr>
          <w:szCs w:val="24"/>
        </w:rPr>
      </w:pPr>
    </w:p>
    <w:p>
      <w:pPr>
        <w:widowControl/>
        <w:numPr>
          <w:ilvl w:val="0"/>
          <w:numId w:val="14"/>
        </w:numPr>
        <w:ind w:left="0" w:firstLine="0"/>
        <w:jc w:val="center"/>
        <w:rPr>
          <w:rFonts w:ascii="黑体" w:eastAsia="黑体"/>
          <w:kern w:val="0"/>
        </w:rPr>
      </w:pPr>
      <w:bookmarkStart w:id="211" w:name="_Toc99780059"/>
      <w:bookmarkStart w:id="212" w:name="_Toc99780456"/>
      <w:bookmarkStart w:id="213" w:name="_Toc286827953"/>
      <w:r>
        <w:rPr>
          <w:rFonts w:ascii="黑体" w:eastAsia="黑体" w:hint="eastAsia"/>
          <w:kern w:val="0"/>
        </w:rPr>
        <w:t>图2 用户注册管理系统逻辑结构</w:t>
      </w:r>
      <w:bookmarkEnd w:id="211"/>
      <w:bookmarkEnd w:id="212"/>
      <w:bookmarkEnd w:id="213"/>
    </w:p>
    <w:p>
      <w:pPr>
        <w:widowControl/>
        <w:numPr>
          <w:ilvl w:val="4"/>
          <w:numId w:val="15"/>
        </w:numPr>
        <w:spacing w:before="156" w:beforeLines="50" w:after="156" w:afterLines="50"/>
        <w:jc w:val="left"/>
        <w:outlineLvl w:val="4"/>
        <w:rPr>
          <w:rFonts w:eastAsia="黑体"/>
          <w:kern w:val="0"/>
        </w:rPr>
      </w:pPr>
      <w:bookmarkStart w:id="214" w:name="_Toc99550863"/>
      <w:bookmarkStart w:id="215" w:name="_Toc171049705"/>
      <w:bookmarkStart w:id="216" w:name="_Toc26929606"/>
      <w:r>
        <w:rPr>
          <w:rFonts w:eastAsia="黑体" w:hint="eastAsia"/>
          <w:kern w:val="0"/>
        </w:rPr>
        <w:t>证书/证书撤销列表生成与签发系统设计</w:t>
      </w:r>
      <w:bookmarkEnd w:id="214"/>
      <w:bookmarkEnd w:id="215"/>
      <w:bookmarkEnd w:id="216"/>
    </w:p>
    <w:p>
      <w:pPr>
        <w:widowControl/>
        <w:numPr>
          <w:ilvl w:val="4"/>
          <w:numId w:val="15"/>
        </w:numPr>
        <w:spacing w:before="156" w:beforeLines="50" w:after="156" w:afterLines="50"/>
        <w:jc w:val="left"/>
        <w:outlineLvl w:val="4"/>
        <w:rPr>
          <w:rFonts w:eastAsia="黑体"/>
          <w:kern w:val="0"/>
        </w:rPr>
      </w:pPr>
      <w:r>
        <w:rPr>
          <w:rFonts w:eastAsia="黑体" w:hint="eastAsia"/>
          <w:kern w:val="0"/>
        </w:rPr>
        <w:t>证书/证书撤销列表生成与签发系统功能</w:t>
      </w:r>
    </w:p>
    <w:p>
      <w:pPr>
        <w:ind w:firstLine="420" w:firstLineChars="200"/>
        <w:rPr>
          <w:rFonts w:ascii="宋体" w:hAnsi="宋体"/>
          <w:kern w:val="0"/>
        </w:rPr>
      </w:pPr>
      <w:r>
        <w:rPr>
          <w:rFonts w:ascii="宋体" w:hAnsi="宋体" w:hint="eastAsia"/>
          <w:kern w:val="0"/>
        </w:rPr>
        <w:t>证书/证书撤销列表生成与签发系统是证书认证系统的核心，不仅为整个证书认证系统提供签发证书/证书撤销列表的服务，还承担整个证书认证系统中主要的安全管理工作。</w:t>
      </w:r>
    </w:p>
    <w:p>
      <w:pPr>
        <w:ind w:firstLine="420" w:firstLineChars="200"/>
        <w:rPr>
          <w:rFonts w:ascii="宋体" w:hAnsi="宋体"/>
          <w:kern w:val="0"/>
        </w:rPr>
        <w:sectPr>
          <w:headerReference w:type="even" r:id="rId46"/>
          <w:headerReference w:type="default" r:id="rId47"/>
          <w:footerReference w:type="even" r:id="rId48"/>
          <w:footerReference w:type="default" r:id="rId49"/>
          <w:type w:val="nextPage"/>
          <w:pgSz w:w="11907" w:h="16839"/>
          <w:pgMar w:top="1418" w:right="1134" w:bottom="1134" w:left="1418" w:header="907" w:footer="851" w:gutter="0"/>
          <w:pgNumType w:start="8"/>
          <w:cols w:num="1" w:space="720"/>
          <w:titlePg w:val="0"/>
          <w:docGrid w:type="linesAndChars" w:linePitch="312" w:charSpace="0"/>
        </w:sectPr>
      </w:pPr>
      <w:r>
        <w:rPr>
          <w:rFonts w:ascii="宋体" w:hAnsi="宋体" w:hint="eastAsia"/>
          <w:kern w:val="0"/>
        </w:rPr>
        <w:t>其主要功能如下：</w:t>
      </w:r>
    </w:p>
    <w:p>
      <w:pPr>
        <w:tabs>
          <w:tab w:val="left" w:pos="1140"/>
          <w:tab w:val="left" w:pos="1288"/>
        </w:tabs>
        <w:ind w:left="820" w:hanging="400"/>
        <w:jc w:val="left"/>
        <w:rPr>
          <w:rFonts w:ascii="宋体"/>
          <w:kern w:val="0"/>
        </w:rPr>
      </w:pPr>
      <w:r>
        <w:rPr>
          <w:rFonts w:ascii="宋体" w:hint="eastAsia"/>
          <w:kern w:val="0"/>
        </w:rPr>
        <w:t>证书生成与签发：从数据库中读取与核对用户信息，根据拟签发的证书类型向密钥管理中心申请加密密钥对，生成用户的签名证书和加密证书，将签发完成的证书发布到目录服务器和数据库中。根据系统的配置和管理策略，不同种类或用途的证书可以采用不同的签名密钥；</w:t>
      </w:r>
    </w:p>
    <w:p>
      <w:pPr>
        <w:tabs>
          <w:tab w:val="left" w:pos="851"/>
          <w:tab w:val="left" w:pos="1288"/>
        </w:tabs>
        <w:ind w:left="840" w:hanging="420" w:leftChars="200" w:hangingChars="200"/>
        <w:jc w:val="left"/>
        <w:rPr>
          <w:rFonts w:ascii="宋体" w:hAnsi="宋体"/>
          <w:kern w:val="0"/>
        </w:rPr>
      </w:pPr>
      <w:r>
        <w:rPr>
          <w:rFonts w:ascii="宋体" w:hAnsi="宋体" w:hint="eastAsia"/>
          <w:kern w:val="0"/>
        </w:rPr>
        <w:t>证书更新：系统应提供</w:t>
      </w:r>
      <w:r>
        <w:rPr>
          <w:rFonts w:ascii="宋体" w:hAnsi="宋体"/>
          <w:kern w:val="0"/>
        </w:rPr>
        <w:t>CA证书及用户证书的更新功能；</w:t>
      </w:r>
    </w:p>
    <w:p>
      <w:pPr>
        <w:tabs>
          <w:tab w:val="left" w:pos="851"/>
          <w:tab w:val="left" w:pos="1288"/>
        </w:tabs>
        <w:ind w:left="840" w:hanging="420" w:leftChars="200" w:hangingChars="200"/>
        <w:jc w:val="left"/>
        <w:rPr>
          <w:rFonts w:ascii="宋体" w:hAnsi="宋体"/>
          <w:kern w:val="0"/>
        </w:rPr>
      </w:pPr>
      <w:r>
        <w:rPr>
          <w:rFonts w:ascii="宋体" w:hAnsi="宋体" w:hint="eastAsia"/>
          <w:kern w:val="0"/>
        </w:rPr>
        <w:t>证书撤销列表生成与签发：接收注销信息，验证注销信息中的签名，然后签发证书撤销列表，将签发后的注销列表发布到数据库或目录服务器中。签发证书撤销列表的签名密钥可以与签发证书的签名密钥相同或不同；</w:t>
      </w:r>
    </w:p>
    <w:p>
      <w:pPr>
        <w:tabs>
          <w:tab w:val="left" w:pos="851"/>
          <w:tab w:val="left" w:pos="1288"/>
        </w:tabs>
        <w:ind w:left="840" w:hanging="420" w:leftChars="200" w:hangingChars="200"/>
        <w:jc w:val="left"/>
        <w:rPr>
          <w:rFonts w:ascii="宋体" w:hAnsi="宋体"/>
          <w:kern w:val="0"/>
        </w:rPr>
      </w:pPr>
      <w:r>
        <w:rPr>
          <w:rFonts w:ascii="宋体" w:hAnsi="宋体" w:hint="eastAsia"/>
          <w:kern w:val="0"/>
        </w:rPr>
        <w:t>安全审计：负责对证书</w:t>
      </w:r>
      <w:r>
        <w:rPr>
          <w:rFonts w:ascii="宋体" w:hAnsi="宋体"/>
          <w:kern w:val="0"/>
        </w:rPr>
        <w:t>/证书撤销列表生成与签发系统的管理人员、操作人员的操作日志进行查询、统计以及报表打印等；</w:t>
      </w:r>
    </w:p>
    <w:p>
      <w:pPr>
        <w:tabs>
          <w:tab w:val="left" w:pos="851"/>
          <w:tab w:val="left" w:pos="1288"/>
        </w:tabs>
        <w:ind w:left="840" w:hanging="420" w:leftChars="200" w:hangingChars="200"/>
        <w:jc w:val="left"/>
        <w:rPr>
          <w:rFonts w:ascii="宋体" w:hAnsi="宋体"/>
          <w:kern w:val="0"/>
        </w:rPr>
      </w:pPr>
      <w:r>
        <w:rPr>
          <w:rFonts w:ascii="宋体" w:hAnsi="宋体" w:hint="eastAsia"/>
          <w:kern w:val="0"/>
        </w:rPr>
        <w:t>安全管理：对证书</w:t>
      </w:r>
      <w:r>
        <w:rPr>
          <w:rFonts w:ascii="宋体" w:hAnsi="宋体"/>
          <w:kern w:val="0"/>
        </w:rPr>
        <w:t>/证书撤销列表生成与签发系统的登录进行安全访问控制，并对证书/证书撤销列表数据库进行管理和备份；设置管理员、操作员，并为这些人员申请和下载数字证书；配置不同的密码设备；配置不同的证书模板。</w:t>
      </w:r>
    </w:p>
    <w:p>
      <w:pPr>
        <w:ind w:firstLine="420" w:firstLineChars="200"/>
        <w:rPr>
          <w:rFonts w:ascii="宋体" w:hAnsi="宋体"/>
          <w:kern w:val="0"/>
        </w:rPr>
      </w:pPr>
      <w:r>
        <w:rPr>
          <w:rFonts w:ascii="宋体" w:hAnsi="宋体" w:hint="eastAsia"/>
          <w:kern w:val="0"/>
        </w:rPr>
        <w:t>证书/证书撤销列表生成与签发系统应具有并行处理的能力。</w:t>
      </w:r>
    </w:p>
    <w:p>
      <w:pPr>
        <w:widowControl/>
        <w:numPr>
          <w:ilvl w:val="4"/>
          <w:numId w:val="15"/>
        </w:numPr>
        <w:spacing w:before="156" w:beforeLines="50" w:after="156" w:afterLines="50"/>
        <w:jc w:val="left"/>
        <w:outlineLvl w:val="4"/>
        <w:rPr>
          <w:rFonts w:eastAsia="黑体"/>
          <w:kern w:val="0"/>
        </w:rPr>
      </w:pPr>
      <w:r>
        <w:rPr>
          <w:rFonts w:eastAsia="黑体" w:hint="eastAsia"/>
          <w:kern w:val="0"/>
        </w:rPr>
        <w:t>证书/证书撤销列表生成与签发系统结构</w:t>
      </w:r>
    </w:p>
    <w:p>
      <w:pPr>
        <w:ind w:firstLine="420" w:firstLineChars="200"/>
        <w:rPr>
          <w:rFonts w:ascii="宋体" w:hAnsi="宋体"/>
          <w:kern w:val="0"/>
        </w:rPr>
      </w:pPr>
      <w:r>
        <w:rPr>
          <w:rFonts w:ascii="宋体" w:hAnsi="宋体" w:hint="eastAsia"/>
          <w:kern w:val="0"/>
        </w:rPr>
        <w:t>证书/证书撤销列表生成与签发系统由证书/证书撤销列表生成与签发模块、安全管理模块、安全审计模块、数据库、目录服务器以及密码设备等组成。</w:t>
      </w:r>
    </w:p>
    <w:p>
      <w:pPr>
        <w:widowControl/>
        <w:numPr>
          <w:ilvl w:val="0"/>
          <w:numId w:val="17"/>
        </w:numPr>
        <w:autoSpaceDE w:val="0"/>
        <w:autoSpaceDN w:val="0"/>
        <w:jc w:val="left"/>
        <w:rPr>
          <w:rFonts w:ascii="宋体" w:hAnsi="宋体"/>
          <w:kern w:val="0"/>
        </w:rPr>
      </w:pPr>
      <w:r>
        <w:rPr>
          <w:rFonts w:ascii="宋体" w:hAnsi="宋体" w:hint="eastAsia"/>
          <w:kern w:val="0"/>
        </w:rPr>
        <w:t>证书/证书撤销列表生成与签发</w:t>
      </w:r>
    </w:p>
    <w:p>
      <w:pPr>
        <w:ind w:firstLine="420" w:firstLineChars="200"/>
        <w:rPr>
          <w:rFonts w:ascii="宋体" w:hAnsi="宋体"/>
          <w:kern w:val="0"/>
        </w:rPr>
      </w:pPr>
      <w:r>
        <w:rPr>
          <w:rFonts w:ascii="宋体" w:hAnsi="宋体" w:hint="eastAsia"/>
          <w:kern w:val="0"/>
        </w:rPr>
        <w:t>主要功能包括证书的生成与签发和CRL/ARL的生成与签发。</w:t>
      </w:r>
    </w:p>
    <w:p>
      <w:pPr>
        <w:widowControl/>
        <w:numPr>
          <w:ilvl w:val="0"/>
          <w:numId w:val="18"/>
        </w:numPr>
        <w:jc w:val="left"/>
        <w:rPr>
          <w:rFonts w:ascii="宋体" w:hAnsi="宋体"/>
          <w:kern w:val="0"/>
        </w:rPr>
      </w:pPr>
      <w:r>
        <w:rPr>
          <w:rFonts w:ascii="宋体" w:hAnsi="宋体" w:hint="eastAsia"/>
          <w:kern w:val="0"/>
        </w:rPr>
        <w:t>证书的生成/签发</w:t>
      </w:r>
    </w:p>
    <w:p>
      <w:pPr>
        <w:ind w:firstLine="420" w:firstLineChars="200"/>
        <w:rPr>
          <w:rFonts w:ascii="宋体" w:hAnsi="宋体"/>
          <w:kern w:val="0"/>
        </w:rPr>
      </w:pPr>
      <w:r>
        <w:rPr>
          <w:rFonts w:ascii="宋体" w:hAnsi="宋体" w:hint="eastAsia"/>
          <w:kern w:val="0"/>
        </w:rPr>
        <w:t>根据接收的请求信息，从数据库中提取用户的信息，向密钥管理中心申请加密密钥对，然后生成并签发签名证书和加密证书，签发的证书和加密证书的私钥通过证书管理系统下传给申请者，同时将证书发布到数据库和目录服务器中。在此过程中，必须保证私钥传递的安全。</w:t>
      </w:r>
    </w:p>
    <w:p>
      <w:pPr>
        <w:widowControl/>
        <w:numPr>
          <w:ilvl w:val="0"/>
          <w:numId w:val="18"/>
        </w:numPr>
        <w:jc w:val="left"/>
        <w:rPr>
          <w:rFonts w:ascii="宋体" w:hAnsi="宋体"/>
          <w:kern w:val="0"/>
        </w:rPr>
      </w:pPr>
      <w:r>
        <w:rPr>
          <w:rFonts w:ascii="宋体" w:hAnsi="宋体" w:hint="eastAsia"/>
          <w:kern w:val="0"/>
        </w:rPr>
        <w:t>证书撤销列表的生成/签发</w:t>
      </w:r>
    </w:p>
    <w:p>
      <w:pPr>
        <w:ind w:firstLine="420" w:firstLineChars="200"/>
        <w:rPr>
          <w:rFonts w:ascii="宋体" w:hAnsi="宋体"/>
          <w:kern w:val="0"/>
        </w:rPr>
      </w:pPr>
      <w:r>
        <w:rPr>
          <w:rFonts w:ascii="宋体" w:hAnsi="宋体" w:hint="eastAsia"/>
          <w:kern w:val="0"/>
        </w:rPr>
        <w:t>首先验证申请信息中的数字签名和相关数据，然后签发证书撤销列表，并将证书撤销列表发布到目录服务器或数据库指定的位置。</w:t>
      </w:r>
    </w:p>
    <w:p>
      <w:pPr>
        <w:widowControl/>
        <w:numPr>
          <w:ilvl w:val="0"/>
          <w:numId w:val="17"/>
        </w:numPr>
        <w:autoSpaceDE w:val="0"/>
        <w:autoSpaceDN w:val="0"/>
        <w:jc w:val="left"/>
        <w:rPr>
          <w:rFonts w:ascii="宋体" w:hAnsi="宋体"/>
          <w:kern w:val="0"/>
        </w:rPr>
      </w:pPr>
      <w:r>
        <w:rPr>
          <w:rFonts w:ascii="宋体" w:hAnsi="宋体" w:hint="eastAsia"/>
          <w:kern w:val="0"/>
        </w:rPr>
        <w:t>密码设备</w:t>
      </w:r>
    </w:p>
    <w:p>
      <w:pPr>
        <w:ind w:firstLine="420" w:firstLineChars="200"/>
        <w:rPr>
          <w:rFonts w:ascii="宋体" w:hAnsi="宋体"/>
          <w:kern w:val="0"/>
        </w:rPr>
      </w:pPr>
      <w:r>
        <w:rPr>
          <w:rFonts w:ascii="宋体" w:hAnsi="宋体" w:hint="eastAsia"/>
          <w:kern w:val="0"/>
        </w:rPr>
        <w:t>密码设备完成签名以及验证工作，并负责与其它系统通信过程中的密码运算，CA的签名密钥保存在密码设备中。在进行上述工作中，必须保证所使用的密钥不能以明文形式被读出密码设备。</w:t>
      </w:r>
    </w:p>
    <w:p>
      <w:pPr>
        <w:widowControl/>
        <w:numPr>
          <w:ilvl w:val="0"/>
          <w:numId w:val="17"/>
        </w:numPr>
        <w:autoSpaceDE w:val="0"/>
        <w:autoSpaceDN w:val="0"/>
        <w:jc w:val="left"/>
        <w:rPr>
          <w:rFonts w:ascii="宋体" w:hAnsi="宋体"/>
          <w:kern w:val="0"/>
        </w:rPr>
      </w:pPr>
      <w:r>
        <w:rPr>
          <w:rFonts w:ascii="宋体" w:hAnsi="宋体" w:hint="eastAsia"/>
          <w:kern w:val="0"/>
        </w:rPr>
        <w:t>安全管理</w:t>
      </w:r>
    </w:p>
    <w:p>
      <w:pPr>
        <w:ind w:firstLine="420" w:firstLineChars="200"/>
        <w:rPr>
          <w:rFonts w:ascii="宋体" w:hAnsi="宋体"/>
          <w:kern w:val="0"/>
        </w:rPr>
      </w:pPr>
      <w:r>
        <w:rPr>
          <w:rFonts w:ascii="宋体" w:hAnsi="宋体" w:hint="eastAsia"/>
          <w:kern w:val="0"/>
        </w:rPr>
        <w:t>主要包括：</w:t>
      </w:r>
    </w:p>
    <w:p>
      <w:pPr>
        <w:widowControl/>
        <w:numPr>
          <w:ilvl w:val="0"/>
          <w:numId w:val="19"/>
        </w:numPr>
        <w:jc w:val="left"/>
        <w:rPr>
          <w:rFonts w:ascii="宋体" w:hAnsi="宋体"/>
          <w:kern w:val="0"/>
        </w:rPr>
      </w:pPr>
      <w:r>
        <w:rPr>
          <w:rFonts w:ascii="宋体" w:hAnsi="宋体" w:hint="eastAsia"/>
          <w:kern w:val="0"/>
        </w:rPr>
        <w:t>证书模板配置：不同的证书种类由不同的证书模板确定，证书模板包括相应种类证书的基本项和证书的扩展项；</w:t>
      </w:r>
    </w:p>
    <w:p>
      <w:pPr>
        <w:widowControl/>
        <w:numPr>
          <w:ilvl w:val="0"/>
          <w:numId w:val="19"/>
        </w:numPr>
        <w:jc w:val="left"/>
        <w:rPr>
          <w:rFonts w:ascii="宋体" w:hAnsi="宋体"/>
          <w:kern w:val="0"/>
        </w:rPr>
      </w:pPr>
      <w:r>
        <w:rPr>
          <w:rFonts w:ascii="宋体" w:hAnsi="宋体" w:hint="eastAsia"/>
          <w:kern w:val="0"/>
        </w:rPr>
        <w:t>CRL发布策略配置：配置CRL的发布策略，包括自动/人工发布模式选择、发布时间间隔；</w:t>
      </w:r>
    </w:p>
    <w:p>
      <w:pPr>
        <w:widowControl/>
        <w:numPr>
          <w:ilvl w:val="0"/>
          <w:numId w:val="19"/>
        </w:numPr>
        <w:jc w:val="left"/>
        <w:rPr>
          <w:rFonts w:ascii="宋体" w:hAnsi="宋体"/>
          <w:kern w:val="0"/>
        </w:rPr>
      </w:pPr>
      <w:r>
        <w:rPr>
          <w:rFonts w:ascii="宋体" w:hAnsi="宋体" w:hint="eastAsia"/>
          <w:kern w:val="0"/>
        </w:rPr>
        <w:t>进行CA密钥的更新；</w:t>
      </w:r>
    </w:p>
    <w:p>
      <w:pPr>
        <w:widowControl/>
        <w:numPr>
          <w:ilvl w:val="0"/>
          <w:numId w:val="19"/>
        </w:numPr>
        <w:jc w:val="left"/>
        <w:rPr>
          <w:rFonts w:ascii="宋体" w:hAnsi="宋体"/>
          <w:kern w:val="0"/>
        </w:rPr>
      </w:pPr>
      <w:r>
        <w:rPr>
          <w:rFonts w:ascii="宋体" w:hAnsi="宋体" w:hint="eastAsia"/>
          <w:kern w:val="0"/>
        </w:rPr>
        <w:t>进行证书的备份和归档；</w:t>
      </w:r>
    </w:p>
    <w:p>
      <w:pPr>
        <w:widowControl/>
        <w:numPr>
          <w:ilvl w:val="0"/>
          <w:numId w:val="19"/>
        </w:numPr>
        <w:jc w:val="left"/>
        <w:rPr>
          <w:rFonts w:ascii="宋体" w:hAnsi="宋体"/>
          <w:kern w:val="0"/>
        </w:rPr>
      </w:pPr>
      <w:r>
        <w:rPr>
          <w:rFonts w:ascii="宋体" w:hAnsi="宋体" w:hint="eastAsia"/>
          <w:kern w:val="0"/>
        </w:rPr>
        <w:t>进行服务器安全配置，包括服务器可接受的主机访问列表；</w:t>
      </w:r>
    </w:p>
    <w:p>
      <w:pPr>
        <w:widowControl/>
        <w:numPr>
          <w:ilvl w:val="0"/>
          <w:numId w:val="19"/>
        </w:numPr>
        <w:jc w:val="left"/>
        <w:rPr>
          <w:rFonts w:ascii="宋体" w:hAnsi="宋体"/>
          <w:kern w:val="0"/>
        </w:rPr>
      </w:pPr>
      <w:r>
        <w:rPr>
          <w:rFonts w:ascii="宋体" w:hAnsi="宋体" w:hint="eastAsia"/>
          <w:kern w:val="0"/>
        </w:rPr>
        <w:t>为其它子系统定义管理员以及为这些管理员签发数字证书；</w:t>
      </w:r>
    </w:p>
    <w:p>
      <w:pPr>
        <w:widowControl/>
        <w:numPr>
          <w:ilvl w:val="0"/>
          <w:numId w:val="19"/>
        </w:numPr>
        <w:jc w:val="left"/>
        <w:rPr>
          <w:rFonts w:ascii="宋体" w:hAnsi="宋体"/>
          <w:kern w:val="0"/>
        </w:rPr>
      </w:pPr>
      <w:r>
        <w:rPr>
          <w:rFonts w:ascii="宋体" w:hAnsi="宋体" w:hint="eastAsia"/>
          <w:kern w:val="0"/>
        </w:rPr>
        <w:t>数据库系统的配置：数据源的选择，数据库连接的用户名和口令设置。</w:t>
      </w:r>
    </w:p>
    <w:p>
      <w:pPr>
        <w:widowControl/>
        <w:numPr>
          <w:ilvl w:val="0"/>
          <w:numId w:val="17"/>
        </w:numPr>
        <w:autoSpaceDE w:val="0"/>
        <w:autoSpaceDN w:val="0"/>
        <w:jc w:val="left"/>
        <w:rPr>
          <w:rFonts w:ascii="宋体" w:hAnsi="宋体"/>
          <w:kern w:val="0"/>
        </w:rPr>
      </w:pPr>
      <w:r>
        <w:rPr>
          <w:rFonts w:ascii="宋体" w:hAnsi="宋体" w:hint="eastAsia"/>
          <w:kern w:val="0"/>
        </w:rPr>
        <w:t>安全审计</w:t>
      </w:r>
    </w:p>
    <w:p>
      <w:pPr>
        <w:ind w:firstLine="420" w:firstLineChars="200"/>
        <w:rPr>
          <w:rFonts w:ascii="宋体" w:hAnsi="宋体"/>
          <w:kern w:val="0"/>
        </w:rPr>
      </w:pPr>
      <w:r>
        <w:rPr>
          <w:rFonts w:ascii="宋体" w:hAnsi="宋体" w:hint="eastAsia"/>
          <w:kern w:val="0"/>
        </w:rPr>
        <w:t>查询证书/证书撤销列表生成与签发系统中的安全审计日志，并进行统计与打印。</w:t>
      </w:r>
    </w:p>
    <w:p>
      <w:pPr>
        <w:widowControl/>
        <w:numPr>
          <w:ilvl w:val="3"/>
          <w:numId w:val="15"/>
        </w:numPr>
        <w:spacing w:before="156" w:beforeLines="50" w:after="156" w:afterLines="50"/>
        <w:jc w:val="left"/>
        <w:outlineLvl w:val="3"/>
        <w:rPr>
          <w:rFonts w:eastAsia="黑体"/>
          <w:kern w:val="0"/>
        </w:rPr>
      </w:pPr>
      <w:bookmarkStart w:id="217" w:name="_Toc26929607"/>
      <w:bookmarkStart w:id="218" w:name="_Toc99550864"/>
      <w:bookmarkStart w:id="219" w:name="_Toc171049706"/>
      <w:r>
        <w:rPr>
          <w:rFonts w:eastAsia="黑体" w:hint="eastAsia"/>
          <w:kern w:val="0"/>
        </w:rPr>
        <w:t>证书/证书撤销列表存储发布系统设计</w:t>
      </w:r>
      <w:bookmarkEnd w:id="217"/>
      <w:bookmarkEnd w:id="218"/>
      <w:bookmarkEnd w:id="219"/>
    </w:p>
    <w:p>
      <w:pPr>
        <w:widowControl/>
        <w:numPr>
          <w:ilvl w:val="4"/>
          <w:numId w:val="15"/>
        </w:numPr>
        <w:spacing w:before="156" w:beforeLines="50" w:after="156" w:afterLines="50"/>
        <w:jc w:val="left"/>
        <w:outlineLvl w:val="4"/>
        <w:rPr>
          <w:rFonts w:eastAsia="黑体"/>
          <w:kern w:val="0"/>
        </w:rPr>
      </w:pPr>
      <w:r>
        <w:rPr>
          <w:rFonts w:eastAsia="黑体" w:hint="eastAsia"/>
          <w:kern w:val="0"/>
        </w:rPr>
        <w:t>证书/证书撤销列表存储发布系统功能</w:t>
      </w:r>
    </w:p>
    <w:p>
      <w:pPr>
        <w:ind w:firstLine="420" w:firstLineChars="200"/>
        <w:rPr>
          <w:rFonts w:ascii="宋体" w:hAnsi="宋体"/>
          <w:kern w:val="0"/>
        </w:rPr>
        <w:sectPr>
          <w:headerReference w:type="even" r:id="rId50"/>
          <w:headerReference w:type="default" r:id="rId51"/>
          <w:footerReference w:type="even" r:id="rId52"/>
          <w:footerReference w:type="default" r:id="rId53"/>
          <w:type w:val="nextPage"/>
          <w:pgSz w:w="11907" w:h="16839"/>
          <w:pgMar w:top="1418" w:right="1134" w:bottom="1134" w:left="1418" w:header="907" w:footer="851" w:gutter="0"/>
          <w:pgNumType w:start="9"/>
          <w:cols w:num="1" w:space="720"/>
          <w:titlePg w:val="0"/>
          <w:docGrid w:type="linesAndChars" w:linePitch="312" w:charSpace="0"/>
        </w:sectPr>
      </w:pPr>
    </w:p>
    <w:p>
      <w:pPr>
        <w:ind w:firstLine="420" w:firstLineChars="200"/>
        <w:rPr>
          <w:rFonts w:ascii="宋体" w:hAnsi="宋体"/>
          <w:kern w:val="0"/>
        </w:rPr>
      </w:pPr>
      <w:r>
        <w:rPr>
          <w:rFonts w:ascii="宋体" w:hAnsi="宋体" w:hint="eastAsia"/>
          <w:kern w:val="0"/>
        </w:rPr>
        <w:t>证书/证书撤销列表存储发布系统负责证书和证书撤销列表的存储与发布，是证书认证系统的基础组成部分。证书的存储和发布必须采用数据库、目录服务器或其中之一。</w:t>
      </w:r>
    </w:p>
    <w:p>
      <w:pPr>
        <w:ind w:firstLine="420" w:firstLineChars="200"/>
        <w:rPr>
          <w:rFonts w:ascii="宋体" w:hAnsi="宋体"/>
          <w:kern w:val="0"/>
        </w:rPr>
      </w:pPr>
      <w:r>
        <w:rPr>
          <w:rFonts w:ascii="宋体" w:hAnsi="宋体" w:hint="eastAsia"/>
          <w:kern w:val="0"/>
        </w:rPr>
        <w:t>该系统主要功能如下：</w:t>
      </w:r>
    </w:p>
    <w:p>
      <w:pPr>
        <w:tabs>
          <w:tab w:val="left" w:pos="851"/>
          <w:tab w:val="left" w:pos="1288"/>
        </w:tabs>
        <w:ind w:left="840" w:hanging="420" w:leftChars="200" w:hangingChars="200"/>
        <w:jc w:val="left"/>
        <w:rPr>
          <w:rFonts w:ascii="宋体" w:hAnsi="宋体"/>
          <w:kern w:val="0"/>
        </w:rPr>
      </w:pPr>
      <w:r>
        <w:rPr>
          <w:rFonts w:ascii="宋体" w:hAnsi="宋体" w:hint="eastAsia"/>
          <w:kern w:val="0"/>
        </w:rPr>
        <w:t>证书存储；</w:t>
      </w:r>
    </w:p>
    <w:p>
      <w:pPr>
        <w:tabs>
          <w:tab w:val="left" w:pos="851"/>
          <w:tab w:val="left" w:pos="1288"/>
        </w:tabs>
        <w:ind w:left="840" w:hanging="420" w:leftChars="200" w:hangingChars="200"/>
        <w:jc w:val="left"/>
        <w:rPr>
          <w:rFonts w:ascii="宋体" w:hAnsi="宋体"/>
          <w:kern w:val="0"/>
        </w:rPr>
      </w:pPr>
      <w:r>
        <w:rPr>
          <w:rFonts w:ascii="宋体" w:hAnsi="宋体" w:hint="eastAsia"/>
          <w:kern w:val="0"/>
        </w:rPr>
        <w:t>证书撤销列表存储；</w:t>
      </w:r>
    </w:p>
    <w:p>
      <w:pPr>
        <w:tabs>
          <w:tab w:val="left" w:pos="851"/>
          <w:tab w:val="left" w:pos="1288"/>
        </w:tabs>
        <w:ind w:left="840" w:hanging="420" w:leftChars="200" w:hangingChars="200"/>
        <w:jc w:val="left"/>
        <w:rPr>
          <w:rFonts w:ascii="宋体" w:hAnsi="宋体"/>
          <w:kern w:val="0"/>
        </w:rPr>
      </w:pPr>
      <w:r>
        <w:rPr>
          <w:rFonts w:ascii="宋体" w:hAnsi="宋体" w:hint="eastAsia"/>
          <w:kern w:val="0"/>
        </w:rPr>
        <w:t>证书和CRL发布；</w:t>
      </w:r>
    </w:p>
    <w:p>
      <w:pPr>
        <w:tabs>
          <w:tab w:val="left" w:pos="851"/>
          <w:tab w:val="left" w:pos="1288"/>
        </w:tabs>
        <w:ind w:left="840" w:hanging="420" w:leftChars="200" w:hangingChars="200"/>
        <w:jc w:val="left"/>
        <w:rPr>
          <w:rFonts w:ascii="宋体" w:hAnsi="宋体"/>
          <w:kern w:val="0"/>
        </w:rPr>
      </w:pPr>
      <w:r>
        <w:rPr>
          <w:rFonts w:ascii="宋体" w:hAnsi="宋体" w:hint="eastAsia"/>
          <w:kern w:val="0"/>
        </w:rPr>
        <w:t>安全审计：负责对证书/证书撤销列表存储发布系统的管理人员、操作人员的操作日志进行审查、统计以及报表打印等；</w:t>
      </w:r>
    </w:p>
    <w:p>
      <w:pPr>
        <w:tabs>
          <w:tab w:val="left" w:pos="851"/>
          <w:tab w:val="left" w:pos="1288"/>
        </w:tabs>
        <w:ind w:left="840" w:hanging="420" w:leftChars="200" w:hangingChars="200"/>
        <w:jc w:val="left"/>
        <w:rPr>
          <w:rFonts w:ascii="宋体" w:hAnsi="宋体"/>
          <w:kern w:val="0"/>
        </w:rPr>
      </w:pPr>
      <w:r>
        <w:rPr>
          <w:rFonts w:ascii="宋体" w:hAnsi="宋体" w:hint="eastAsia"/>
          <w:kern w:val="0"/>
        </w:rPr>
        <w:t>安全管理：对证书/证书撤销列表存储发布系统的登陆进行访问控制，并定期对数据库和目录服务器进行管理和备份；</w:t>
      </w:r>
    </w:p>
    <w:p>
      <w:pPr>
        <w:tabs>
          <w:tab w:val="left" w:pos="851"/>
          <w:tab w:val="left" w:pos="1288"/>
        </w:tabs>
        <w:ind w:left="840" w:hanging="420" w:leftChars="200" w:hangingChars="200"/>
        <w:jc w:val="left"/>
        <w:rPr>
          <w:rFonts w:ascii="宋体" w:hAnsi="宋体"/>
          <w:kern w:val="0"/>
        </w:rPr>
      </w:pPr>
      <w:r>
        <w:rPr>
          <w:rFonts w:ascii="宋体" w:hAnsi="宋体" w:hint="eastAsia"/>
          <w:kern w:val="0"/>
        </w:rPr>
        <w:t>数据一致性检验：对数据库和目录服务器中的数据进行一致性检验。</w:t>
      </w:r>
    </w:p>
    <w:p>
      <w:pPr>
        <w:widowControl/>
        <w:numPr>
          <w:ilvl w:val="4"/>
          <w:numId w:val="15"/>
        </w:numPr>
        <w:spacing w:before="156" w:beforeLines="50" w:after="156" w:afterLines="50"/>
        <w:jc w:val="left"/>
        <w:outlineLvl w:val="4"/>
        <w:rPr>
          <w:rFonts w:eastAsia="黑体"/>
          <w:kern w:val="0"/>
        </w:rPr>
      </w:pPr>
      <w:r>
        <w:rPr>
          <w:rFonts w:eastAsia="黑体" w:hint="eastAsia"/>
          <w:kern w:val="0"/>
        </w:rPr>
        <w:t>证书/证书撤销列表存储发布系统结构</w:t>
      </w:r>
    </w:p>
    <w:p>
      <w:pPr>
        <w:ind w:firstLine="420" w:firstLineChars="200"/>
        <w:rPr>
          <w:rFonts w:ascii="宋体" w:hAnsi="宋体"/>
          <w:kern w:val="0"/>
        </w:rPr>
      </w:pPr>
      <w:r>
        <w:rPr>
          <w:rFonts w:ascii="宋体" w:hAnsi="宋体" w:hint="eastAsia"/>
          <w:kern w:val="0"/>
        </w:rPr>
        <w:t>证书/证书撤销列表存储与发布系统由数据库或主/从目录服务器、安全管理模块、安全审计模块组成。</w:t>
      </w:r>
    </w:p>
    <w:p>
      <w:pPr>
        <w:widowControl/>
        <w:numPr>
          <w:ilvl w:val="0"/>
          <w:numId w:val="20"/>
        </w:numPr>
        <w:autoSpaceDE w:val="0"/>
        <w:autoSpaceDN w:val="0"/>
        <w:jc w:val="left"/>
        <w:rPr>
          <w:rFonts w:ascii="宋体" w:hAnsi="宋体"/>
          <w:kern w:val="0"/>
        </w:rPr>
      </w:pPr>
      <w:r>
        <w:rPr>
          <w:rFonts w:ascii="宋体" w:hAnsi="宋体" w:hint="eastAsia"/>
          <w:kern w:val="0"/>
        </w:rPr>
        <w:t>数据库</w:t>
      </w:r>
    </w:p>
    <w:p>
      <w:pPr>
        <w:ind w:firstLine="420" w:firstLineChars="200"/>
        <w:rPr>
          <w:rFonts w:ascii="宋体" w:hAnsi="宋体"/>
          <w:kern w:val="0"/>
        </w:rPr>
      </w:pPr>
      <w:r>
        <w:rPr>
          <w:rFonts w:ascii="宋体" w:hAnsi="宋体" w:hint="eastAsia"/>
          <w:kern w:val="0"/>
        </w:rPr>
        <w:t>存放证书和证书撤销列表以及用户的其它信息。</w:t>
      </w:r>
    </w:p>
    <w:p>
      <w:pPr>
        <w:widowControl/>
        <w:numPr>
          <w:ilvl w:val="0"/>
          <w:numId w:val="20"/>
        </w:numPr>
        <w:autoSpaceDE w:val="0"/>
        <w:autoSpaceDN w:val="0"/>
        <w:jc w:val="left"/>
        <w:rPr>
          <w:rFonts w:ascii="宋体" w:hAnsi="宋体"/>
          <w:kern w:val="0"/>
        </w:rPr>
      </w:pPr>
      <w:r>
        <w:rPr>
          <w:rFonts w:ascii="宋体" w:hAnsi="宋体" w:hint="eastAsia"/>
          <w:kern w:val="0"/>
        </w:rPr>
        <w:t>目录服务器</w:t>
      </w:r>
    </w:p>
    <w:p>
      <w:pPr>
        <w:ind w:firstLine="420" w:firstLineChars="200"/>
        <w:rPr>
          <w:rFonts w:ascii="宋体" w:hAnsi="宋体"/>
          <w:kern w:val="0"/>
        </w:rPr>
      </w:pPr>
      <w:r>
        <w:rPr>
          <w:rFonts w:ascii="宋体" w:hAnsi="宋体" w:hint="eastAsia"/>
          <w:kern w:val="0"/>
        </w:rPr>
        <w:t>证书/证书撤销列表存储发布系统采用主从结构的目录服务器，签发完成的数据直接写入主目录服务器中，然后由目录服务器的主从映射功能自动映射到从目录服务器中。主、从目录服务器通常配置在不同等级的安全区域。用户只能访问从目录服务器。</w:t>
      </w:r>
    </w:p>
    <w:p>
      <w:pPr>
        <w:widowControl/>
        <w:numPr>
          <w:ilvl w:val="0"/>
          <w:numId w:val="20"/>
        </w:numPr>
        <w:autoSpaceDE w:val="0"/>
        <w:autoSpaceDN w:val="0"/>
        <w:jc w:val="left"/>
        <w:rPr>
          <w:rFonts w:ascii="宋体" w:hAnsi="宋体"/>
          <w:kern w:val="0"/>
        </w:rPr>
      </w:pPr>
      <w:r>
        <w:rPr>
          <w:rFonts w:ascii="宋体" w:hAnsi="宋体" w:hint="eastAsia"/>
          <w:kern w:val="0"/>
        </w:rPr>
        <w:t>安全管理</w:t>
      </w:r>
    </w:p>
    <w:p>
      <w:pPr>
        <w:ind w:firstLine="420" w:firstLineChars="200"/>
        <w:rPr>
          <w:rFonts w:ascii="宋体" w:hAnsi="宋体"/>
          <w:kern w:val="0"/>
        </w:rPr>
      </w:pPr>
      <w:r>
        <w:rPr>
          <w:rFonts w:ascii="宋体" w:hAnsi="宋体" w:hint="eastAsia"/>
          <w:kern w:val="0"/>
        </w:rPr>
        <w:t>主要包括：</w:t>
      </w:r>
    </w:p>
    <w:p>
      <w:pPr>
        <w:widowControl/>
        <w:numPr>
          <w:ilvl w:val="0"/>
          <w:numId w:val="21"/>
        </w:numPr>
        <w:jc w:val="left"/>
        <w:rPr>
          <w:rFonts w:ascii="宋体" w:hAnsi="宋体"/>
          <w:kern w:val="0"/>
        </w:rPr>
      </w:pPr>
      <w:r>
        <w:rPr>
          <w:rFonts w:ascii="宋体" w:hAnsi="宋体" w:hint="eastAsia"/>
          <w:kern w:val="0"/>
        </w:rPr>
        <w:t>定期对数据库和目录服务器的内容进行数据的备份和归档；</w:t>
      </w:r>
    </w:p>
    <w:p>
      <w:pPr>
        <w:widowControl/>
        <w:numPr>
          <w:ilvl w:val="0"/>
          <w:numId w:val="21"/>
        </w:numPr>
        <w:jc w:val="left"/>
        <w:rPr>
          <w:rFonts w:ascii="宋体" w:hAnsi="宋体"/>
          <w:kern w:val="0"/>
        </w:rPr>
      </w:pPr>
      <w:r>
        <w:rPr>
          <w:rFonts w:ascii="宋体" w:hAnsi="宋体" w:hint="eastAsia"/>
          <w:kern w:val="0"/>
        </w:rPr>
        <w:t>对数据库和目录服务器中的数据进行一致性检查，发现不一致时，应进行数据恢复。</w:t>
      </w:r>
    </w:p>
    <w:p>
      <w:pPr>
        <w:widowControl/>
        <w:numPr>
          <w:ilvl w:val="0"/>
          <w:numId w:val="20"/>
        </w:numPr>
        <w:autoSpaceDE w:val="0"/>
        <w:autoSpaceDN w:val="0"/>
        <w:jc w:val="left"/>
        <w:rPr>
          <w:rFonts w:ascii="宋体" w:hAnsi="宋体"/>
          <w:kern w:val="0"/>
        </w:rPr>
      </w:pPr>
      <w:r>
        <w:rPr>
          <w:rFonts w:ascii="宋体" w:hAnsi="宋体" w:hint="eastAsia"/>
          <w:kern w:val="0"/>
        </w:rPr>
        <w:t>安全审计</w:t>
      </w:r>
    </w:p>
    <w:p>
      <w:pPr>
        <w:ind w:firstLine="420" w:firstLineChars="200"/>
        <w:rPr>
          <w:rFonts w:ascii="宋体" w:hAnsi="宋体"/>
          <w:kern w:val="0"/>
        </w:rPr>
      </w:pPr>
      <w:r>
        <w:rPr>
          <w:rFonts w:ascii="宋体" w:hAnsi="宋体" w:hint="eastAsia"/>
          <w:kern w:val="0"/>
        </w:rPr>
        <w:t>查询证书/证书撤销列表存储与发布系统中的安全审计日志，并进行统计与打印等。</w:t>
      </w:r>
    </w:p>
    <w:p>
      <w:pPr>
        <w:widowControl/>
        <w:numPr>
          <w:ilvl w:val="3"/>
          <w:numId w:val="15"/>
        </w:numPr>
        <w:spacing w:before="156" w:beforeLines="50" w:after="156" w:afterLines="50"/>
        <w:jc w:val="left"/>
        <w:outlineLvl w:val="3"/>
        <w:rPr>
          <w:rFonts w:eastAsia="黑体"/>
          <w:kern w:val="0"/>
        </w:rPr>
      </w:pPr>
      <w:bookmarkStart w:id="220" w:name="_Toc26929608"/>
      <w:bookmarkStart w:id="221" w:name="_Toc99550865"/>
      <w:bookmarkStart w:id="222" w:name="_Toc171049707"/>
      <w:r>
        <w:rPr>
          <w:rFonts w:eastAsia="黑体" w:hint="eastAsia"/>
          <w:kern w:val="0"/>
        </w:rPr>
        <w:t>证书状态查询系统设计</w:t>
      </w:r>
      <w:bookmarkEnd w:id="220"/>
      <w:bookmarkEnd w:id="221"/>
      <w:bookmarkEnd w:id="222"/>
    </w:p>
    <w:p>
      <w:pPr>
        <w:widowControl/>
        <w:numPr>
          <w:ilvl w:val="4"/>
          <w:numId w:val="15"/>
        </w:numPr>
        <w:spacing w:before="156" w:beforeLines="50" w:after="156" w:afterLines="50"/>
        <w:jc w:val="left"/>
        <w:outlineLvl w:val="4"/>
        <w:rPr>
          <w:rFonts w:eastAsia="黑体"/>
          <w:kern w:val="0"/>
        </w:rPr>
      </w:pPr>
      <w:r>
        <w:rPr>
          <w:rFonts w:eastAsia="黑体" w:hint="eastAsia"/>
          <w:kern w:val="0"/>
        </w:rPr>
        <w:t>证书状态查询系统功能</w:t>
      </w:r>
    </w:p>
    <w:p>
      <w:pPr>
        <w:ind w:firstLine="420" w:firstLineChars="200"/>
        <w:rPr>
          <w:kern w:val="0"/>
        </w:rPr>
      </w:pPr>
      <w:r>
        <w:rPr>
          <w:rFonts w:hint="eastAsia"/>
          <w:kern w:val="0"/>
        </w:rPr>
        <w:t>证书状态查询系统为用户及应用系统提供证书状态查询服务。</w:t>
      </w:r>
    </w:p>
    <w:p>
      <w:pPr>
        <w:ind w:firstLine="420" w:firstLineChars="200"/>
        <w:rPr>
          <w:kern w:val="0"/>
        </w:rPr>
      </w:pPr>
      <w:r>
        <w:rPr>
          <w:rFonts w:hint="eastAsia"/>
          <w:kern w:val="0"/>
        </w:rPr>
        <w:t>证书状态查询系统所提供的服务可以采用以下两种方式：</w:t>
      </w:r>
    </w:p>
    <w:p>
      <w:pPr>
        <w:tabs>
          <w:tab w:val="left" w:pos="851"/>
          <w:tab w:val="left" w:pos="1288"/>
        </w:tabs>
        <w:ind w:left="840" w:hanging="420" w:leftChars="200" w:hangingChars="200"/>
        <w:jc w:val="left"/>
        <w:rPr>
          <w:rFonts w:ascii="宋体"/>
          <w:kern w:val="0"/>
        </w:rPr>
      </w:pPr>
      <w:r>
        <w:rPr>
          <w:rFonts w:ascii="宋体" w:hint="eastAsia"/>
          <w:kern w:val="0"/>
        </w:rPr>
        <w:t>CRL查询；用户或应用系统利用证书中标识的CRL地址，查询并下载CRL到本地，进行证书状态的检验。</w:t>
      </w:r>
    </w:p>
    <w:p>
      <w:pPr>
        <w:tabs>
          <w:tab w:val="left" w:pos="851"/>
          <w:tab w:val="left" w:pos="1288"/>
        </w:tabs>
        <w:ind w:left="840" w:hanging="420" w:leftChars="200" w:hangingChars="200"/>
        <w:jc w:val="left"/>
        <w:rPr>
          <w:rFonts w:ascii="宋体"/>
          <w:kern w:val="0"/>
        </w:rPr>
      </w:pPr>
      <w:r>
        <w:rPr>
          <w:rFonts w:ascii="宋体" w:hint="eastAsia"/>
          <w:kern w:val="0"/>
        </w:rPr>
        <w:t>在线证书状态查询。用户或应用系统利用OCSP协议，在线实时查询证书的状态，查询结果经过签名后返回给请求者，进行证书状态的检验。</w:t>
      </w:r>
    </w:p>
    <w:p>
      <w:pPr>
        <w:widowControl/>
        <w:numPr>
          <w:ilvl w:val="4"/>
          <w:numId w:val="15"/>
        </w:numPr>
        <w:spacing w:before="156" w:beforeLines="50" w:after="156" w:afterLines="50"/>
        <w:jc w:val="left"/>
        <w:outlineLvl w:val="4"/>
        <w:rPr>
          <w:rFonts w:eastAsia="黑体"/>
          <w:kern w:val="0"/>
        </w:rPr>
      </w:pPr>
      <w:r>
        <w:rPr>
          <w:rFonts w:eastAsia="黑体" w:hint="eastAsia"/>
          <w:kern w:val="0"/>
        </w:rPr>
        <w:t>证书状态查询系统结构</w:t>
      </w:r>
    </w:p>
    <w:p>
      <w:pPr>
        <w:ind w:firstLine="420" w:firstLineChars="200"/>
        <w:rPr>
          <w:kern w:val="0"/>
        </w:rPr>
      </w:pPr>
      <w:r>
        <w:rPr>
          <w:rFonts w:hint="eastAsia"/>
          <w:kern w:val="0"/>
        </w:rPr>
        <w:t>证书状态查询系统由证书状态数据库/OCSP服务器、安全管理模块、安全审计模块以及密码设备组成。</w:t>
      </w:r>
    </w:p>
    <w:p>
      <w:pPr>
        <w:widowControl/>
        <w:numPr>
          <w:ilvl w:val="0"/>
          <w:numId w:val="22"/>
        </w:numPr>
        <w:autoSpaceDE w:val="0"/>
        <w:autoSpaceDN w:val="0"/>
        <w:jc w:val="left"/>
        <w:rPr>
          <w:rFonts w:ascii="宋体"/>
          <w:kern w:val="0"/>
        </w:rPr>
      </w:pPr>
      <w:r>
        <w:rPr>
          <w:rFonts w:ascii="宋体" w:hint="eastAsia"/>
          <w:kern w:val="0"/>
        </w:rPr>
        <w:t>证书状态数据库/OCSP服务器；</w:t>
      </w:r>
    </w:p>
    <w:p>
      <w:pPr>
        <w:ind w:firstLine="420" w:firstLineChars="200"/>
        <w:rPr>
          <w:kern w:val="0"/>
        </w:rPr>
      </w:pPr>
      <w:r>
        <w:rPr>
          <w:rFonts w:hint="eastAsia"/>
          <w:kern w:val="0"/>
        </w:rPr>
        <w:t>接受用户及应用系统的证书状态查询请求，根据请求信息中的证书序列号，从证书状态数据库中查询证书的状态，查询结果返回给请求者。</w:t>
      </w:r>
    </w:p>
    <w:p>
      <w:pPr>
        <w:widowControl/>
        <w:numPr>
          <w:ilvl w:val="0"/>
          <w:numId w:val="22"/>
        </w:numPr>
        <w:autoSpaceDE w:val="0"/>
        <w:autoSpaceDN w:val="0"/>
        <w:jc w:val="left"/>
        <w:rPr>
          <w:rFonts w:ascii="宋体"/>
          <w:kern w:val="0"/>
        </w:rPr>
      </w:pPr>
      <w:r>
        <w:rPr>
          <w:rFonts w:ascii="宋体" w:hint="eastAsia"/>
          <w:kern w:val="0"/>
        </w:rPr>
        <w:t>密码设备；</w:t>
      </w:r>
    </w:p>
    <w:p>
      <w:pPr>
        <w:ind w:firstLine="420" w:firstLineChars="200"/>
        <w:rPr>
          <w:kern w:val="0"/>
        </w:rPr>
      </w:pPr>
      <w:r>
        <w:rPr>
          <w:rFonts w:hint="eastAsia"/>
          <w:kern w:val="0"/>
        </w:rPr>
        <w:t>验证请求信息中的签名，并对查询结果进行签名。</w:t>
      </w:r>
    </w:p>
    <w:p>
      <w:pPr>
        <w:widowControl/>
        <w:numPr>
          <w:ilvl w:val="0"/>
          <w:numId w:val="22"/>
        </w:numPr>
        <w:autoSpaceDE w:val="0"/>
        <w:autoSpaceDN w:val="0"/>
        <w:jc w:val="left"/>
        <w:rPr>
          <w:rFonts w:ascii="宋体"/>
          <w:kern w:val="0"/>
        </w:rPr>
        <w:sectPr>
          <w:headerReference w:type="even" r:id="rId54"/>
          <w:headerReference w:type="default" r:id="rId55"/>
          <w:footerReference w:type="even" r:id="rId56"/>
          <w:footerReference w:type="default" r:id="rId57"/>
          <w:type w:val="nextPage"/>
          <w:pgSz w:w="11907" w:h="16839"/>
          <w:pgMar w:top="1418" w:right="1134" w:bottom="1134" w:left="1418" w:header="907" w:footer="851" w:gutter="0"/>
          <w:pgNumType w:start="10"/>
          <w:cols w:num="1" w:space="720"/>
          <w:titlePg w:val="0"/>
          <w:docGrid w:type="linesAndChars" w:linePitch="312" w:charSpace="0"/>
        </w:sectPr>
      </w:pPr>
      <w:r>
        <w:rPr>
          <w:rFonts w:ascii="宋体" w:hint="eastAsia"/>
          <w:kern w:val="0"/>
        </w:rPr>
        <w:t>安全管理；</w:t>
      </w:r>
    </w:p>
    <w:p>
      <w:pPr>
        <w:ind w:firstLine="420" w:firstLineChars="200"/>
        <w:rPr>
          <w:kern w:val="0"/>
        </w:rPr>
      </w:pPr>
      <w:r>
        <w:rPr>
          <w:rFonts w:hint="eastAsia"/>
          <w:kern w:val="0"/>
        </w:rPr>
        <w:t>主要包括：</w:t>
      </w:r>
    </w:p>
    <w:p>
      <w:pPr>
        <w:widowControl/>
        <w:numPr>
          <w:ilvl w:val="0"/>
          <w:numId w:val="67"/>
        </w:numPr>
        <w:jc w:val="left"/>
        <w:rPr>
          <w:rFonts w:ascii="宋体"/>
          <w:kern w:val="0"/>
        </w:rPr>
      </w:pPr>
      <w:r>
        <w:rPr>
          <w:rFonts w:ascii="宋体" w:hint="eastAsia"/>
          <w:kern w:val="0"/>
        </w:rPr>
        <w:t>OCSP服务器的配置；定义可接受的访问控制信息以及查询的证书状态数据库的地址。</w:t>
      </w:r>
    </w:p>
    <w:p>
      <w:pPr>
        <w:widowControl/>
        <w:numPr>
          <w:ilvl w:val="0"/>
          <w:numId w:val="67"/>
        </w:numPr>
        <w:jc w:val="left"/>
        <w:rPr>
          <w:rFonts w:ascii="宋体"/>
          <w:kern w:val="0"/>
        </w:rPr>
      </w:pPr>
      <w:r>
        <w:rPr>
          <w:rFonts w:ascii="宋体" w:hint="eastAsia"/>
          <w:kern w:val="0"/>
        </w:rPr>
        <w:t>启动/停止查询服务。配置可接受的用户请求数量等。</w:t>
      </w:r>
    </w:p>
    <w:p>
      <w:pPr>
        <w:widowControl/>
        <w:numPr>
          <w:ilvl w:val="0"/>
          <w:numId w:val="22"/>
        </w:numPr>
        <w:autoSpaceDE w:val="0"/>
        <w:autoSpaceDN w:val="0"/>
        <w:jc w:val="left"/>
        <w:rPr>
          <w:rFonts w:ascii="宋体"/>
          <w:kern w:val="0"/>
        </w:rPr>
      </w:pPr>
      <w:r>
        <w:rPr>
          <w:rFonts w:ascii="宋体" w:hint="eastAsia"/>
          <w:kern w:val="0"/>
        </w:rPr>
        <w:t>安全审计。</w:t>
      </w:r>
    </w:p>
    <w:p>
      <w:pPr>
        <w:ind w:firstLine="420" w:firstLineChars="200"/>
        <w:rPr>
          <w:kern w:val="0"/>
        </w:rPr>
      </w:pPr>
      <w:r>
        <w:rPr>
          <w:rFonts w:hint="eastAsia"/>
          <w:kern w:val="0"/>
        </w:rPr>
        <w:t>查询证书状态查询系统中的安全审计日志，并进行统计与打印等。</w:t>
      </w:r>
    </w:p>
    <w:p>
      <w:pPr>
        <w:widowControl/>
        <w:numPr>
          <w:ilvl w:val="3"/>
          <w:numId w:val="15"/>
        </w:numPr>
        <w:spacing w:before="156" w:beforeLines="50" w:after="156" w:afterLines="50"/>
        <w:jc w:val="left"/>
        <w:outlineLvl w:val="3"/>
        <w:rPr>
          <w:rFonts w:eastAsia="黑体"/>
          <w:kern w:val="0"/>
        </w:rPr>
      </w:pPr>
      <w:bookmarkStart w:id="223" w:name="_Toc171049708"/>
      <w:bookmarkStart w:id="224" w:name="_Toc26929610"/>
      <w:bookmarkStart w:id="225" w:name="_Toc99550866"/>
      <w:r>
        <w:rPr>
          <w:rFonts w:eastAsia="黑体" w:hint="eastAsia"/>
          <w:kern w:val="0"/>
        </w:rPr>
        <w:t>证书管理系统设计</w:t>
      </w:r>
      <w:bookmarkEnd w:id="223"/>
      <w:bookmarkEnd w:id="224"/>
      <w:bookmarkEnd w:id="225"/>
    </w:p>
    <w:p>
      <w:pPr>
        <w:ind w:firstLine="420" w:firstLineChars="200"/>
        <w:rPr>
          <w:kern w:val="0"/>
        </w:rPr>
      </w:pPr>
      <w:r>
        <w:rPr>
          <w:rFonts w:hint="eastAsia"/>
          <w:kern w:val="0"/>
        </w:rPr>
        <w:t>证书管理系统是证书认证系统的综合信息控制和调度服务系统，它接收用户的各种请求信息，并将请求信息提交给相应的子系统。证书管理系统是一个逻辑上独立的系统，在进行系统设计过程中，可根据证书认证系统提供的服务，由不同的处理模块组成，这些模块可以采用分布式的结构，以增强系统的处理能力，提高系统的效率。</w:t>
      </w:r>
    </w:p>
    <w:p>
      <w:pPr>
        <w:widowControl/>
        <w:numPr>
          <w:ilvl w:val="3"/>
          <w:numId w:val="15"/>
        </w:numPr>
        <w:spacing w:before="156" w:beforeLines="50" w:after="156" w:afterLines="50"/>
        <w:jc w:val="left"/>
        <w:outlineLvl w:val="3"/>
        <w:rPr>
          <w:rFonts w:eastAsia="黑体"/>
          <w:kern w:val="0"/>
        </w:rPr>
      </w:pPr>
      <w:bookmarkStart w:id="226" w:name="_Toc99550867"/>
      <w:bookmarkStart w:id="227" w:name="_Toc171049709"/>
      <w:bookmarkStart w:id="228" w:name="_Toc26929611"/>
      <w:r>
        <w:rPr>
          <w:rFonts w:eastAsia="黑体" w:hint="eastAsia"/>
          <w:kern w:val="0"/>
        </w:rPr>
        <w:t>安全管理系统设计</w:t>
      </w:r>
      <w:bookmarkEnd w:id="226"/>
      <w:bookmarkEnd w:id="227"/>
      <w:bookmarkEnd w:id="228"/>
    </w:p>
    <w:p>
      <w:pPr>
        <w:ind w:firstLine="420" w:firstLineChars="200"/>
        <w:rPr>
          <w:rFonts w:ascii="宋体" w:hAnsi="宋体"/>
          <w:kern w:val="0"/>
        </w:rPr>
      </w:pPr>
      <w:r>
        <w:rPr>
          <w:rFonts w:ascii="宋体" w:hAnsi="宋体" w:hint="eastAsia"/>
          <w:kern w:val="0"/>
        </w:rPr>
        <w:t>安全管理系统主要包括安全审计系统和安全防护系统。</w:t>
      </w:r>
    </w:p>
    <w:p>
      <w:pPr>
        <w:widowControl/>
        <w:numPr>
          <w:ilvl w:val="0"/>
          <w:numId w:val="24"/>
        </w:numPr>
        <w:autoSpaceDE w:val="0"/>
        <w:autoSpaceDN w:val="0"/>
        <w:jc w:val="left"/>
        <w:rPr>
          <w:rFonts w:ascii="宋体" w:hAnsi="宋体"/>
          <w:kern w:val="0"/>
        </w:rPr>
      </w:pPr>
      <w:r>
        <w:rPr>
          <w:rFonts w:ascii="宋体" w:hAnsi="宋体" w:hint="eastAsia"/>
          <w:kern w:val="0"/>
        </w:rPr>
        <w:t>安全审计系统</w:t>
      </w:r>
    </w:p>
    <w:p>
      <w:pPr>
        <w:ind w:firstLine="420" w:firstLineChars="200"/>
        <w:rPr>
          <w:rFonts w:ascii="宋体" w:hAnsi="宋体"/>
          <w:kern w:val="0"/>
        </w:rPr>
      </w:pPr>
      <w:r>
        <w:rPr>
          <w:rFonts w:ascii="宋体" w:hAnsi="宋体" w:hint="eastAsia"/>
          <w:kern w:val="0"/>
        </w:rPr>
        <w:t>提供事件级审计功能，对涉及系统安全的行为、人员、时间的记录进行跟踪、统计和分析。安全审计系统可以分别查询各子系统中的日志记录，也可以通过查询证书/证书撤销列表存储与发布系统中的数据库，进行集中审计。</w:t>
      </w:r>
    </w:p>
    <w:p>
      <w:pPr>
        <w:ind w:firstLine="420" w:firstLineChars="200"/>
        <w:rPr>
          <w:rFonts w:ascii="宋体" w:hAnsi="宋体"/>
          <w:kern w:val="0"/>
        </w:rPr>
      </w:pPr>
      <w:r>
        <w:rPr>
          <w:rFonts w:ascii="宋体" w:hAnsi="宋体" w:hint="eastAsia"/>
          <w:kern w:val="0"/>
        </w:rPr>
        <w:t>日志记录的主要内容包括：</w:t>
      </w:r>
    </w:p>
    <w:p>
      <w:pPr>
        <w:widowControl/>
        <w:numPr>
          <w:ilvl w:val="0"/>
          <w:numId w:val="25"/>
        </w:numPr>
        <w:jc w:val="left"/>
        <w:rPr>
          <w:rFonts w:ascii="宋体" w:hAnsi="宋体"/>
          <w:kern w:val="0"/>
        </w:rPr>
      </w:pPr>
      <w:r>
        <w:rPr>
          <w:rFonts w:ascii="宋体" w:hAnsi="宋体" w:hint="eastAsia"/>
          <w:kern w:val="0"/>
        </w:rPr>
        <w:t>操作员姓名；</w:t>
      </w:r>
    </w:p>
    <w:p>
      <w:pPr>
        <w:widowControl/>
        <w:numPr>
          <w:ilvl w:val="0"/>
          <w:numId w:val="25"/>
        </w:numPr>
        <w:jc w:val="left"/>
        <w:rPr>
          <w:rFonts w:ascii="宋体" w:hAnsi="宋体"/>
          <w:kern w:val="0"/>
        </w:rPr>
      </w:pPr>
      <w:r>
        <w:rPr>
          <w:rFonts w:ascii="宋体" w:hAnsi="宋体" w:hint="eastAsia"/>
          <w:kern w:val="0"/>
        </w:rPr>
        <w:t>操作项目；</w:t>
      </w:r>
    </w:p>
    <w:p>
      <w:pPr>
        <w:widowControl/>
        <w:numPr>
          <w:ilvl w:val="0"/>
          <w:numId w:val="25"/>
        </w:numPr>
        <w:jc w:val="left"/>
        <w:rPr>
          <w:rFonts w:ascii="宋体" w:hAnsi="宋体"/>
          <w:kern w:val="0"/>
        </w:rPr>
      </w:pPr>
      <w:r>
        <w:rPr>
          <w:rFonts w:ascii="宋体" w:hAnsi="宋体" w:hint="eastAsia"/>
          <w:kern w:val="0"/>
        </w:rPr>
        <w:t>操作起始时间；</w:t>
      </w:r>
    </w:p>
    <w:p>
      <w:pPr>
        <w:widowControl/>
        <w:numPr>
          <w:ilvl w:val="0"/>
          <w:numId w:val="25"/>
        </w:numPr>
        <w:jc w:val="left"/>
        <w:rPr>
          <w:rFonts w:ascii="宋体" w:hAnsi="宋体"/>
          <w:kern w:val="0"/>
        </w:rPr>
      </w:pPr>
      <w:r>
        <w:rPr>
          <w:rFonts w:ascii="宋体" w:hAnsi="宋体" w:hint="eastAsia"/>
          <w:kern w:val="0"/>
        </w:rPr>
        <w:t>操作终止时间；</w:t>
      </w:r>
    </w:p>
    <w:p>
      <w:pPr>
        <w:widowControl/>
        <w:numPr>
          <w:ilvl w:val="0"/>
          <w:numId w:val="25"/>
        </w:numPr>
        <w:jc w:val="left"/>
        <w:rPr>
          <w:rFonts w:ascii="宋体" w:hAnsi="宋体"/>
          <w:kern w:val="0"/>
        </w:rPr>
      </w:pPr>
      <w:r>
        <w:rPr>
          <w:rFonts w:ascii="宋体" w:hAnsi="宋体" w:hint="eastAsia"/>
          <w:kern w:val="0"/>
        </w:rPr>
        <w:t>证书序列号；</w:t>
      </w:r>
    </w:p>
    <w:p>
      <w:pPr>
        <w:widowControl/>
        <w:numPr>
          <w:ilvl w:val="0"/>
          <w:numId w:val="25"/>
        </w:numPr>
        <w:jc w:val="left"/>
        <w:rPr>
          <w:rFonts w:ascii="宋体" w:hAnsi="宋体"/>
          <w:kern w:val="0"/>
        </w:rPr>
      </w:pPr>
      <w:r>
        <w:rPr>
          <w:rFonts w:ascii="宋体" w:hAnsi="宋体" w:hint="eastAsia"/>
          <w:kern w:val="0"/>
        </w:rPr>
        <w:t>操作结果。</w:t>
      </w:r>
    </w:p>
    <w:p>
      <w:pPr>
        <w:ind w:firstLine="420" w:firstLineChars="200"/>
        <w:rPr>
          <w:rFonts w:ascii="宋体" w:hAnsi="宋体"/>
          <w:kern w:val="0"/>
        </w:rPr>
      </w:pPr>
      <w:r>
        <w:rPr>
          <w:rFonts w:ascii="宋体" w:hAnsi="宋体" w:hint="eastAsia"/>
          <w:kern w:val="0"/>
        </w:rPr>
        <w:t>日志管理的主要内容包括：</w:t>
      </w:r>
    </w:p>
    <w:p>
      <w:pPr>
        <w:widowControl/>
        <w:numPr>
          <w:ilvl w:val="0"/>
          <w:numId w:val="26"/>
        </w:numPr>
        <w:jc w:val="left"/>
        <w:rPr>
          <w:rFonts w:ascii="宋体" w:hAnsi="宋体"/>
          <w:kern w:val="0"/>
        </w:rPr>
      </w:pPr>
      <w:r>
        <w:rPr>
          <w:rFonts w:ascii="宋体" w:hAnsi="宋体" w:hint="eastAsia"/>
          <w:kern w:val="0"/>
        </w:rPr>
        <w:t>日志参数设置，设置日志保存的最大规模和日志备份的目录；</w:t>
      </w:r>
    </w:p>
    <w:p>
      <w:pPr>
        <w:widowControl/>
        <w:numPr>
          <w:ilvl w:val="0"/>
          <w:numId w:val="26"/>
        </w:numPr>
        <w:jc w:val="left"/>
        <w:rPr>
          <w:rFonts w:ascii="宋体" w:hAnsi="宋体"/>
          <w:kern w:val="0"/>
        </w:rPr>
      </w:pPr>
      <w:r>
        <w:rPr>
          <w:rFonts w:ascii="宋体" w:hAnsi="宋体" w:hint="eastAsia"/>
          <w:kern w:val="0"/>
        </w:rPr>
        <w:t>日志查询，查询操作员、操作事件信息；</w:t>
      </w:r>
    </w:p>
    <w:p>
      <w:pPr>
        <w:widowControl/>
        <w:numPr>
          <w:ilvl w:val="0"/>
          <w:numId w:val="26"/>
        </w:numPr>
        <w:jc w:val="left"/>
        <w:rPr>
          <w:rFonts w:ascii="宋体" w:hAnsi="宋体"/>
          <w:kern w:val="0"/>
        </w:rPr>
      </w:pPr>
      <w:r>
        <w:rPr>
          <w:rFonts w:ascii="宋体" w:hAnsi="宋体" w:hint="eastAsia"/>
          <w:kern w:val="0"/>
        </w:rPr>
        <w:t>日志备份，当日志保存到日志参数设置的最大规模时，将保存的日志备份；</w:t>
      </w:r>
    </w:p>
    <w:p>
      <w:pPr>
        <w:widowControl/>
        <w:numPr>
          <w:ilvl w:val="0"/>
          <w:numId w:val="26"/>
        </w:numPr>
        <w:jc w:val="left"/>
        <w:rPr>
          <w:rFonts w:ascii="宋体" w:hAnsi="宋体"/>
          <w:kern w:val="0"/>
        </w:rPr>
      </w:pPr>
      <w:r>
        <w:rPr>
          <w:rFonts w:ascii="宋体" w:hAnsi="宋体" w:hint="eastAsia"/>
          <w:kern w:val="0"/>
        </w:rPr>
        <w:t>日志处理，对日志记录的正常业务流量和各类事件进行分类整理；</w:t>
      </w:r>
    </w:p>
    <w:p>
      <w:pPr>
        <w:widowControl/>
        <w:numPr>
          <w:ilvl w:val="0"/>
          <w:numId w:val="26"/>
        </w:numPr>
        <w:jc w:val="left"/>
        <w:rPr>
          <w:rFonts w:ascii="宋体" w:hAnsi="宋体"/>
          <w:kern w:val="0"/>
        </w:rPr>
      </w:pPr>
      <w:r>
        <w:rPr>
          <w:rFonts w:ascii="宋体" w:hAnsi="宋体" w:hint="eastAsia"/>
          <w:kern w:val="0"/>
        </w:rPr>
        <w:t>证据管理，对证据数据进行审计、统计和记录。</w:t>
      </w:r>
    </w:p>
    <w:p>
      <w:pPr>
        <w:widowControl/>
        <w:numPr>
          <w:ilvl w:val="0"/>
          <w:numId w:val="24"/>
        </w:numPr>
        <w:autoSpaceDE w:val="0"/>
        <w:autoSpaceDN w:val="0"/>
        <w:jc w:val="left"/>
        <w:rPr>
          <w:rFonts w:ascii="宋体" w:hAnsi="宋体"/>
          <w:kern w:val="0"/>
        </w:rPr>
      </w:pPr>
      <w:r>
        <w:rPr>
          <w:rFonts w:ascii="宋体" w:hAnsi="宋体" w:hint="eastAsia"/>
          <w:kern w:val="0"/>
        </w:rPr>
        <w:t>安全防护系统</w:t>
      </w:r>
    </w:p>
    <w:p>
      <w:pPr>
        <w:ind w:firstLine="420" w:firstLineChars="200"/>
        <w:rPr>
          <w:kern w:val="0"/>
        </w:rPr>
      </w:pPr>
      <w:r>
        <w:rPr>
          <w:rFonts w:hint="eastAsia"/>
          <w:kern w:val="0"/>
        </w:rPr>
        <w:t>提供访问控制、入侵检测、漏洞扫描、病毒防治等网络安全功能。</w:t>
      </w:r>
    </w:p>
    <w:p>
      <w:pPr>
        <w:widowControl/>
        <w:numPr>
          <w:ilvl w:val="2"/>
          <w:numId w:val="0"/>
        </w:numPr>
        <w:spacing w:before="156" w:beforeLines="50" w:after="156" w:afterLines="50"/>
        <w:jc w:val="left"/>
        <w:outlineLvl w:val="2"/>
        <w:rPr>
          <w:rFonts w:eastAsia="黑体"/>
          <w:kern w:val="0"/>
        </w:rPr>
      </w:pPr>
      <w:bookmarkStart w:id="229" w:name="_Toc26929612"/>
      <w:bookmarkStart w:id="230" w:name="_Toc99550868"/>
      <w:bookmarkStart w:id="231" w:name="_Toc99780367"/>
      <w:bookmarkStart w:id="232" w:name="_Toc101945688"/>
      <w:bookmarkStart w:id="233" w:name="_Toc171049710"/>
      <w:bookmarkStart w:id="234" w:name="_Toc99780076"/>
      <w:bookmarkStart w:id="235" w:name="_Toc445067647"/>
      <w:bookmarkStart w:id="236" w:name="_Toc358117231"/>
      <w:bookmarkStart w:id="237" w:name="_Toc290214334"/>
      <w:r>
        <w:rPr>
          <w:rFonts w:eastAsia="黑体" w:hint="eastAsia"/>
          <w:kern w:val="0"/>
        </w:rPr>
        <w:t>数字证书</w:t>
      </w:r>
      <w:bookmarkEnd w:id="229"/>
      <w:bookmarkEnd w:id="230"/>
      <w:bookmarkEnd w:id="231"/>
      <w:bookmarkEnd w:id="232"/>
      <w:bookmarkEnd w:id="233"/>
      <w:bookmarkEnd w:id="234"/>
      <w:bookmarkEnd w:id="235"/>
      <w:bookmarkEnd w:id="236"/>
      <w:bookmarkEnd w:id="237"/>
    </w:p>
    <w:p>
      <w:pPr>
        <w:ind w:firstLine="420" w:firstLineChars="200"/>
        <w:rPr>
          <w:rFonts w:ascii="宋体" w:hAnsi="宋体"/>
          <w:kern w:val="0"/>
        </w:rPr>
      </w:pPr>
      <w:r>
        <w:rPr>
          <w:rFonts w:ascii="宋体" w:hAnsi="宋体" w:hint="eastAsia"/>
          <w:kern w:val="0"/>
        </w:rPr>
        <w:t>关于数字证书结构和格式见GB/T 20518和GM/T 0015。对于使用RSA公钥密码算法的数字证书，格式和结构应符合《信息安全技术 公钥基础设施 数字证书格式》（GB/T 20518），对于使用SM2公钥密码算法的数字证书，格式和结构应符合《基于SM2密码算法的数字证书格式规范》（GM/T 0015）。</w:t>
      </w:r>
    </w:p>
    <w:p>
      <w:pPr>
        <w:ind w:firstLine="420" w:firstLineChars="200"/>
        <w:rPr>
          <w:rFonts w:ascii="宋体" w:hAnsi="宋体"/>
          <w:kern w:val="0"/>
        </w:rPr>
      </w:pPr>
      <w:r>
        <w:rPr>
          <w:rFonts w:ascii="宋体" w:hAnsi="宋体" w:hint="eastAsia"/>
          <w:kern w:val="0"/>
        </w:rPr>
        <w:t>其中，证书结构中的颁发者名称和主体名称的DN顺序应符合下列规则：</w:t>
      </w:r>
    </w:p>
    <w:p>
      <w:pPr>
        <w:tabs>
          <w:tab w:val="left" w:pos="854"/>
          <w:tab w:val="left" w:pos="1288"/>
        </w:tabs>
        <w:ind w:left="840" w:hanging="420" w:leftChars="200" w:hangingChars="200"/>
        <w:jc w:val="left"/>
        <w:rPr>
          <w:rFonts w:ascii="宋体" w:hAnsi="宋体"/>
          <w:kern w:val="0"/>
        </w:rPr>
      </w:pPr>
      <w:r>
        <w:rPr>
          <w:rFonts w:ascii="宋体" w:hAnsi="宋体" w:hint="eastAsia"/>
          <w:kern w:val="0"/>
        </w:rPr>
        <w:t>如果有C项，则放在最后，且C=CN；</w:t>
      </w:r>
    </w:p>
    <w:p>
      <w:pPr>
        <w:tabs>
          <w:tab w:val="left" w:pos="854"/>
          <w:tab w:val="left" w:pos="1288"/>
        </w:tabs>
        <w:ind w:left="840" w:hanging="420" w:leftChars="200" w:hangingChars="200"/>
        <w:jc w:val="left"/>
        <w:rPr>
          <w:rFonts w:ascii="宋体" w:hAnsi="宋体"/>
          <w:kern w:val="0"/>
        </w:rPr>
      </w:pPr>
      <w:r>
        <w:rPr>
          <w:rFonts w:ascii="宋体" w:hAnsi="宋体" w:hint="eastAsia"/>
          <w:kern w:val="0"/>
        </w:rPr>
        <w:t>如果有CN项，则放在DN的最前面；</w:t>
      </w:r>
    </w:p>
    <w:p>
      <w:pPr>
        <w:tabs>
          <w:tab w:val="left" w:pos="854"/>
          <w:tab w:val="left" w:pos="1288"/>
        </w:tabs>
        <w:ind w:left="840" w:hanging="420" w:leftChars="200" w:hangingChars="200"/>
        <w:jc w:val="left"/>
        <w:rPr>
          <w:rFonts w:ascii="宋体" w:hAnsi="宋体"/>
          <w:kern w:val="0"/>
        </w:rPr>
      </w:pPr>
      <w:r>
        <w:rPr>
          <w:rFonts w:ascii="宋体" w:hAnsi="宋体" w:hint="eastAsia"/>
          <w:kern w:val="0"/>
        </w:rPr>
        <w:t>如果同时存在OU和O项，则OU在O前面；如果同时存在S和L项，则L在S前面。</w:t>
      </w:r>
    </w:p>
    <w:p>
      <w:pPr>
        <w:ind w:firstLine="420" w:firstLineChars="200"/>
        <w:rPr>
          <w:rFonts w:ascii="宋体" w:hAnsi="宋体"/>
          <w:kern w:val="0"/>
        </w:rPr>
      </w:pPr>
      <w:r>
        <w:rPr>
          <w:rFonts w:ascii="宋体" w:hAnsi="宋体" w:hint="eastAsia"/>
          <w:kern w:val="0"/>
        </w:rPr>
        <w:t>证书结构中的签名算法域中标识的密码算法必须是国家密码主管部门批准的算法。</w:t>
      </w:r>
    </w:p>
    <w:p>
      <w:pPr>
        <w:widowControl/>
        <w:numPr>
          <w:ilvl w:val="2"/>
          <w:numId w:val="0"/>
        </w:numPr>
        <w:spacing w:before="156" w:beforeLines="50" w:after="156" w:afterLines="50"/>
        <w:jc w:val="left"/>
        <w:outlineLvl w:val="2"/>
        <w:rPr>
          <w:rFonts w:eastAsia="黑体"/>
          <w:kern w:val="0"/>
        </w:rPr>
        <w:sectPr>
          <w:headerReference w:type="even" r:id="rId58"/>
          <w:headerReference w:type="default" r:id="rId59"/>
          <w:footerReference w:type="even" r:id="rId60"/>
          <w:footerReference w:type="default" r:id="rId61"/>
          <w:type w:val="nextPage"/>
          <w:pgSz w:w="11907" w:h="16839"/>
          <w:pgMar w:top="1418" w:right="1134" w:bottom="1134" w:left="1418" w:header="907" w:footer="851" w:gutter="0"/>
          <w:pgNumType w:start="11"/>
          <w:cols w:num="1" w:space="720"/>
          <w:titlePg w:val="0"/>
          <w:docGrid w:type="linesAndChars" w:linePitch="312" w:charSpace="0"/>
        </w:sectPr>
      </w:pPr>
      <w:bookmarkStart w:id="238" w:name="_Toc171049711"/>
      <w:bookmarkStart w:id="239" w:name="_Toc290214335"/>
      <w:bookmarkStart w:id="240" w:name="_Toc358117232"/>
      <w:bookmarkStart w:id="241" w:name="_Toc445067648"/>
      <w:r>
        <w:rPr>
          <w:rFonts w:eastAsia="黑体" w:hint="eastAsia"/>
          <w:kern w:val="0"/>
        </w:rPr>
        <w:t>证书撤销列表</w:t>
      </w:r>
      <w:bookmarkEnd w:id="238"/>
      <w:bookmarkEnd w:id="239"/>
      <w:bookmarkEnd w:id="240"/>
      <w:bookmarkEnd w:id="241"/>
    </w:p>
    <w:p>
      <w:pPr>
        <w:ind w:firstLine="420" w:firstLineChars="200"/>
        <w:rPr>
          <w:rFonts w:ascii="宋体" w:hAnsi="宋体"/>
          <w:kern w:val="0"/>
        </w:rPr>
      </w:pPr>
      <w:r>
        <w:rPr>
          <w:rFonts w:ascii="宋体" w:hAnsi="宋体" w:hint="eastAsia"/>
          <w:kern w:val="0"/>
        </w:rPr>
        <w:t>本标准的证书撤销列表结构和格式见GB/T 20518和GM/T 0015。对于使用RSA公钥密码算法的证书撤销列表，格式和结构应符合《信息安全技术 公钥基础设施 数字证书格式》（GB/T 20518），对于使用SM2公钥密码算法的证书撤销列表，格式和结构应符合《基于SM2密码算法的数字证书格式规范》（GM/T 0015）。</w:t>
      </w:r>
    </w:p>
    <w:p>
      <w:pPr>
        <w:ind w:firstLine="420" w:firstLineChars="200"/>
        <w:rPr>
          <w:rFonts w:ascii="宋体" w:hAnsi="宋体"/>
          <w:kern w:val="0"/>
        </w:rPr>
      </w:pPr>
      <w:r>
        <w:rPr>
          <w:rFonts w:ascii="宋体" w:hAnsi="宋体" w:hint="eastAsia"/>
          <w:kern w:val="0"/>
        </w:rPr>
        <w:t>证书中的证书撤销列表分发点应是有效地址。</w:t>
      </w:r>
    </w:p>
    <w:p>
      <w:pPr>
        <w:rPr>
          <w:kern w:val="0"/>
        </w:rPr>
      </w:pPr>
      <w:r>
        <w:rPr>
          <w:rFonts w:ascii="宋体" w:hAnsi="宋体" w:hint="eastAsia"/>
          <w:kern w:val="0"/>
        </w:rPr>
        <w:t>其中，证书撤销列表结构中的签名算法域中标识的密码算法必须是国家密码主管部门批准的算法。</w:t>
      </w:r>
    </w:p>
    <w:p>
      <w:pPr>
        <w:widowControl/>
        <w:numPr>
          <w:ilvl w:val="1"/>
          <w:numId w:val="0"/>
        </w:numPr>
        <w:spacing w:before="312" w:beforeLines="100" w:after="312" w:afterLines="100"/>
        <w:jc w:val="left"/>
        <w:outlineLvl w:val="1"/>
        <w:rPr>
          <w:rFonts w:ascii="黑体" w:eastAsia="黑体"/>
          <w:kern w:val="0"/>
        </w:rPr>
      </w:pPr>
      <w:bookmarkStart w:id="242" w:name="_Toc171049712"/>
      <w:bookmarkStart w:id="243" w:name="_Toc290214336"/>
      <w:bookmarkStart w:id="244" w:name="_Toc101945690"/>
      <w:bookmarkStart w:id="245" w:name="_Toc358117233"/>
      <w:bookmarkStart w:id="246" w:name="_Toc445067649"/>
      <w:r>
        <w:rPr>
          <w:rFonts w:ascii="黑体" w:eastAsia="黑体" w:hint="eastAsia"/>
          <w:kern w:val="0"/>
        </w:rPr>
        <w:t>密钥管理中心</w:t>
      </w:r>
      <w:bookmarkEnd w:id="242"/>
      <w:bookmarkEnd w:id="243"/>
      <w:bookmarkEnd w:id="244"/>
      <w:bookmarkEnd w:id="245"/>
      <w:bookmarkEnd w:id="246"/>
    </w:p>
    <w:p>
      <w:pPr>
        <w:widowControl/>
        <w:numPr>
          <w:ilvl w:val="2"/>
          <w:numId w:val="0"/>
        </w:numPr>
        <w:spacing w:before="156" w:beforeLines="50" w:after="156" w:afterLines="50"/>
        <w:jc w:val="left"/>
        <w:outlineLvl w:val="2"/>
        <w:rPr>
          <w:rFonts w:eastAsia="黑体"/>
          <w:kern w:val="0"/>
        </w:rPr>
      </w:pPr>
      <w:bookmarkStart w:id="247" w:name="_Toc358117234"/>
      <w:bookmarkStart w:id="248" w:name="_Toc445067650"/>
      <w:bookmarkStart w:id="249" w:name="_Toc290214337"/>
      <w:bookmarkStart w:id="250" w:name="_Toc171049713"/>
      <w:r>
        <w:rPr>
          <w:rFonts w:eastAsia="黑体" w:hint="eastAsia"/>
          <w:kern w:val="0"/>
        </w:rPr>
        <w:t>结构描述</w:t>
      </w:r>
      <w:bookmarkEnd w:id="247"/>
      <w:bookmarkEnd w:id="248"/>
      <w:bookmarkEnd w:id="249"/>
      <w:bookmarkEnd w:id="250"/>
    </w:p>
    <w:p>
      <w:pPr>
        <w:ind w:firstLine="420" w:firstLineChars="200"/>
        <w:rPr>
          <w:rFonts w:ascii="宋体" w:hAnsi="宋体"/>
          <w:kern w:val="0"/>
        </w:rPr>
      </w:pPr>
      <w:r>
        <w:rPr>
          <w:rFonts w:ascii="宋体" w:hAnsi="宋体" w:hint="eastAsia"/>
          <w:kern w:val="0"/>
        </w:rPr>
        <w:t>密钥管理中心由密钥生成、密钥管理、密钥库管理、认证管理、安全审计、密钥恢复和密码服务等模块组成，建议的密钥管理中心逻辑结构如图3所示：</w:t>
      </w:r>
    </w:p>
    <w:p>
      <w:pPr>
        <w:ind w:firstLine="420" w:firstLineChars="200"/>
        <w:rPr>
          <w:kern w:val="0"/>
        </w:rPr>
      </w:pPr>
    </w:p>
    <w:p>
      <w:pPr>
        <w:rPr>
          <w:szCs w:val="24"/>
        </w:rPr>
      </w:pPr>
    </w:p>
    <w:p>
      <w:pPr>
        <w:widowControl/>
        <w:jc w:val="left"/>
        <w:rPr>
          <w:rFonts w:ascii="宋体"/>
          <w:kern w:val="0"/>
          <w:sz w:val="20"/>
          <w:szCs w:val="20"/>
        </w:rPr>
      </w:pPr>
    </w:p>
    <w:p>
      <w:pPr>
        <w:rPr>
          <w:szCs w:val="24"/>
        </w:rPr>
      </w:pPr>
    </w:p>
    <w:p>
      <w:pPr>
        <w:rPr>
          <w:szCs w:val="24"/>
        </w:rPr>
      </w:pPr>
      <w:r>
        <w:rPr>
          <w:sz w:val="20"/>
          <w:szCs w:val="24"/>
        </w:rPr>
        <w:pict>
          <v:group id="_x0000_s1130" o:spid="_x0000_s1071" style="width:351pt;height:169pt;margin-top:1.7pt;margin-left:48pt;mso-height-relative:page;mso-width-relative:page;mso-wrap-distance-bottom:0;mso-wrap-distance-left:9pt;mso-wrap-distance-right:9pt;mso-wrap-distance-top:0;position:absolute;z-index:251669504" coordsize="7020,4212">
            <v:shape id="_x0000_s1131" o:spid="_x0000_s1072" type="#_x0000_t202" style="width:1800;height:624;position:absolute" coordsize="21600,21600">
              <v:stroke joinstyle="miter"/>
              <v:textbox>
                <w:txbxContent>
                  <w:p>
                    <w:pPr>
                      <w:jc w:val="center"/>
                    </w:pPr>
                    <w:r>
                      <w:rPr>
                        <w:rFonts w:hint="eastAsia"/>
                      </w:rPr>
                      <w:t>密钥生成</w:t>
                    </w:r>
                  </w:p>
                </w:txbxContent>
              </v:textbox>
            </v:shape>
            <v:shape id="_x0000_s1132" o:spid="_x0000_s1073" type="#_x0000_t202" style="width:1800;height:624;left:2520;position:absolute;top:1716" coordsize="21600,21600">
              <v:stroke joinstyle="miter"/>
              <v:textbox>
                <w:txbxContent>
                  <w:p>
                    <w:pPr>
                      <w:jc w:val="center"/>
                    </w:pPr>
                    <w:r>
                      <w:rPr>
                        <w:rFonts w:hint="eastAsia"/>
                      </w:rPr>
                      <w:t>密钥管理</w:t>
                    </w:r>
                  </w:p>
                </w:txbxContent>
              </v:textbox>
            </v:shape>
            <v:shape id="_x0000_s1133" o:spid="_x0000_s1074" type="#_x0000_t202" style="width:1800;height:624;left:2520;position:absolute" coordsize="21600,21600">
              <v:stroke joinstyle="miter"/>
              <v:textbox>
                <w:txbxContent>
                  <w:p>
                    <w:pPr>
                      <w:jc w:val="center"/>
                    </w:pPr>
                    <w:r>
                      <w:rPr>
                        <w:rFonts w:hint="eastAsia"/>
                      </w:rPr>
                      <w:t>密钥库管理</w:t>
                    </w:r>
                  </w:p>
                </w:txbxContent>
              </v:textbox>
            </v:shape>
            <v:shape id="_x0000_s1134" o:spid="_x0000_s1075" type="#_x0000_t202" style="width:1800;height:624;position:absolute;top:3120" coordsize="21600,21600">
              <v:stroke joinstyle="miter"/>
              <v:textbox>
                <w:txbxContent>
                  <w:p>
                    <w:pPr>
                      <w:jc w:val="center"/>
                    </w:pPr>
                    <w:r>
                      <w:rPr>
                        <w:rFonts w:hint="eastAsia"/>
                      </w:rPr>
                      <w:t>认证管理</w:t>
                    </w:r>
                  </w:p>
                </w:txbxContent>
              </v:textbox>
            </v:shape>
            <v:shape id="_x0000_s1135" o:spid="_x0000_s1076" type="#_x0000_t202" style="width:1800;height:624;left:5220;position:absolute;top:1716" coordsize="21600,21600">
              <v:stroke joinstyle="miter"/>
              <v:textbox>
                <w:txbxContent>
                  <w:p>
                    <w:pPr>
                      <w:jc w:val="center"/>
                    </w:pPr>
                    <w:r>
                      <w:rPr>
                        <w:rFonts w:hint="eastAsia"/>
                      </w:rPr>
                      <w:t>安全审计</w:t>
                    </w:r>
                  </w:p>
                </w:txbxContent>
              </v:textbox>
            </v:shape>
            <v:shape id="_x0000_s1136" o:spid="_x0000_s1077" type="#_x0000_t202" style="width:1800;height:624;left:5220;position:absolute" coordsize="21600,21600">
              <v:stroke joinstyle="miter"/>
              <v:textbox>
                <w:txbxContent>
                  <w:p>
                    <w:pPr>
                      <w:jc w:val="center"/>
                    </w:pPr>
                    <w:r>
                      <w:rPr>
                        <w:rFonts w:hint="eastAsia"/>
                      </w:rPr>
                      <w:t>密钥恢复</w:t>
                    </w:r>
                  </w:p>
                </w:txbxContent>
              </v:textbox>
            </v:shape>
            <v:shape id="_x0000_s1137" o:spid="_x0000_s1078" type="#_x0000_t202" style="width:1800;height:624;position:absolute;top:1716" coordsize="21600,21600">
              <v:stroke joinstyle="miter"/>
              <v:textbox>
                <w:txbxContent>
                  <w:p>
                    <w:pPr>
                      <w:jc w:val="center"/>
                    </w:pPr>
                    <w:r>
                      <w:rPr>
                        <w:rFonts w:hint="eastAsia"/>
                      </w:rPr>
                      <w:t>密码服务</w:t>
                    </w:r>
                  </w:p>
                </w:txbxContent>
              </v:textbox>
            </v:shape>
            <v:line id="_x0000_s1138" o:spid="_x0000_s1079" style="position:absolute" from="1800,2028" to="2520,2028" coordsize="21600,21600">
              <v:stroke startarrow="block" endarrow="block"/>
            </v:line>
            <v:line id="_x0000_s1139" o:spid="_x0000_s1080" style="position:absolute" from="900,2340" to="900,3120" coordsize="21600,21600">
              <v:stroke startarrow="block" endarrow="block"/>
            </v:line>
            <v:line id="_x0000_s1140" o:spid="_x0000_s1081" style="position:absolute" from="900,624" to="900,1716" coordsize="21600,21600">
              <v:stroke startarrow="block" endarrow="block"/>
            </v:line>
            <v:line id="_x0000_s1141" o:spid="_x0000_s1082" style="position:absolute" from="1800,312" to="2520,312" coordsize="21600,21600">
              <v:stroke endarrow="block"/>
            </v:line>
            <v:line id="_x0000_s1142" o:spid="_x0000_s1083" style="flip:y;position:absolute" from="3420,624" to="3420,1716" coordsize="21600,21600">
              <v:stroke startarrow="block" endarrow="block"/>
            </v:line>
            <v:line id="_x0000_s1143" o:spid="_x0000_s1084" style="position:absolute" from="1800,3432" to="2880,3432" coordsize="21600,21600">
              <v:stroke startarrow="block"/>
            </v:line>
            <v:line id="_x0000_s1144" o:spid="_x0000_s1085" style="flip:y;position:absolute" from="2880,2340" to="2880,3432" coordsize="21600,21600">
              <v:stroke endarrow="block"/>
            </v:line>
            <v:line id="_x0000_s1145" o:spid="_x0000_s1086" style="position:absolute" from="3960,2340" to="3960,3588" coordsize="21600,21600">
              <v:stroke startarrow="block" endarrow="block"/>
            </v:line>
            <v:line id="_x0000_s1146" o:spid="_x0000_s1087" style="position:absolute" from="4320,312" to="5220,312" coordsize="21600,21600">
              <v:stroke endarrow="block"/>
            </v:line>
            <v:line id="_x0000_s1147" o:spid="_x0000_s1088" style="position:absolute" from="4320,2028" to="5220,2028" coordsize="21600,21600">
              <v:stroke endarrow="block"/>
            </v:line>
            <v:line id="_x0000_s1148" o:spid="_x0000_s1089" style="position:absolute" from="6660,624" to="6660,1716" coordsize="21600,21600">
              <v:stroke endarrow="block"/>
            </v:line>
            <v:line id="_x0000_s1149" o:spid="_x0000_s1090" style="flip:y;position:absolute" from="1440,2808" to="1440,3120" coordsize="21600,21600"/>
            <v:line id="_x0000_s1150" o:spid="_x0000_s1091" style="position:absolute" from="1440,2808" to="5580,2808" coordsize="21600,21600"/>
            <v:line id="_x0000_s1151" o:spid="_x0000_s1092" style="flip:y;position:absolute" from="5580,2340" to="5580,2808" coordsize="21600,21600">
              <v:stroke endarrow="block"/>
            </v:line>
            <v:line id="_x0000_s1152" o:spid="_x0000_s1093" style="position:absolute" from="1440,624" to="1440,1248" coordsize="21600,21600"/>
            <v:line id="_x0000_s1153" o:spid="_x0000_s1094" style="position:absolute" from="1440,1248" to="5580,1248" coordsize="21600,21600"/>
            <v:line id="_x0000_s1154" o:spid="_x0000_s1095" style="position:absolute" from="5580,1248" to="5580,1716" coordsize="21600,21600">
              <v:stroke endarrow="block"/>
            </v:line>
            <v:line id="_x0000_s1155" o:spid="_x0000_s1096" style="position:absolute" from="3960,624" to="3960,936" coordsize="21600,21600"/>
            <v:line id="_x0000_s1156" o:spid="_x0000_s1097" style="position:absolute" from="3960,936" to="6120,936" coordsize="21600,21600"/>
            <v:line id="_x0000_s1157" o:spid="_x0000_s1098" style="position:absolute" from="6120,936" to="6120,1716" coordsize="21600,21600">
              <v:stroke endarrow="block"/>
            </v:line>
            <v:shape id="_x0000_s1158" o:spid="_x0000_s1099" type="#_x0000_t202" style="width:720;height:624;left:3600;position:absolute;top:3588" coordsize="21600,21600" filled="f" stroked="f">
              <v:stroke joinstyle="miter"/>
              <v:textbox>
                <w:txbxContent>
                  <w:p>
                    <w:r>
                      <w:rPr>
                        <w:rFonts w:hint="eastAsia"/>
                      </w:rPr>
                      <w:t>CA</w:t>
                    </w:r>
                  </w:p>
                </w:txbxContent>
              </v:textbox>
            </v:shape>
            <w10:wrap type="square"/>
          </v:group>
        </w:pict>
      </w:r>
    </w:p>
    <w:p>
      <w:pPr>
        <w:rPr>
          <w:szCs w:val="24"/>
        </w:rPr>
      </w:pPr>
    </w:p>
    <w:p>
      <w:pPr>
        <w:widowControl/>
        <w:jc w:val="left"/>
        <w:rPr>
          <w:rFonts w:ascii="宋体"/>
          <w:kern w:val="0"/>
          <w:sz w:val="20"/>
          <w:szCs w:val="20"/>
        </w:rPr>
      </w:pPr>
    </w:p>
    <w:p>
      <w:pPr>
        <w:widowControl/>
        <w:jc w:val="left"/>
        <w:rPr>
          <w:rFonts w:ascii="宋体"/>
          <w:kern w:val="0"/>
          <w:sz w:val="20"/>
          <w:szCs w:val="20"/>
        </w:rPr>
      </w:pPr>
    </w:p>
    <w:p>
      <w:pPr>
        <w:widowControl/>
        <w:jc w:val="left"/>
        <w:rPr>
          <w:rFonts w:ascii="宋体"/>
          <w:kern w:val="0"/>
          <w:sz w:val="20"/>
          <w:szCs w:val="20"/>
        </w:rPr>
      </w:pPr>
    </w:p>
    <w:p>
      <w:pPr>
        <w:widowControl/>
        <w:jc w:val="left"/>
        <w:rPr>
          <w:rFonts w:ascii="宋体"/>
          <w:kern w:val="0"/>
          <w:sz w:val="20"/>
          <w:szCs w:val="20"/>
        </w:rPr>
      </w:pPr>
    </w:p>
    <w:p>
      <w:pPr>
        <w:widowControl/>
        <w:jc w:val="left"/>
        <w:rPr>
          <w:rFonts w:ascii="宋体"/>
          <w:kern w:val="0"/>
          <w:sz w:val="20"/>
          <w:szCs w:val="20"/>
        </w:rPr>
      </w:pPr>
    </w:p>
    <w:p>
      <w:pPr>
        <w:widowControl/>
        <w:jc w:val="left"/>
        <w:rPr>
          <w:rFonts w:ascii="宋体"/>
          <w:kern w:val="0"/>
          <w:sz w:val="20"/>
          <w:szCs w:val="20"/>
        </w:rPr>
      </w:pPr>
    </w:p>
    <w:p>
      <w:pPr>
        <w:widowControl/>
        <w:jc w:val="left"/>
        <w:rPr>
          <w:rFonts w:ascii="宋体"/>
          <w:kern w:val="0"/>
          <w:sz w:val="20"/>
          <w:szCs w:val="20"/>
        </w:rPr>
      </w:pPr>
    </w:p>
    <w:p>
      <w:pPr>
        <w:widowControl/>
        <w:jc w:val="left"/>
        <w:rPr>
          <w:rFonts w:ascii="宋体"/>
          <w:kern w:val="0"/>
          <w:sz w:val="20"/>
          <w:szCs w:val="20"/>
        </w:rPr>
      </w:pPr>
    </w:p>
    <w:p>
      <w:pPr>
        <w:rPr>
          <w:szCs w:val="24"/>
        </w:rPr>
      </w:pPr>
    </w:p>
    <w:p>
      <w:pPr>
        <w:widowControl/>
        <w:numPr>
          <w:ilvl w:val="0"/>
          <w:numId w:val="14"/>
        </w:numPr>
        <w:ind w:left="0" w:firstLine="0"/>
        <w:jc w:val="center"/>
        <w:rPr>
          <w:rFonts w:ascii="黑体" w:eastAsia="黑体"/>
          <w:kern w:val="0"/>
        </w:rPr>
      </w:pPr>
      <w:bookmarkStart w:id="251" w:name="_Toc99780060"/>
      <w:bookmarkStart w:id="252" w:name="_Toc99780457"/>
      <w:bookmarkStart w:id="253" w:name="_Toc286827954"/>
      <w:r>
        <w:rPr>
          <w:rFonts w:ascii="黑体" w:eastAsia="黑体" w:hint="eastAsia"/>
          <w:kern w:val="0"/>
        </w:rPr>
        <w:t>图3 密钥管理中心逻辑结构</w:t>
      </w:r>
      <w:bookmarkEnd w:id="251"/>
      <w:bookmarkEnd w:id="252"/>
      <w:bookmarkEnd w:id="253"/>
    </w:p>
    <w:p>
      <w:pPr>
        <w:widowControl/>
        <w:numPr>
          <w:ilvl w:val="2"/>
          <w:numId w:val="0"/>
        </w:numPr>
        <w:spacing w:before="156" w:beforeLines="50" w:after="156" w:afterLines="50"/>
        <w:jc w:val="left"/>
        <w:outlineLvl w:val="2"/>
        <w:rPr>
          <w:rFonts w:eastAsia="黑体"/>
          <w:kern w:val="0"/>
        </w:rPr>
      </w:pPr>
      <w:bookmarkStart w:id="254" w:name="_Toc15399911"/>
      <w:bookmarkStart w:id="255" w:name="_Toc99550871"/>
      <w:bookmarkStart w:id="256" w:name="_Toc445067651"/>
      <w:bookmarkStart w:id="257" w:name="_Toc358117235"/>
      <w:bookmarkStart w:id="258" w:name="_Toc99780370"/>
      <w:bookmarkStart w:id="259" w:name="_Toc99780079"/>
      <w:bookmarkStart w:id="260" w:name="_Toc101945691"/>
      <w:bookmarkStart w:id="261" w:name="_Toc171049714"/>
      <w:bookmarkStart w:id="262" w:name="_Toc290214338"/>
      <w:bookmarkStart w:id="263" w:name="_Toc15399910"/>
      <w:r>
        <w:rPr>
          <w:rFonts w:eastAsia="黑体" w:hint="eastAsia"/>
          <w:kern w:val="0"/>
        </w:rPr>
        <w:t>功能</w:t>
      </w:r>
      <w:bookmarkEnd w:id="254"/>
      <w:r>
        <w:rPr>
          <w:rFonts w:eastAsia="黑体" w:hint="eastAsia"/>
          <w:kern w:val="0"/>
        </w:rPr>
        <w:t>描述</w:t>
      </w:r>
      <w:bookmarkEnd w:id="255"/>
      <w:bookmarkEnd w:id="256"/>
      <w:bookmarkEnd w:id="257"/>
      <w:bookmarkEnd w:id="258"/>
      <w:bookmarkEnd w:id="259"/>
      <w:bookmarkEnd w:id="260"/>
      <w:bookmarkEnd w:id="261"/>
      <w:bookmarkEnd w:id="262"/>
    </w:p>
    <w:p>
      <w:pPr>
        <w:widowControl/>
        <w:numPr>
          <w:ilvl w:val="3"/>
          <w:numId w:val="15"/>
        </w:numPr>
        <w:spacing w:before="156" w:beforeLines="50" w:after="156" w:afterLines="50"/>
        <w:jc w:val="left"/>
        <w:outlineLvl w:val="3"/>
        <w:rPr>
          <w:rFonts w:eastAsia="黑体"/>
          <w:kern w:val="0"/>
        </w:rPr>
      </w:pPr>
      <w:bookmarkStart w:id="264" w:name="_Toc171049715"/>
      <w:r>
        <w:rPr>
          <w:rFonts w:eastAsia="黑体" w:hint="eastAsia"/>
          <w:kern w:val="0"/>
        </w:rPr>
        <w:t>概述</w:t>
      </w:r>
      <w:bookmarkEnd w:id="264"/>
    </w:p>
    <w:p>
      <w:pPr>
        <w:ind w:firstLine="420" w:firstLineChars="200"/>
        <w:rPr>
          <w:kern w:val="0"/>
        </w:rPr>
      </w:pPr>
      <w:r>
        <w:rPr>
          <w:rFonts w:hint="eastAsia"/>
          <w:kern w:val="0"/>
        </w:rPr>
        <w:t>密钥管理中心提供了对生命周期内的加密证书密钥对进行全过程管理的功能，包括密钥生成、密钥存储、密钥分发、密钥备份、密钥更新、密钥撤消、密钥归档、密钥恢复</w:t>
      </w:r>
      <w:r>
        <w:rPr>
          <w:kern w:val="0"/>
        </w:rPr>
        <w:t>以及安全管理</w:t>
      </w:r>
      <w:r>
        <w:rPr>
          <w:rFonts w:hint="eastAsia"/>
          <w:kern w:val="0"/>
        </w:rPr>
        <w:t>等。</w:t>
      </w:r>
    </w:p>
    <w:p>
      <w:pPr>
        <w:widowControl/>
        <w:numPr>
          <w:ilvl w:val="3"/>
          <w:numId w:val="15"/>
        </w:numPr>
        <w:spacing w:before="156" w:beforeLines="50" w:after="156" w:afterLines="50"/>
        <w:jc w:val="left"/>
        <w:outlineLvl w:val="3"/>
        <w:rPr>
          <w:rFonts w:eastAsia="黑体"/>
          <w:kern w:val="0"/>
        </w:rPr>
      </w:pPr>
      <w:bookmarkStart w:id="265" w:name="_Toc171049716"/>
      <w:bookmarkStart w:id="266" w:name="_Toc99550872"/>
      <w:r>
        <w:rPr>
          <w:rFonts w:eastAsia="黑体" w:hint="eastAsia"/>
          <w:kern w:val="0"/>
        </w:rPr>
        <w:t>密钥生成</w:t>
      </w:r>
      <w:bookmarkEnd w:id="265"/>
      <w:bookmarkEnd w:id="266"/>
    </w:p>
    <w:p>
      <w:pPr>
        <w:ind w:firstLine="420" w:firstLineChars="200"/>
        <w:rPr>
          <w:rFonts w:ascii="宋体" w:hAnsi="宋体"/>
          <w:kern w:val="0"/>
        </w:rPr>
      </w:pPr>
      <w:r>
        <w:rPr>
          <w:rFonts w:ascii="宋体" w:hAnsi="宋体" w:hint="eastAsia"/>
          <w:kern w:val="0"/>
        </w:rPr>
        <w:t>根据</w:t>
      </w:r>
      <w:r>
        <w:rPr>
          <w:rFonts w:ascii="宋体" w:hAnsi="宋体"/>
          <w:kern w:val="0"/>
        </w:rPr>
        <w:t>CA</w:t>
      </w:r>
      <w:r>
        <w:rPr>
          <w:rFonts w:ascii="宋体" w:hAnsi="宋体" w:hint="eastAsia"/>
          <w:kern w:val="0"/>
        </w:rPr>
        <w:t>的请求为用户生成非对称密钥对，该密钥对由密钥管理中心的硬件密码设备生成。</w:t>
      </w:r>
    </w:p>
    <w:p>
      <w:pPr>
        <w:widowControl/>
        <w:numPr>
          <w:ilvl w:val="3"/>
          <w:numId w:val="15"/>
        </w:numPr>
        <w:spacing w:before="156" w:beforeLines="50" w:after="156" w:afterLines="50"/>
        <w:jc w:val="left"/>
        <w:outlineLvl w:val="3"/>
        <w:rPr>
          <w:rFonts w:eastAsia="黑体"/>
          <w:kern w:val="0"/>
        </w:rPr>
      </w:pPr>
      <w:bookmarkStart w:id="267" w:name="_Toc99550873"/>
      <w:bookmarkStart w:id="268" w:name="_Toc171049717"/>
      <w:r>
        <w:rPr>
          <w:rFonts w:eastAsia="黑体" w:hint="eastAsia"/>
          <w:kern w:val="0"/>
        </w:rPr>
        <w:t>密钥存储</w:t>
      </w:r>
      <w:bookmarkEnd w:id="267"/>
      <w:bookmarkEnd w:id="268"/>
    </w:p>
    <w:p>
      <w:pPr>
        <w:ind w:firstLine="420" w:firstLineChars="200"/>
        <w:rPr>
          <w:kern w:val="0"/>
        </w:rPr>
      </w:pPr>
      <w:r>
        <w:rPr>
          <w:rFonts w:hint="eastAsia"/>
          <w:kern w:val="0"/>
        </w:rPr>
        <w:t>密钥管理中心生成的非对称密钥对，经硬件密码设备加密后存储在数据库中。</w:t>
      </w:r>
    </w:p>
    <w:p>
      <w:pPr>
        <w:widowControl/>
        <w:numPr>
          <w:ilvl w:val="3"/>
          <w:numId w:val="15"/>
        </w:numPr>
        <w:spacing w:before="156" w:beforeLines="50" w:after="156" w:afterLines="50"/>
        <w:jc w:val="left"/>
        <w:outlineLvl w:val="3"/>
        <w:rPr>
          <w:rFonts w:eastAsia="黑体"/>
          <w:kern w:val="0"/>
        </w:rPr>
      </w:pPr>
      <w:bookmarkStart w:id="269" w:name="_Toc99550874"/>
      <w:bookmarkStart w:id="270" w:name="_Toc171049718"/>
      <w:r>
        <w:rPr>
          <w:rFonts w:eastAsia="黑体" w:hint="eastAsia"/>
          <w:kern w:val="0"/>
        </w:rPr>
        <w:t>密钥分发</w:t>
      </w:r>
      <w:bookmarkEnd w:id="269"/>
      <w:bookmarkEnd w:id="270"/>
    </w:p>
    <w:p>
      <w:pPr>
        <w:ind w:firstLine="420" w:firstLineChars="200"/>
        <w:rPr>
          <w:kern w:val="0"/>
        </w:rPr>
      </w:pPr>
      <w:r>
        <w:rPr>
          <w:rFonts w:hint="eastAsia"/>
          <w:kern w:val="0"/>
        </w:rPr>
        <w:t>密钥管理中心生成的非对称密钥对通过证书认证系统分发到用户证书载体中。</w:t>
      </w:r>
    </w:p>
    <w:p>
      <w:pPr>
        <w:widowControl/>
        <w:numPr>
          <w:ilvl w:val="3"/>
          <w:numId w:val="15"/>
        </w:numPr>
        <w:spacing w:before="156" w:beforeLines="50" w:after="156" w:afterLines="50"/>
        <w:jc w:val="left"/>
        <w:outlineLvl w:val="3"/>
        <w:rPr>
          <w:rFonts w:eastAsia="黑体"/>
          <w:kern w:val="0"/>
        </w:rPr>
        <w:sectPr>
          <w:headerReference w:type="even" r:id="rId62"/>
          <w:headerReference w:type="default" r:id="rId63"/>
          <w:footerReference w:type="even" r:id="rId64"/>
          <w:footerReference w:type="default" r:id="rId65"/>
          <w:type w:val="nextPage"/>
          <w:pgSz w:w="11907" w:h="16839"/>
          <w:pgMar w:top="1418" w:right="1134" w:bottom="1134" w:left="1418" w:header="907" w:footer="851" w:gutter="0"/>
          <w:pgNumType w:start="12"/>
          <w:cols w:num="1" w:space="720"/>
          <w:titlePg w:val="0"/>
          <w:docGrid w:type="linesAndChars" w:linePitch="312" w:charSpace="0"/>
        </w:sectPr>
      </w:pPr>
      <w:bookmarkStart w:id="271" w:name="_Toc171049719"/>
      <w:bookmarkStart w:id="272" w:name="_Toc99550875"/>
      <w:r>
        <w:rPr>
          <w:rFonts w:eastAsia="黑体" w:hint="eastAsia"/>
          <w:kern w:val="0"/>
        </w:rPr>
        <w:t>密钥备份</w:t>
      </w:r>
      <w:bookmarkEnd w:id="271"/>
      <w:bookmarkEnd w:id="272"/>
    </w:p>
    <w:p>
      <w:pPr>
        <w:ind w:firstLine="420" w:firstLineChars="200"/>
        <w:rPr>
          <w:kern w:val="0"/>
        </w:rPr>
      </w:pPr>
      <w:r>
        <w:rPr>
          <w:rFonts w:hint="eastAsia"/>
          <w:kern w:val="0"/>
        </w:rPr>
        <w:t>密钥管理中心采用热备份、冷备份和异地备份等措施实现密钥备份。</w:t>
      </w:r>
    </w:p>
    <w:p>
      <w:pPr>
        <w:widowControl/>
        <w:numPr>
          <w:ilvl w:val="3"/>
          <w:numId w:val="15"/>
        </w:numPr>
        <w:spacing w:before="156" w:beforeLines="50" w:after="156" w:afterLines="50"/>
        <w:jc w:val="left"/>
        <w:outlineLvl w:val="3"/>
        <w:rPr>
          <w:rFonts w:eastAsia="黑体"/>
          <w:kern w:val="0"/>
        </w:rPr>
      </w:pPr>
      <w:bookmarkStart w:id="273" w:name="_Toc99550876"/>
      <w:bookmarkStart w:id="274" w:name="_Toc171049720"/>
      <w:r>
        <w:rPr>
          <w:rFonts w:eastAsia="黑体" w:hint="eastAsia"/>
          <w:kern w:val="0"/>
        </w:rPr>
        <w:t>密钥更新</w:t>
      </w:r>
      <w:bookmarkEnd w:id="273"/>
      <w:bookmarkEnd w:id="274"/>
    </w:p>
    <w:p>
      <w:pPr>
        <w:ind w:firstLine="420" w:firstLineChars="200"/>
        <w:rPr>
          <w:kern w:val="0"/>
        </w:rPr>
      </w:pPr>
      <w:r>
        <w:rPr>
          <w:rFonts w:hint="eastAsia"/>
          <w:kern w:val="0"/>
        </w:rPr>
        <w:t>当证书到期或用户需要时，密钥管</w:t>
      </w:r>
      <w:r>
        <w:rPr>
          <w:rFonts w:ascii="宋体" w:hAnsi="宋体" w:hint="eastAsia"/>
          <w:szCs w:val="24"/>
        </w:rPr>
        <w:t>理中心根据</w:t>
      </w:r>
      <w:r>
        <w:rPr>
          <w:rFonts w:ascii="宋体" w:hAnsi="宋体"/>
          <w:szCs w:val="24"/>
        </w:rPr>
        <w:t>CA</w:t>
      </w:r>
      <w:r>
        <w:rPr>
          <w:rFonts w:ascii="宋体" w:hAnsi="宋体" w:hint="eastAsia"/>
          <w:szCs w:val="24"/>
        </w:rPr>
        <w:t>请求为用户生成新的非对称</w:t>
      </w:r>
      <w:r>
        <w:rPr>
          <w:rFonts w:hint="eastAsia"/>
          <w:kern w:val="0"/>
        </w:rPr>
        <w:t>密钥对。</w:t>
      </w:r>
    </w:p>
    <w:p>
      <w:pPr>
        <w:widowControl/>
        <w:numPr>
          <w:ilvl w:val="3"/>
          <w:numId w:val="15"/>
        </w:numPr>
        <w:spacing w:before="156" w:beforeLines="50" w:after="156" w:afterLines="50"/>
        <w:jc w:val="left"/>
        <w:outlineLvl w:val="3"/>
        <w:rPr>
          <w:rFonts w:eastAsia="黑体"/>
          <w:kern w:val="0"/>
        </w:rPr>
      </w:pPr>
      <w:bookmarkStart w:id="275" w:name="_Toc171049721"/>
      <w:bookmarkStart w:id="276" w:name="_Toc99550877"/>
      <w:r>
        <w:rPr>
          <w:rFonts w:eastAsia="黑体" w:hint="eastAsia"/>
          <w:kern w:val="0"/>
        </w:rPr>
        <w:t>密钥撤消</w:t>
      </w:r>
      <w:bookmarkEnd w:id="275"/>
      <w:bookmarkEnd w:id="276"/>
    </w:p>
    <w:p>
      <w:pPr>
        <w:ind w:firstLine="420" w:firstLineChars="200"/>
        <w:rPr>
          <w:rFonts w:ascii="宋体" w:hAnsi="宋体"/>
          <w:szCs w:val="24"/>
        </w:rPr>
      </w:pPr>
      <w:r>
        <w:rPr>
          <w:rFonts w:ascii="宋体" w:hAnsi="宋体" w:hint="eastAsia"/>
          <w:szCs w:val="24"/>
        </w:rPr>
        <w:t>当证书到期、用户需要或管理机构依据合同规定认为必要时，密钥管理中心根据</w:t>
      </w:r>
      <w:r>
        <w:rPr>
          <w:rFonts w:ascii="宋体" w:hAnsi="宋体"/>
          <w:szCs w:val="24"/>
        </w:rPr>
        <w:t>CA</w:t>
      </w:r>
      <w:r>
        <w:rPr>
          <w:rFonts w:ascii="宋体" w:hAnsi="宋体" w:hint="eastAsia"/>
          <w:szCs w:val="24"/>
        </w:rPr>
        <w:t>请求撤消用户当前使用的密钥。</w:t>
      </w:r>
    </w:p>
    <w:p>
      <w:pPr>
        <w:widowControl/>
        <w:numPr>
          <w:ilvl w:val="3"/>
          <w:numId w:val="15"/>
        </w:numPr>
        <w:spacing w:before="156" w:beforeLines="50" w:after="156" w:afterLines="50"/>
        <w:jc w:val="left"/>
        <w:outlineLvl w:val="3"/>
        <w:rPr>
          <w:rFonts w:eastAsia="黑体"/>
          <w:kern w:val="0"/>
        </w:rPr>
      </w:pPr>
      <w:bookmarkStart w:id="277" w:name="_Toc99550878"/>
      <w:bookmarkStart w:id="278" w:name="_Toc171049722"/>
      <w:r>
        <w:rPr>
          <w:rFonts w:eastAsia="黑体" w:hint="eastAsia"/>
          <w:kern w:val="0"/>
        </w:rPr>
        <w:t>密钥归档</w:t>
      </w:r>
      <w:bookmarkEnd w:id="277"/>
      <w:bookmarkEnd w:id="278"/>
    </w:p>
    <w:p>
      <w:pPr>
        <w:ind w:firstLine="420" w:firstLineChars="200"/>
        <w:rPr>
          <w:kern w:val="0"/>
        </w:rPr>
      </w:pPr>
      <w:r>
        <w:rPr>
          <w:rFonts w:hint="eastAsia"/>
          <w:kern w:val="0"/>
        </w:rPr>
        <w:t>密钥管理中心为到期或撤消的密钥提供安全长期的存储。</w:t>
      </w:r>
    </w:p>
    <w:p>
      <w:pPr>
        <w:widowControl/>
        <w:numPr>
          <w:ilvl w:val="3"/>
          <w:numId w:val="15"/>
        </w:numPr>
        <w:spacing w:before="156" w:beforeLines="50" w:after="156" w:afterLines="50"/>
        <w:jc w:val="left"/>
        <w:outlineLvl w:val="3"/>
        <w:rPr>
          <w:rFonts w:eastAsia="黑体"/>
          <w:kern w:val="0"/>
        </w:rPr>
      </w:pPr>
      <w:bookmarkStart w:id="279" w:name="_Toc99550879"/>
      <w:bookmarkStart w:id="280" w:name="_Toc171049723"/>
      <w:r>
        <w:rPr>
          <w:rFonts w:eastAsia="黑体" w:hint="eastAsia"/>
          <w:kern w:val="0"/>
        </w:rPr>
        <w:t>密钥恢复</w:t>
      </w:r>
      <w:bookmarkEnd w:id="279"/>
      <w:bookmarkEnd w:id="280"/>
    </w:p>
    <w:p>
      <w:pPr>
        <w:ind w:firstLine="420" w:firstLineChars="200"/>
        <w:rPr>
          <w:kern w:val="0"/>
        </w:rPr>
      </w:pPr>
      <w:r>
        <w:rPr>
          <w:rFonts w:hint="eastAsia"/>
          <w:kern w:val="0"/>
        </w:rPr>
        <w:t>密钥管理中心可为用户提供密钥恢复服务和为司法取证提供特定密钥恢复。密钥恢复需依据相关法规并按管理策略进行审批，一般用户只限于恢复自身密钥。</w:t>
      </w:r>
    </w:p>
    <w:p>
      <w:pPr>
        <w:widowControl/>
        <w:numPr>
          <w:ilvl w:val="2"/>
          <w:numId w:val="0"/>
        </w:numPr>
        <w:spacing w:before="156" w:beforeLines="50" w:after="156" w:afterLines="50"/>
        <w:jc w:val="left"/>
        <w:outlineLvl w:val="2"/>
        <w:rPr>
          <w:rFonts w:eastAsia="黑体"/>
          <w:kern w:val="0"/>
        </w:rPr>
      </w:pPr>
      <w:bookmarkStart w:id="281" w:name="_Toc99550880"/>
      <w:bookmarkStart w:id="282" w:name="_Toc99780080"/>
      <w:bookmarkStart w:id="283" w:name="_Toc101945692"/>
      <w:bookmarkStart w:id="284" w:name="_Toc99780371"/>
      <w:bookmarkStart w:id="285" w:name="_Toc171049724"/>
      <w:bookmarkStart w:id="286" w:name="_Toc358117236"/>
      <w:bookmarkStart w:id="287" w:name="_Toc445067652"/>
      <w:bookmarkStart w:id="288" w:name="_Toc290214339"/>
      <w:r>
        <w:rPr>
          <w:rFonts w:eastAsia="黑体" w:hint="eastAsia"/>
          <w:kern w:val="0"/>
        </w:rPr>
        <w:t>系统</w:t>
      </w:r>
      <w:bookmarkEnd w:id="263"/>
      <w:r>
        <w:rPr>
          <w:rFonts w:eastAsia="黑体" w:hint="eastAsia"/>
          <w:kern w:val="0"/>
        </w:rPr>
        <w:t>设计</w:t>
      </w:r>
      <w:bookmarkEnd w:id="281"/>
      <w:bookmarkEnd w:id="282"/>
      <w:bookmarkEnd w:id="283"/>
      <w:bookmarkEnd w:id="284"/>
      <w:bookmarkEnd w:id="285"/>
      <w:bookmarkEnd w:id="286"/>
      <w:bookmarkEnd w:id="287"/>
      <w:bookmarkEnd w:id="288"/>
    </w:p>
    <w:p>
      <w:pPr>
        <w:widowControl/>
        <w:numPr>
          <w:ilvl w:val="3"/>
          <w:numId w:val="15"/>
        </w:numPr>
        <w:spacing w:before="156" w:beforeLines="50" w:after="156" w:afterLines="50"/>
        <w:jc w:val="left"/>
        <w:outlineLvl w:val="3"/>
        <w:rPr>
          <w:rFonts w:eastAsia="黑体"/>
          <w:kern w:val="0"/>
        </w:rPr>
      </w:pPr>
      <w:bookmarkStart w:id="289" w:name="_Toc171049725"/>
      <w:r>
        <w:rPr>
          <w:rFonts w:eastAsia="黑体" w:hint="eastAsia"/>
          <w:kern w:val="0"/>
        </w:rPr>
        <w:t>概述</w:t>
      </w:r>
      <w:bookmarkEnd w:id="289"/>
    </w:p>
    <w:p>
      <w:pPr>
        <w:ind w:firstLine="420" w:firstLineChars="200"/>
        <w:rPr>
          <w:kern w:val="0"/>
        </w:rPr>
      </w:pPr>
      <w:r>
        <w:rPr>
          <w:rFonts w:hint="eastAsia"/>
          <w:kern w:val="0"/>
        </w:rPr>
        <w:t>密钥管理中心的设计包括系统的整体设计和各子系统设计。本标准提供密钥管理中心的设计原则以及各个子系统的实现方式，在具体实现过程中，应根据所选择的开发平台和开发环境进行详细设计。</w:t>
      </w:r>
    </w:p>
    <w:p>
      <w:pPr>
        <w:widowControl/>
        <w:numPr>
          <w:ilvl w:val="3"/>
          <w:numId w:val="15"/>
        </w:numPr>
        <w:spacing w:before="156" w:beforeLines="50" w:after="156" w:afterLines="50"/>
        <w:jc w:val="left"/>
        <w:outlineLvl w:val="3"/>
        <w:rPr>
          <w:rFonts w:eastAsia="黑体"/>
          <w:kern w:val="0"/>
        </w:rPr>
      </w:pPr>
      <w:bookmarkStart w:id="290" w:name="_Toc99550881"/>
      <w:bookmarkStart w:id="291" w:name="_Toc171049726"/>
      <w:r>
        <w:rPr>
          <w:rFonts w:eastAsia="黑体" w:hint="eastAsia"/>
          <w:kern w:val="0"/>
        </w:rPr>
        <w:t>总体设计原则</w:t>
      </w:r>
      <w:bookmarkEnd w:id="290"/>
      <w:bookmarkEnd w:id="291"/>
    </w:p>
    <w:p>
      <w:pPr>
        <w:tabs>
          <w:tab w:val="left" w:pos="851"/>
          <w:tab w:val="left" w:pos="1288"/>
        </w:tabs>
        <w:ind w:left="840" w:hanging="420" w:leftChars="200" w:hangingChars="200"/>
        <w:jc w:val="left"/>
        <w:rPr>
          <w:rFonts w:ascii="宋体"/>
          <w:kern w:val="0"/>
        </w:rPr>
      </w:pPr>
      <w:r>
        <w:rPr>
          <w:rFonts w:ascii="宋体" w:hint="eastAsia"/>
          <w:kern w:val="0"/>
        </w:rPr>
        <w:t>密钥管理中心遵循标准化、模块化设计原则；</w:t>
      </w:r>
    </w:p>
    <w:p>
      <w:pPr>
        <w:tabs>
          <w:tab w:val="left" w:pos="851"/>
          <w:tab w:val="left" w:pos="1288"/>
        </w:tabs>
        <w:ind w:left="840" w:hanging="420" w:leftChars="200" w:hangingChars="200"/>
        <w:jc w:val="left"/>
        <w:rPr>
          <w:rFonts w:ascii="宋体"/>
          <w:kern w:val="0"/>
        </w:rPr>
      </w:pPr>
      <w:r>
        <w:rPr>
          <w:rFonts w:ascii="宋体" w:hint="eastAsia"/>
          <w:kern w:val="0"/>
        </w:rPr>
        <w:t>密钥管理中心设置相对独立的功能模块，通过各模块之间的安全连接，实现各项功能；</w:t>
      </w:r>
    </w:p>
    <w:p>
      <w:pPr>
        <w:tabs>
          <w:tab w:val="left" w:pos="851"/>
          <w:tab w:val="left" w:pos="1288"/>
        </w:tabs>
        <w:ind w:left="840" w:hanging="420" w:leftChars="200" w:hangingChars="200"/>
        <w:jc w:val="left"/>
        <w:rPr>
          <w:rFonts w:ascii="宋体"/>
          <w:kern w:val="0"/>
        </w:rPr>
      </w:pPr>
      <w:r>
        <w:rPr>
          <w:rFonts w:ascii="宋体" w:hint="eastAsia"/>
          <w:kern w:val="0"/>
        </w:rPr>
        <w:t>各模块之间的通信采用基于身份验证机制的安全通信协议；</w:t>
      </w:r>
    </w:p>
    <w:p>
      <w:pPr>
        <w:tabs>
          <w:tab w:val="left" w:pos="851"/>
          <w:tab w:val="left" w:pos="1288"/>
        </w:tabs>
        <w:ind w:left="840" w:hanging="420" w:leftChars="200" w:hangingChars="200"/>
        <w:jc w:val="left"/>
        <w:rPr>
          <w:rFonts w:ascii="宋体"/>
          <w:kern w:val="0"/>
        </w:rPr>
      </w:pPr>
      <w:r>
        <w:rPr>
          <w:rFonts w:ascii="宋体" w:hint="eastAsia"/>
          <w:kern w:val="0"/>
        </w:rPr>
        <w:t>各模块使用的密码运算都必须在密码设备中完成；</w:t>
      </w:r>
    </w:p>
    <w:p>
      <w:pPr>
        <w:tabs>
          <w:tab w:val="left" w:pos="851"/>
          <w:tab w:val="left" w:pos="1288"/>
        </w:tabs>
        <w:ind w:left="840" w:hanging="420" w:leftChars="200" w:hangingChars="200"/>
        <w:jc w:val="left"/>
        <w:rPr>
          <w:rFonts w:ascii="宋体"/>
          <w:kern w:val="0"/>
        </w:rPr>
      </w:pPr>
      <w:r>
        <w:rPr>
          <w:rFonts w:ascii="宋体" w:hint="eastAsia"/>
          <w:kern w:val="0"/>
        </w:rPr>
        <w:t>各模块产生的审计日志文件采用统一的格式传递和存储；</w:t>
      </w:r>
    </w:p>
    <w:p>
      <w:pPr>
        <w:tabs>
          <w:tab w:val="left" w:pos="851"/>
          <w:tab w:val="left" w:pos="1288"/>
        </w:tabs>
        <w:ind w:left="840" w:hanging="420" w:leftChars="200" w:hangingChars="200"/>
        <w:jc w:val="left"/>
        <w:rPr>
          <w:rFonts w:ascii="宋体"/>
          <w:kern w:val="0"/>
        </w:rPr>
      </w:pPr>
      <w:r>
        <w:rPr>
          <w:rFonts w:ascii="宋体" w:hint="eastAsia"/>
          <w:kern w:val="0"/>
        </w:rPr>
        <w:t>系统必须具备访问控制功能；</w:t>
      </w:r>
    </w:p>
    <w:p>
      <w:pPr>
        <w:tabs>
          <w:tab w:val="left" w:pos="851"/>
          <w:tab w:val="left" w:pos="1288"/>
        </w:tabs>
        <w:ind w:left="840" w:hanging="420" w:leftChars="200" w:hangingChars="200"/>
        <w:jc w:val="left"/>
        <w:rPr>
          <w:rFonts w:ascii="宋体"/>
          <w:kern w:val="0"/>
        </w:rPr>
      </w:pPr>
      <w:r>
        <w:rPr>
          <w:rFonts w:ascii="宋体" w:hint="eastAsia"/>
          <w:kern w:val="0"/>
        </w:rPr>
        <w:t>系统应设置有效的系统管理功能；</w:t>
      </w:r>
    </w:p>
    <w:p>
      <w:pPr>
        <w:tabs>
          <w:tab w:val="left" w:pos="851"/>
          <w:tab w:val="left" w:pos="1288"/>
        </w:tabs>
        <w:ind w:left="840" w:hanging="420" w:leftChars="200" w:hangingChars="200"/>
        <w:jc w:val="left"/>
        <w:rPr>
          <w:rFonts w:ascii="宋体"/>
          <w:kern w:val="0"/>
        </w:rPr>
      </w:pPr>
      <w:r>
        <w:rPr>
          <w:rFonts w:ascii="宋体" w:hint="eastAsia"/>
          <w:kern w:val="0"/>
        </w:rPr>
        <w:t>系统在实现密钥管理功能的同时，必须充分考虑系统本身的安全性；</w:t>
      </w:r>
    </w:p>
    <w:p>
      <w:pPr>
        <w:tabs>
          <w:tab w:val="left" w:pos="851"/>
          <w:tab w:val="left" w:pos="1288"/>
        </w:tabs>
        <w:ind w:left="840" w:hanging="420" w:leftChars="200" w:hangingChars="200"/>
        <w:jc w:val="left"/>
        <w:rPr>
          <w:rFonts w:ascii="宋体"/>
          <w:kern w:val="0"/>
        </w:rPr>
      </w:pPr>
      <w:r>
        <w:rPr>
          <w:rFonts w:ascii="宋体" w:hint="eastAsia"/>
          <w:kern w:val="0"/>
        </w:rPr>
        <w:t>系统可为多个CA提供密钥服务，当为多个CA提供密钥服务时，由上级CA为密钥管理中心签发证书。</w:t>
      </w:r>
    </w:p>
    <w:p>
      <w:pPr>
        <w:widowControl/>
        <w:numPr>
          <w:ilvl w:val="3"/>
          <w:numId w:val="15"/>
        </w:numPr>
        <w:spacing w:before="156" w:beforeLines="50" w:after="156" w:afterLines="50"/>
        <w:jc w:val="left"/>
        <w:outlineLvl w:val="3"/>
        <w:rPr>
          <w:rFonts w:eastAsia="黑体"/>
          <w:kern w:val="0"/>
        </w:rPr>
      </w:pPr>
      <w:bookmarkStart w:id="292" w:name="_Toc15399914"/>
      <w:bookmarkStart w:id="293" w:name="_Toc99550882"/>
      <w:bookmarkStart w:id="294" w:name="_Toc171049727"/>
      <w:r>
        <w:rPr>
          <w:rFonts w:eastAsia="黑体" w:hint="eastAsia"/>
          <w:kern w:val="0"/>
        </w:rPr>
        <w:t>密钥生成</w:t>
      </w:r>
      <w:bookmarkEnd w:id="292"/>
      <w:r>
        <w:rPr>
          <w:rFonts w:eastAsia="黑体" w:hint="eastAsia"/>
          <w:kern w:val="0"/>
        </w:rPr>
        <w:t>模块</w:t>
      </w:r>
      <w:bookmarkEnd w:id="293"/>
      <w:bookmarkEnd w:id="294"/>
    </w:p>
    <w:p>
      <w:pPr>
        <w:ind w:firstLine="420" w:firstLineChars="200"/>
        <w:rPr>
          <w:kern w:val="0"/>
        </w:rPr>
      </w:pPr>
      <w:r>
        <w:rPr>
          <w:rFonts w:hint="eastAsia"/>
          <w:kern w:val="0"/>
        </w:rPr>
        <w:t>密钥生成模块应提供以下主要功能：</w:t>
      </w:r>
    </w:p>
    <w:p>
      <w:pPr>
        <w:tabs>
          <w:tab w:val="left" w:pos="851"/>
          <w:tab w:val="left" w:pos="1288"/>
        </w:tabs>
        <w:ind w:left="840" w:hanging="420" w:leftChars="200" w:hangingChars="200"/>
        <w:jc w:val="left"/>
        <w:rPr>
          <w:rFonts w:ascii="宋体"/>
          <w:kern w:val="0"/>
        </w:rPr>
      </w:pPr>
      <w:r>
        <w:rPr>
          <w:rFonts w:ascii="宋体" w:hint="eastAsia"/>
          <w:kern w:val="0"/>
        </w:rPr>
        <w:t>非对称密钥对的生成，并将其保存在备用库中；当备用库中密钥数量不足时，自动进行补充；</w:t>
      </w:r>
    </w:p>
    <w:p>
      <w:pPr>
        <w:tabs>
          <w:tab w:val="left" w:pos="851"/>
          <w:tab w:val="left" w:pos="1288"/>
        </w:tabs>
        <w:ind w:left="840" w:hanging="420" w:leftChars="200" w:hangingChars="200"/>
        <w:jc w:val="left"/>
        <w:rPr>
          <w:rFonts w:ascii="宋体"/>
          <w:kern w:val="0"/>
        </w:rPr>
      </w:pPr>
      <w:r>
        <w:rPr>
          <w:rFonts w:ascii="宋体" w:hint="eastAsia"/>
          <w:kern w:val="0"/>
        </w:rPr>
        <w:t>对称密钥的生成；</w:t>
      </w:r>
    </w:p>
    <w:p>
      <w:pPr>
        <w:tabs>
          <w:tab w:val="left" w:pos="851"/>
          <w:tab w:val="left" w:pos="1288"/>
        </w:tabs>
        <w:ind w:left="840" w:hanging="420" w:leftChars="200" w:hangingChars="200"/>
        <w:jc w:val="left"/>
        <w:rPr>
          <w:rFonts w:ascii="宋体"/>
          <w:kern w:val="0"/>
        </w:rPr>
      </w:pPr>
      <w:r>
        <w:rPr>
          <w:rFonts w:ascii="宋体" w:hint="eastAsia"/>
          <w:kern w:val="0"/>
        </w:rPr>
        <w:t>随机数的生成。</w:t>
      </w:r>
    </w:p>
    <w:p>
      <w:pPr>
        <w:widowControl/>
        <w:numPr>
          <w:ilvl w:val="3"/>
          <w:numId w:val="15"/>
        </w:numPr>
        <w:spacing w:before="156" w:beforeLines="50" w:after="156" w:afterLines="50"/>
        <w:jc w:val="left"/>
        <w:outlineLvl w:val="3"/>
        <w:rPr>
          <w:rFonts w:eastAsia="黑体"/>
          <w:kern w:val="0"/>
        </w:rPr>
      </w:pPr>
      <w:bookmarkStart w:id="295" w:name="_Toc15399915"/>
      <w:bookmarkStart w:id="296" w:name="_Toc99550883"/>
      <w:bookmarkStart w:id="297" w:name="_Toc171049728"/>
      <w:r>
        <w:rPr>
          <w:rFonts w:eastAsia="黑体" w:hint="eastAsia"/>
          <w:kern w:val="0"/>
        </w:rPr>
        <w:t>密钥管理</w:t>
      </w:r>
      <w:bookmarkEnd w:id="295"/>
      <w:r>
        <w:rPr>
          <w:rFonts w:eastAsia="黑体" w:hint="eastAsia"/>
          <w:kern w:val="0"/>
        </w:rPr>
        <w:t>模块</w:t>
      </w:r>
      <w:bookmarkEnd w:id="296"/>
      <w:bookmarkEnd w:id="297"/>
    </w:p>
    <w:p>
      <w:pPr>
        <w:ind w:firstLine="420" w:firstLineChars="200"/>
        <w:rPr>
          <w:kern w:val="0"/>
        </w:rPr>
      </w:pPr>
      <w:r>
        <w:rPr>
          <w:rFonts w:hint="eastAsia"/>
          <w:kern w:val="0"/>
        </w:rPr>
        <w:t>密钥管理模块应提供以下主要功能：</w:t>
      </w:r>
    </w:p>
    <w:p>
      <w:pPr>
        <w:tabs>
          <w:tab w:val="left" w:pos="851"/>
          <w:tab w:val="left" w:pos="1288"/>
        </w:tabs>
        <w:ind w:left="840" w:hanging="420" w:leftChars="200" w:hangingChars="200"/>
        <w:jc w:val="left"/>
        <w:rPr>
          <w:rFonts w:ascii="宋体"/>
          <w:kern w:val="0"/>
        </w:rPr>
      </w:pPr>
      <w:r>
        <w:rPr>
          <w:rFonts w:ascii="宋体" w:hint="eastAsia"/>
          <w:kern w:val="0"/>
        </w:rPr>
        <w:t>接收、审核</w:t>
      </w:r>
      <w:r>
        <w:rPr>
          <w:rFonts w:ascii="宋体"/>
          <w:kern w:val="0"/>
        </w:rPr>
        <w:t>CA</w:t>
      </w:r>
      <w:r>
        <w:rPr>
          <w:rFonts w:ascii="宋体" w:hint="eastAsia"/>
          <w:kern w:val="0"/>
        </w:rPr>
        <w:t>的密钥申请；</w:t>
      </w:r>
    </w:p>
    <w:p>
      <w:pPr>
        <w:tabs>
          <w:tab w:val="left" w:pos="851"/>
          <w:tab w:val="left" w:pos="1288"/>
        </w:tabs>
        <w:ind w:left="840" w:hanging="420" w:leftChars="200" w:hangingChars="200"/>
        <w:jc w:val="left"/>
        <w:rPr>
          <w:rFonts w:ascii="宋体"/>
          <w:kern w:val="0"/>
        </w:rPr>
      </w:pPr>
      <w:r>
        <w:rPr>
          <w:rFonts w:ascii="宋体" w:hint="eastAsia"/>
          <w:kern w:val="0"/>
        </w:rPr>
        <w:t>调用备用密钥库中的密钥对；</w:t>
      </w:r>
    </w:p>
    <w:p>
      <w:pPr>
        <w:tabs>
          <w:tab w:val="left" w:pos="851"/>
          <w:tab w:val="left" w:pos="1288"/>
        </w:tabs>
        <w:ind w:left="840" w:hanging="420" w:leftChars="200" w:hangingChars="200"/>
        <w:jc w:val="left"/>
        <w:rPr>
          <w:rFonts w:ascii="宋体"/>
          <w:kern w:val="0"/>
        </w:rPr>
      </w:pPr>
      <w:r>
        <w:rPr>
          <w:rFonts w:ascii="宋体" w:hint="eastAsia"/>
          <w:kern w:val="0"/>
        </w:rPr>
        <w:t>向</w:t>
      </w:r>
      <w:r>
        <w:rPr>
          <w:rFonts w:ascii="宋体"/>
          <w:kern w:val="0"/>
        </w:rPr>
        <w:t>CA</w:t>
      </w:r>
      <w:r>
        <w:rPr>
          <w:rFonts w:ascii="宋体" w:hint="eastAsia"/>
          <w:kern w:val="0"/>
        </w:rPr>
        <w:t>发送密钥对；</w:t>
      </w:r>
    </w:p>
    <w:p>
      <w:pPr>
        <w:tabs>
          <w:tab w:val="left" w:pos="851"/>
          <w:tab w:val="left" w:pos="1288"/>
        </w:tabs>
        <w:ind w:left="840" w:hanging="420" w:leftChars="200" w:hangingChars="200"/>
        <w:jc w:val="left"/>
        <w:rPr>
          <w:rFonts w:ascii="宋体"/>
          <w:kern w:val="0"/>
        </w:rPr>
      </w:pPr>
      <w:r>
        <w:rPr>
          <w:rFonts w:ascii="宋体" w:hint="eastAsia"/>
          <w:kern w:val="0"/>
        </w:rPr>
        <w:t>对调用的备用密钥库中的密钥对进行处理，并将其转移到在用密钥库；</w:t>
      </w:r>
      <w:r>
        <w:rPr>
          <w:rFonts w:ascii="宋体"/>
          <w:kern w:val="0"/>
        </w:rPr>
        <w:br/>
      </w:r>
      <w:r>
        <w:rPr>
          <w:rFonts w:ascii="宋体"/>
          <w:kern w:val="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https://d.book118.com/957001061100006042</w:t>
        </w:r>
      </w:hyperlink>
    </w:p>
    <w:p>
      <w:pPr>
        <w:tabs>
          <w:tab w:val="left" w:pos="851"/>
          <w:tab w:val="left" w:pos="1288"/>
        </w:tabs>
        <w:ind w:left="840" w:hanging="420" w:leftChars="200" w:hangingChars="200"/>
        <w:jc w:val="left"/>
        <w:rPr>
          <w:rFonts w:ascii="宋体"/>
          <w:kern w:val="0"/>
        </w:rPr>
      </w:pPr>
    </w:p>
    <w:sectPr>
      <w:headerReference w:type="even" r:id="rId67"/>
      <w:headerReference w:type="default" r:id="rId68"/>
      <w:footerReference w:type="even" r:id="rId69"/>
      <w:footerReference w:type="default" r:id="rId70"/>
      <w:type w:val="nextPage"/>
      <w:pgSz w:w="11907" w:h="16839"/>
      <w:pgMar w:top="1418" w:right="1134" w:bottom="1134" w:left="1418" w:header="907" w:footer="851" w:gutter="0"/>
      <w:pgNumType w:start="13"/>
      <w:cols w:num="1" w:space="720"/>
      <w:titlePg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JKAOA+TimesNewRoman,Bold">
    <w:altName w:val="宋体"/>
    <w:panose1 w:val="00000000000000000000"/>
    <w:charset w:val="86"/>
    <w:family w:val="roma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30</w:t>
    </w:r>
    <w:r>
      <w:rPr>
        <w:rStyle w:val="PageNumber"/>
        <w:rFonts w:ascii="宋体" w:hAnsi="宋体"/>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ind w:right="720"/>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30</w:t>
    </w:r>
    <w:r>
      <w:rPr>
        <w:rStyle w:val="PageNumber"/>
        <w:rFonts w:ascii="宋体" w:hAnsi="宋体"/>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1</w:t>
    </w:r>
    <w:r>
      <w:rPr>
        <w:rFonts w:ascii="宋体" w:hAnsi="宋体"/>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30</w:t>
    </w:r>
    <w:r>
      <w:rPr>
        <w:rStyle w:val="PageNumber"/>
        <w:rFonts w:ascii="宋体" w:hAnsi="宋体"/>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1</w:t>
    </w:r>
    <w:r>
      <w:rPr>
        <w:rFonts w:ascii="宋体" w:hAnsi="宋体"/>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2</w:t>
    </w:r>
    <w:r>
      <w:rPr>
        <w:rStyle w:val="PageNumber"/>
        <w:rFonts w:ascii="宋体" w:hAnsi="宋体"/>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31</w:t>
    </w:r>
    <w:r>
      <w:rPr>
        <w:rFonts w:ascii="宋体" w:hAnsi="宋体"/>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30</w:t>
    </w:r>
    <w:r>
      <w:rPr>
        <w:rStyle w:val="PageNumber"/>
        <w:rFonts w:ascii="宋体" w:hAnsi="宋体"/>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3</w:t>
    </w:r>
    <w:r>
      <w:rPr>
        <w:rFonts w:ascii="宋体" w:hAnsi="宋体"/>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4</w:t>
    </w:r>
    <w:r>
      <w:rPr>
        <w:rStyle w:val="PageNumber"/>
        <w:rFonts w:ascii="宋体" w:hAnsi="宋体"/>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31</w:t>
    </w:r>
    <w:r>
      <w:rPr>
        <w:rFonts w:ascii="宋体" w:hAnsi="宋体"/>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30</w:t>
    </w:r>
    <w:r>
      <w:rPr>
        <w:rStyle w:val="PageNumber"/>
        <w:rFonts w:ascii="宋体" w:hAnsi="宋体"/>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5</w:t>
    </w:r>
    <w:r>
      <w:rPr>
        <w:rFonts w:ascii="宋体" w:hAnsi="宋体"/>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6</w:t>
    </w:r>
    <w:r>
      <w:rPr>
        <w:rStyle w:val="PageNumber"/>
        <w:rFonts w:ascii="宋体" w:hAnsi="宋体"/>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31</w:t>
    </w:r>
    <w:r>
      <w:rPr>
        <w:rFonts w:ascii="宋体" w:hAnsi="宋体"/>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30</w:t>
    </w:r>
    <w:r>
      <w:rPr>
        <w:rStyle w:val="PageNumber"/>
        <w:rFonts w:ascii="宋体" w:hAnsi="宋体"/>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7</w:t>
    </w:r>
    <w:r>
      <w:rPr>
        <w:rFonts w:ascii="宋体" w:hAnsi="宋体"/>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8</w:t>
    </w:r>
    <w:r>
      <w:rPr>
        <w:rStyle w:val="PageNumber"/>
        <w:rFonts w:ascii="宋体" w:hAnsi="宋体"/>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31</w:t>
    </w:r>
    <w:r>
      <w:rPr>
        <w:rFonts w:ascii="宋体" w:hAnsi="宋体"/>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30</w:t>
    </w:r>
    <w:r>
      <w:rPr>
        <w:rStyle w:val="PageNumber"/>
        <w:rFonts w:ascii="宋体" w:hAnsi="宋体"/>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9</w:t>
    </w:r>
    <w:r>
      <w:rPr>
        <w:rFonts w:ascii="宋体" w:hAnsi="宋体"/>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10</w:t>
    </w:r>
    <w:r>
      <w:rPr>
        <w:rStyle w:val="PageNumber"/>
        <w:rFonts w:ascii="宋体" w:hAnsi="宋体"/>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11</w:t>
    </w:r>
    <w:r>
      <w:rPr>
        <w:rFonts w:ascii="宋体" w:hAnsi="宋体"/>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30</w:t>
    </w:r>
    <w:r>
      <w:rPr>
        <w:rStyle w:val="PageNumber"/>
        <w:rFonts w:ascii="宋体" w:hAnsi="宋体"/>
      </w:rP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11</w:t>
    </w:r>
    <w:r>
      <w:rPr>
        <w:rFonts w:ascii="宋体" w:hAnsi="宋体"/>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12</w:t>
    </w:r>
    <w:r>
      <w:rPr>
        <w:rStyle w:val="PageNumber"/>
        <w:rFonts w:ascii="宋体" w:hAnsi="宋体"/>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31</w:t>
    </w:r>
    <w:r>
      <w:rPr>
        <w:rFonts w:ascii="宋体" w:hAnsi="宋体"/>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30</w:t>
    </w:r>
    <w:r>
      <w:rPr>
        <w:rStyle w:val="PageNumber"/>
        <w:rFonts w:ascii="宋体" w:hAnsi="宋体"/>
      </w:rP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17"/>
        <w:rFonts w:ascii="宋体" w:hAnsi="宋体"/>
      </w:rPr>
    </w:pPr>
    <w:r>
      <w:rPr>
        <w:rFonts w:ascii="宋体" w:hAnsi="宋体"/>
      </w:rPr>
      <w:fldChar w:fldCharType="begin"/>
    </w:r>
    <w:r>
      <w:rPr>
        <w:rStyle w:val="17"/>
        <w:rFonts w:ascii="宋体" w:hAnsi="宋体"/>
      </w:rPr>
      <w:instrText xml:space="preserve">PAGE  </w:instrText>
    </w:r>
    <w:r>
      <w:rPr>
        <w:rFonts w:ascii="宋体" w:hAnsi="宋体"/>
      </w:rPr>
      <w:fldChar w:fldCharType="separate"/>
    </w:r>
    <w:r>
      <w:rPr>
        <w:rStyle w:val="17"/>
        <w:rFonts w:ascii="宋体" w:hAnsi="宋体"/>
      </w:rPr>
      <w:t>13</w:t>
    </w:r>
    <w:r>
      <w:rPr>
        <w:rFonts w:ascii="宋体" w:hAnsi="宋体"/>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sz w:val="21"/>
        <w:szCs w:val="21"/>
      </w:rPr>
    </w:pPr>
    <w:r>
      <w:rPr>
        <w:rFonts w:ascii="黑体" w:eastAsia="黑体" w:hint="eastAsia"/>
        <w:sz w:val="21"/>
        <w:szCs w:val="21"/>
      </w:rPr>
      <w:t>GB/T 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hAnsi="黑体"/>
        <w:sz w:val="21"/>
        <w:szCs w:val="21"/>
      </w:rPr>
    </w:pPr>
    <w:r>
      <w:rPr>
        <w:rFonts w:ascii="黑体" w:eastAsia="黑体" w:hAnsi="黑体"/>
        <w:sz w:val="21"/>
        <w:szCs w:val="21"/>
      </w:rPr>
      <w:t>G</w:t>
    </w:r>
    <w:r>
      <w:rPr>
        <w:rFonts w:ascii="黑体" w:eastAsia="黑体" w:hAnsi="黑体" w:hint="eastAsia"/>
        <w:sz w:val="21"/>
        <w:szCs w:val="21"/>
      </w:rPr>
      <w:t>B</w:t>
    </w:r>
    <w:r>
      <w:rPr>
        <w:rFonts w:ascii="黑体" w:eastAsia="黑体" w:hAnsi="黑体"/>
        <w:sz w:val="21"/>
        <w:szCs w:val="21"/>
      </w:rPr>
      <w:t xml:space="preserve">/T </w:t>
    </w:r>
    <w:r>
      <w:rPr>
        <w:rFonts w:ascii="黑体" w:eastAsia="黑体" w:hAnsi="黑体" w:hint="eastAsia"/>
        <w:sz w:val="21"/>
        <w:szCs w:val="21"/>
      </w:rPr>
      <w:t>XXXX</w:t>
    </w:r>
    <w:r>
      <w:rPr>
        <w:rFonts w:ascii="黑体" w:eastAsia="黑体" w:hAnsi="黑体"/>
        <w:sz w:val="21"/>
        <w:szCs w:val="21"/>
      </w:rPr>
      <w:t>-20</w:t>
    </w:r>
    <w:r>
      <w:rPr>
        <w:rFonts w:ascii="黑体" w:eastAsia="黑体" w:hAnsi="黑体" w:hint="eastAsia"/>
        <w:sz w:val="21"/>
        <w:szCs w:val="21"/>
      </w:rPr>
      <w:t>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
    <w:nsid w:val="00000009"/>
    <w:multiLevelType w:val="multilevel"/>
    <w:tmpl w:val="00000009"/>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
    <w:nsid w:val="0000000C"/>
    <w:multiLevelType w:val="multilevel"/>
    <w:tmpl w:val="0000000C"/>
    <w:lvl w:ilvl="0">
      <w:start w:val="1"/>
      <w:numFmt w:val="decimal"/>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
    <w:nsid w:val="0000000E"/>
    <w:multiLevelType w:val="multilevel"/>
    <w:tmpl w:val="0000000E"/>
    <w:lvl w:ilvl="0">
      <w:start w:val="1"/>
      <w:numFmt w:val="lowerLetter"/>
      <w:lvlText w:val="%1)"/>
      <w:lvlJc w:val="left"/>
      <w:pPr>
        <w:ind w:left="840" w:hanging="420"/>
      </w:pPr>
    </w:lvl>
    <w:lvl w:ilvl="1">
      <w:start w:val="1"/>
      <w:numFmt w:val="decimal"/>
      <w:lvlText w:val="（%2）"/>
      <w:lvlJc w:val="left"/>
      <w:pPr>
        <w:ind w:left="1560" w:hanging="72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0000000F"/>
    <w:multiLevelType w:val="multilevel"/>
    <w:tmpl w:val="0000000F"/>
    <w:lvl w:ilvl="0">
      <w:start w:val="1"/>
      <w:numFmt w:val="lowerLetter"/>
      <w:lvlText w:val="%1)"/>
      <w:lvlJc w:val="left"/>
      <w:pPr>
        <w:ind w:left="840" w:hanging="420"/>
      </w:pPr>
    </w:lvl>
    <w:lvl w:ilvl="1">
      <w:start w:val="1"/>
      <w:numFmt w:val="decimal"/>
      <w:lvlText w:val="（%2）"/>
      <w:lvlJc w:val="left"/>
      <w:pPr>
        <w:ind w:left="1560" w:hanging="72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0000010"/>
    <w:multiLevelType w:val="multilevel"/>
    <w:tmpl w:val="00000010"/>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6">
    <w:nsid w:val="00000012"/>
    <w:multiLevelType w:val="multilevel"/>
    <w:tmpl w:val="00000012"/>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7">
    <w:nsid w:val="00000013"/>
    <w:multiLevelType w:val="multilevel"/>
    <w:tmpl w:val="00000013"/>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8">
    <w:nsid w:val="00000015"/>
    <w:multiLevelType w:val="multilevel"/>
    <w:tmpl w:val="00000015"/>
    <w:lvl w:ilvl="0">
      <w:start w:val="1"/>
      <w:numFmt w:val="lowerLetter"/>
      <w:lvlText w:val="%1)"/>
      <w:lvlJc w:val="left"/>
      <w:pPr>
        <w:ind w:left="840" w:hanging="420"/>
      </w:pPr>
    </w:lvl>
    <w:lvl w:ilvl="1">
      <w:start w:val="1"/>
      <w:numFmt w:val="decimal"/>
      <w:lvlText w:val="（%2）"/>
      <w:lvlJc w:val="left"/>
      <w:pPr>
        <w:ind w:left="1560" w:hanging="72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00000017"/>
    <w:multiLevelType w:val="multilevel"/>
    <w:tmpl w:val="00000017"/>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0">
    <w:nsid w:val="00000018"/>
    <w:multiLevelType w:val="multilevel"/>
    <w:tmpl w:val="00000018"/>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1">
    <w:nsid w:val="00000019"/>
    <w:multiLevelType w:val="multilevel"/>
    <w:tmpl w:val="00000019"/>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2">
    <w:nsid w:val="0000001A"/>
    <w:multiLevelType w:val="multilevel"/>
    <w:tmpl w:val="0000001A"/>
    <w:lvl w:ilvl="0">
      <w:start w:val="1"/>
      <w:numFmt w:val="upperLetter"/>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hint="eastAsia"/>
      </w:rPr>
    </w:lvl>
    <w:lvl w:ilvl="2">
      <w:start w:val="1"/>
      <w:numFmt w:val="decimal"/>
      <w:lvlText w:val="%1.%2.%3"/>
      <w:lvlJc w:val="left"/>
      <w:pPr>
        <w:tabs>
          <w:tab w:val="left" w:pos="709"/>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3">
    <w:nsid w:val="0000001B"/>
    <w:multiLevelType w:val="multilevel"/>
    <w:tmpl w:val="0000001B"/>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4">
    <w:nsid w:val="0000001C"/>
    <w:multiLevelType w:val="multilevel"/>
    <w:tmpl w:val="0000001C"/>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5">
    <w:nsid w:val="0000001D"/>
    <w:multiLevelType w:val="multilevel"/>
    <w:tmpl w:val="0000001D"/>
    <w:lvl w:ilvl="0">
      <w:start w:val="1"/>
      <w:numFmt w:val="lowerLetter"/>
      <w:lvlText w:val="%1)"/>
      <w:lvlJc w:val="left"/>
      <w:pPr>
        <w:ind w:left="840" w:hanging="420"/>
      </w:pPr>
    </w:lvl>
    <w:lvl w:ilvl="1">
      <w:start w:val="1"/>
      <w:numFmt w:val="decimal"/>
      <w:lvlText w:val="（%2）"/>
      <w:lvlJc w:val="left"/>
      <w:pPr>
        <w:ind w:left="1560" w:hanging="72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nsid w:val="00000020"/>
    <w:multiLevelType w:val="multilevel"/>
    <w:tmpl w:val="00000020"/>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7">
    <w:nsid w:val="00000021"/>
    <w:multiLevelType w:val="multilevel"/>
    <w:tmpl w:val="00000021"/>
    <w:lvl w:ilvl="0">
      <w:start w:val="1"/>
      <w:numFmt w:val="decimal"/>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00000022"/>
    <w:multiLevelType w:val="multilevel"/>
    <w:tmpl w:val="00000022"/>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9">
    <w:nsid w:val="00000023"/>
    <w:multiLevelType w:val="multilevel"/>
    <w:tmpl w:val="00000023"/>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0">
    <w:nsid w:val="00000024"/>
    <w:multiLevelType w:val="multilevel"/>
    <w:tmpl w:val="00000024"/>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1">
    <w:nsid w:val="00000027"/>
    <w:multiLevelType w:val="multilevel"/>
    <w:tmpl w:val="00000027"/>
    <w:lvl w:ilvl="0">
      <w:start w:val="1"/>
      <w:numFmt w:val="decimal"/>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2">
    <w:nsid w:val="00000029"/>
    <w:multiLevelType w:val="multilevel"/>
    <w:tmpl w:val="00000029"/>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3">
    <w:nsid w:val="0000002A"/>
    <w:multiLevelType w:val="multilevel"/>
    <w:tmpl w:val="0000002A"/>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4">
    <w:nsid w:val="0000002C"/>
    <w:multiLevelType w:val="multilevel"/>
    <w:tmpl w:val="0000002C"/>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5">
    <w:nsid w:val="0000002D"/>
    <w:multiLevelType w:val="multilevel"/>
    <w:tmpl w:val="0000002D"/>
    <w:lvl w:ilvl="0">
      <w:start w:val="1"/>
      <w:numFmt w:val="japaneseCounting"/>
      <w:pStyle w:val="a65"/>
      <w:lvlText w:val="%1．"/>
      <w:lvlJc w:val="left"/>
      <w:pPr>
        <w:tabs>
          <w:tab w:val="left" w:pos="645"/>
        </w:tabs>
        <w:ind w:left="645" w:hanging="645"/>
      </w:pPr>
      <w:rPr>
        <w:rFonts w:hint="eastAsia"/>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0000002F"/>
    <w:multiLevelType w:val="multilevel"/>
    <w:tmpl w:val="0000002F"/>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7">
    <w:nsid w:val="00000031"/>
    <w:multiLevelType w:val="multilevel"/>
    <w:tmpl w:val="00000031"/>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00000032"/>
    <w:multiLevelType w:val="multilevel"/>
    <w:tmpl w:val="00000032"/>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9">
    <w:nsid w:val="00000033"/>
    <w:multiLevelType w:val="multilevel"/>
    <w:tmpl w:val="00000033"/>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0">
    <w:nsid w:val="00000034"/>
    <w:multiLevelType w:val="multilevel"/>
    <w:tmpl w:val="00000034"/>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1">
    <w:nsid w:val="00000035"/>
    <w:multiLevelType w:val="multilevel"/>
    <w:tmpl w:val="00000035"/>
    <w:lvl w:ilvl="0">
      <w:start w:val="1"/>
      <w:numFmt w:val="decimal"/>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2">
    <w:nsid w:val="00000036"/>
    <w:multiLevelType w:val="multilevel"/>
    <w:tmpl w:val="00000036"/>
    <w:lvl w:ilvl="0">
      <w:start w:val="1"/>
      <w:numFmt w:val="lowerLetter"/>
      <w:lvlText w:val="%1)"/>
      <w:lvlJc w:val="left"/>
      <w:pPr>
        <w:tabs>
          <w:tab w:val="left" w:pos="840"/>
        </w:tabs>
        <w:ind w:left="840" w:hanging="420"/>
      </w:pPr>
    </w:lvl>
    <w:lvl w:ilvl="1">
      <w:start w:val="1"/>
      <w:numFmt w:val="decimal"/>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3">
    <w:nsid w:val="00000038"/>
    <w:multiLevelType w:val="multilevel"/>
    <w:tmpl w:val="00000038"/>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4">
    <w:nsid w:val="00000039"/>
    <w:multiLevelType w:val="multilevel"/>
    <w:tmpl w:val="00000039"/>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5">
    <w:nsid w:val="0000003A"/>
    <w:multiLevelType w:val="multilevel"/>
    <w:tmpl w:val="0000003A"/>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6">
    <w:nsid w:val="0000003C"/>
    <w:multiLevelType w:val="multilevel"/>
    <w:tmpl w:val="0000003C"/>
    <w:lvl w:ilvl="0">
      <w:start w:val="1"/>
      <w:numFmt w:val="decimal"/>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7">
    <w:nsid w:val="0000003D"/>
    <w:multiLevelType w:val="multilevel"/>
    <w:tmpl w:val="0000003D"/>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8">
    <w:nsid w:val="0000003E"/>
    <w:multiLevelType w:val="multilevel"/>
    <w:tmpl w:val="0000003E"/>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9">
    <w:nsid w:val="0000003F"/>
    <w:multiLevelType w:val="multilevel"/>
    <w:tmpl w:val="0000003F"/>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0">
    <w:nsid w:val="00000041"/>
    <w:multiLevelType w:val="multilevel"/>
    <w:tmpl w:val="00000041"/>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1">
    <w:nsid w:val="00000042"/>
    <w:multiLevelType w:val="multilevel"/>
    <w:tmpl w:val="00000042"/>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黑体" w:cs="Times New Roman" w:hint="eastAsia"/>
        <w:b w:val="0"/>
        <w:bCs w:val="0"/>
        <w:i w:val="0"/>
        <w:iCs w:val="0"/>
        <w:caps w:val="0"/>
        <w:smallCaps w:val="0"/>
        <w:strike w:val="0"/>
        <w:dstrike w:val="0"/>
        <w:outline w:val="0"/>
        <w:shadow w:val="0"/>
        <w:emboss w:val="0"/>
        <w:imprint w:val="0"/>
        <w:vanish w:val="0"/>
        <w:spacing w:val="0"/>
        <w:kern w:val="0"/>
        <w:position w:val="0"/>
        <w:sz w:val="21"/>
        <w:u w:val="none"/>
        <w:vertAlign w:val="baseline"/>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2">
    <w:nsid w:val="00000044"/>
    <w:multiLevelType w:val="multilevel"/>
    <w:tmpl w:val="00000044"/>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3">
    <w:nsid w:val="00000046"/>
    <w:multiLevelType w:val="multilevel"/>
    <w:tmpl w:val="00000046"/>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4">
    <w:nsid w:val="00000047"/>
    <w:multiLevelType w:val="multilevel"/>
    <w:tmpl w:val="00000047"/>
    <w:lvl w:ilvl="0">
      <w:start w:val="1"/>
      <w:numFmt w:val="chineseCountingThousand"/>
      <w:pStyle w:val="a59"/>
      <w:suff w:val="nothing"/>
      <w:lvlText w:val="%1、"/>
      <w:lvlJc w:val="left"/>
      <w:pPr>
        <w:ind w:left="432" w:hanging="432"/>
      </w:pPr>
      <w:rPr>
        <w:rFonts w:ascii="Times New Roman" w:eastAsia="宋体" w:hAnsi="Times New Roman" w:hint="default"/>
        <w:b w:val="0"/>
        <w:i w:val="0"/>
        <w:sz w:val="44"/>
        <w:szCs w:val="28"/>
        <w:u w:val="none"/>
      </w:rPr>
    </w:lvl>
    <w:lvl w:ilvl="1">
      <w:start w:val="1"/>
      <w:numFmt w:val="decimal"/>
      <w:pStyle w:val="a60"/>
      <w:isLgl/>
      <w:suff w:val="space"/>
      <w:lvlText w:val="%1.%2"/>
      <w:lvlJc w:val="left"/>
      <w:pPr>
        <w:ind w:left="576" w:hanging="576"/>
      </w:pPr>
      <w:rPr>
        <w:rFonts w:ascii="Times New Roman" w:eastAsia="宋体" w:hAnsi="Times New Roman" w:hint="default"/>
        <w:b w:val="0"/>
        <w:i w:val="0"/>
        <w:sz w:val="24"/>
        <w:szCs w:val="24"/>
        <w:u w:val="none"/>
      </w:rPr>
    </w:lvl>
    <w:lvl w:ilvl="2">
      <w:start w:val="1"/>
      <w:numFmt w:val="decimal"/>
      <w:pStyle w:val="a57"/>
      <w:isLgl/>
      <w:suff w:val="space"/>
      <w:lvlText w:val="%1.%2.%3"/>
      <w:lvlJc w:val="left"/>
      <w:pPr>
        <w:ind w:left="720" w:hanging="720"/>
      </w:pPr>
      <w:rPr>
        <w:rFonts w:hint="eastAsia"/>
      </w:rPr>
    </w:lvl>
    <w:lvl w:ilvl="3">
      <w:start w:val="1"/>
      <w:numFmt w:val="decimal"/>
      <w:pStyle w:val="a61"/>
      <w:isLgl/>
      <w:suff w:val="space"/>
      <w:lvlText w:val="%1.%2.%3.%4"/>
      <w:lvlJc w:val="left"/>
      <w:pPr>
        <w:ind w:left="864" w:hanging="864"/>
      </w:pPr>
      <w:rPr>
        <w:rFonts w:hint="eastAsia"/>
      </w:rPr>
    </w:lvl>
    <w:lvl w:ilvl="4">
      <w:start w:val="1"/>
      <w:numFmt w:val="decimal"/>
      <w:pStyle w:val="a62"/>
      <w:isLgl/>
      <w:suff w:val="space"/>
      <w:lvlText w:val="%1.%2.%3.%4.%5"/>
      <w:lvlJc w:val="left"/>
      <w:pPr>
        <w:ind w:left="1008" w:hanging="1008"/>
      </w:pPr>
      <w:rPr>
        <w:rFonts w:hint="eastAsia"/>
      </w:rPr>
    </w:lvl>
    <w:lvl w:ilvl="5">
      <w:start w:val="1"/>
      <w:numFmt w:val="decimal"/>
      <w:isLgl/>
      <w:suff w:val="space"/>
      <w:lvlText w:val="%1.%2.%3.%4.%5.%6"/>
      <w:lvlJc w:val="left"/>
      <w:pPr>
        <w:ind w:left="1152" w:hanging="1152"/>
      </w:pPr>
      <w:rPr>
        <w:rFonts w:hint="eastAsia"/>
      </w:rPr>
    </w:lvl>
    <w:lvl w:ilvl="6">
      <w:start w:val="1"/>
      <w:numFmt w:val="decimal"/>
      <w:lvlText w:val="%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45">
    <w:nsid w:val="00000049"/>
    <w:multiLevelType w:val="multilevel"/>
    <w:tmpl w:val="00000049"/>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6">
    <w:nsid w:val="0000004A"/>
    <w:multiLevelType w:val="multilevel"/>
    <w:tmpl w:val="0000004A"/>
    <w:lvl w:ilvl="0">
      <w:start w:val="1"/>
      <w:numFmt w:val="lowerLetter"/>
      <w:lvlText w:val="%1)"/>
      <w:lvlJc w:val="left"/>
      <w:pPr>
        <w:tabs>
          <w:tab w:val="left" w:pos="840"/>
        </w:tabs>
        <w:ind w:left="840" w:hanging="42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7">
    <w:nsid w:val="019854B0"/>
    <w:multiLevelType w:val="multilevel"/>
    <w:tmpl w:val="019854B0"/>
    <w:lvl w:ilvl="0">
      <w:start w:val="1"/>
      <w:numFmt w:val="lowerLetter"/>
      <w:lvlText w:val="%1)"/>
      <w:lvlJc w:val="left"/>
      <w:pPr>
        <w:ind w:left="840" w:hanging="420"/>
      </w:pPr>
      <w:rPr>
        <w:rFonts w:ascii="宋体" w:eastAsia="宋体" w:hAnsi="宋体"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8">
    <w:nsid w:val="0A5A5E84"/>
    <w:multiLevelType w:val="multilevel"/>
    <w:tmpl w:val="0A5A5E84"/>
    <w:lvl w:ilvl="0">
      <w:start w:val="1"/>
      <w:numFmt w:val="upperLetter"/>
      <w:pStyle w:val="a28"/>
      <w:lvlText w:val="%1."/>
      <w:lvlJc w:val="left"/>
      <w:pPr>
        <w:tabs>
          <w:tab w:val="left" w:pos="425"/>
        </w:tabs>
        <w:ind w:left="425" w:hanging="425"/>
      </w:pPr>
      <w:rPr>
        <w:rFonts w:hint="eastAsia"/>
      </w:rPr>
    </w:lvl>
    <w:lvl w:ilvl="1">
      <w:start w:val="1"/>
      <w:numFmt w:val="decimal"/>
      <w:pStyle w:val="a29"/>
      <w:lvlText w:val="%1.%2"/>
      <w:lvlJc w:val="left"/>
      <w:pPr>
        <w:tabs>
          <w:tab w:val="left" w:pos="567"/>
        </w:tabs>
        <w:ind w:left="567" w:hanging="567"/>
      </w:pPr>
      <w:rPr>
        <w:rFonts w:hint="eastAsia"/>
      </w:rPr>
    </w:lvl>
    <w:lvl w:ilvl="2">
      <w:start w:val="1"/>
      <w:numFmt w:val="decimal"/>
      <w:pStyle w:val="a30"/>
      <w:lvlText w:val="%1.%2.%3"/>
      <w:lvlJc w:val="left"/>
      <w:pPr>
        <w:tabs>
          <w:tab w:val="left" w:pos="709"/>
        </w:tabs>
        <w:ind w:left="709" w:hanging="709"/>
      </w:pPr>
      <w:rPr>
        <w:rFonts w:hint="eastAsia"/>
      </w:rPr>
    </w:lvl>
    <w:lvl w:ilvl="3">
      <w:start w:val="1"/>
      <w:numFmt w:val="decimal"/>
      <w:pStyle w:val="a31"/>
      <w:lvlText w:val="%1.%2.%3.%4"/>
      <w:lvlJc w:val="left"/>
      <w:pPr>
        <w:tabs>
          <w:tab w:val="left" w:pos="851"/>
        </w:tabs>
        <w:ind w:left="851" w:hanging="851"/>
      </w:pPr>
      <w:rPr>
        <w:rFonts w:hint="eastAsia"/>
      </w:rPr>
    </w:lvl>
    <w:lvl w:ilvl="4">
      <w:start w:val="1"/>
      <w:numFmt w:val="decimal"/>
      <w:pStyle w:val="a32"/>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49">
    <w:nsid w:val="131DEEC4"/>
    <w:multiLevelType w:val="multilevel"/>
    <w:tmpl w:val="00000027"/>
    <w:lvl w:ilvl="0">
      <w:start w:val="1"/>
      <w:numFmt w:val="decimal"/>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50">
    <w:nsid w:val="158A7BE9"/>
    <w:multiLevelType w:val="multilevel"/>
    <w:tmpl w:val="158A7BE9"/>
    <w:lvl w:ilvl="0">
      <w:start w:val="1"/>
      <w:numFmt w:val="lowerLetter"/>
      <w:pStyle w:val="a34"/>
      <w:lvlText w:val="%1)"/>
      <w:lvlJc w:val="left"/>
      <w:pPr>
        <w:ind w:left="840" w:hanging="420"/>
      </w:pPr>
      <w:rPr>
        <w:rFonts w:ascii="宋体" w:eastAsia="宋体" w:hAnsi="宋体"/>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1">
    <w:nsid w:val="32D557DF"/>
    <w:multiLevelType w:val="multilevel"/>
    <w:tmpl w:val="32D557DF"/>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34501B15"/>
    <w:multiLevelType w:val="multilevel"/>
    <w:tmpl w:val="34501B15"/>
    <w:lvl w:ilvl="0">
      <w:start w:val="0"/>
      <w:numFmt w:val="decimal"/>
      <w:lvlText w:val="%1"/>
      <w:lvlJc w:val="left"/>
      <w:pPr>
        <w:tabs>
          <w:tab w:val="left" w:pos="425"/>
        </w:tabs>
        <w:ind w:left="425" w:hanging="425"/>
      </w:pPr>
      <w:rPr>
        <w:rFonts w:hint="eastAsia"/>
      </w:rPr>
    </w:lvl>
    <w:lvl w:ilvl="1">
      <w:start w:val="4"/>
      <w:numFmt w:val="decimal"/>
      <w:lvlText w:val="%1.%2"/>
      <w:lvlJc w:val="left"/>
      <w:pPr>
        <w:tabs>
          <w:tab w:val="left" w:pos="425"/>
        </w:tabs>
        <w:ind w:left="567" w:hanging="567"/>
      </w:pPr>
      <w:rPr>
        <w:rFonts w:hint="eastAsia"/>
      </w:rPr>
    </w:lvl>
    <w:lvl w:ilvl="2">
      <w:start w:val="1"/>
      <w:numFmt w:val="decimal"/>
      <w:lvlRestart w:val="0"/>
      <w:lvlText w:val="%1.%2.%3"/>
      <w:lvlJc w:val="left"/>
      <w:pPr>
        <w:tabs>
          <w:tab w:val="left" w:pos="567"/>
        </w:tabs>
      </w:pPr>
      <w:rPr>
        <w:rFonts w:hint="eastAsia"/>
      </w:rPr>
    </w:lvl>
    <w:lvl w:ilvl="3">
      <w:start w:val="1"/>
      <w:numFmt w:val="decimal"/>
      <w:lvlText w:val="%1.%2.%3.%4"/>
      <w:lvlJc w:val="left"/>
      <w:pPr>
        <w:tabs>
          <w:tab w:val="left" w:pos="567"/>
        </w:tabs>
      </w:pPr>
      <w:rPr>
        <w:rFonts w:ascii="黑体" w:eastAsia="黑体" w:hint="eastAsia"/>
      </w:rPr>
    </w:lvl>
    <w:lvl w:ilvl="4">
      <w:start w:val="1"/>
      <w:numFmt w:val="decimal"/>
      <w:pStyle w:val="5"/>
      <w:lvlText w:val="%1.%2.%3.%4.%5"/>
      <w:lvlJc w:val="left"/>
      <w:pPr>
        <w:tabs>
          <w:tab w:val="left" w:pos="567"/>
        </w:tabs>
      </w:pPr>
      <w:rPr>
        <w:rFonts w:ascii="黑体" w:eastAsia="黑体" w:hint="eastAsia"/>
      </w:rPr>
    </w:lvl>
    <w:lvl w:ilvl="5">
      <w:start w:val="1"/>
      <w:numFmt w:val="decimal"/>
      <w:lvlText w:val="%1.%2.%3.%4.%5.%6"/>
      <w:lvlJc w:val="left"/>
      <w:pPr>
        <w:tabs>
          <w:tab w:val="left" w:pos="567"/>
        </w:tabs>
      </w:pPr>
      <w:rPr>
        <w:rFonts w:ascii="黑体" w:eastAsia="黑体" w:hAnsi="宋体"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53">
    <w:nsid w:val="3C386D68"/>
    <w:multiLevelType w:val="multilevel"/>
    <w:tmpl w:val="3C386D68"/>
    <w:lvl w:ilvl="0">
      <w:start w:val="1"/>
      <w:numFmt w:val="decimal"/>
      <w:lvlText w:val="%1."/>
      <w:lvlJc w:val="left"/>
      <w:pPr>
        <w:tabs>
          <w:tab w:val="left" w:pos="425"/>
        </w:tabs>
        <w:ind w:left="425" w:hanging="425"/>
      </w:pPr>
      <w:rPr>
        <w:rFonts w:hint="eastAsia"/>
      </w:rPr>
    </w:lvl>
    <w:lvl w:ilvl="1">
      <w:start w:val="1"/>
      <w:numFmt w:val="decimal"/>
      <w:pStyle w:val="a54"/>
      <w:suff w:val="nothing"/>
      <w:lvlText w:val="3.%2."/>
      <w:lvlJc w:val="left"/>
      <w:rPr>
        <w:rFonts w:ascii="黑体" w:eastAsia="黑体" w:hAnsi="黑体" w:hint="eastAsia"/>
        <w:b w:val="0"/>
        <w:bCs w:val="0"/>
        <w:i w:val="0"/>
        <w:iCs w:val="0"/>
        <w:sz w:val="21"/>
        <w:szCs w:val="21"/>
      </w:rPr>
    </w:lvl>
    <w:lvl w:ilvl="2">
      <w:start w:val="1"/>
      <w:numFmt w:val="decimal"/>
      <w:lvlText w:val="%1.%2.%3."/>
      <w:lvlJc w:val="left"/>
      <w:pPr>
        <w:tabs>
          <w:tab w:val="left" w:pos="709"/>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4">
    <w:nsid w:val="3EFC10A1"/>
    <w:multiLevelType w:val="multilevel"/>
    <w:tmpl w:val="3EFC10A1"/>
    <w:lvl w:ilvl="0">
      <w:start w:val="1"/>
      <w:numFmt w:val="decimal"/>
      <w:lvlText w:val="%1)"/>
      <w:lvlJc w:val="left"/>
      <w:pPr>
        <w:ind w:left="1259" w:hanging="420"/>
      </w:pPr>
      <w:rPr>
        <w:rFonts w:ascii="宋体" w:eastAsia="宋体" w:hAnsi="宋体"/>
      </w:rPr>
    </w:lvl>
    <w:lvl w:ilvl="1">
      <w:start w:val="1"/>
      <w:numFmt w:val="lowerLetter"/>
      <w:lvlText w:val="%2)"/>
      <w:lvlJc w:val="left"/>
      <w:pPr>
        <w:ind w:left="1679" w:hanging="420"/>
      </w:pPr>
    </w:lvl>
    <w:lvl w:ilvl="2">
      <w:start w:val="1"/>
      <w:numFmt w:val="lowerRoman"/>
      <w:lvlText w:val="%3."/>
      <w:lvlJc w:val="right"/>
      <w:pPr>
        <w:ind w:left="2099" w:hanging="420"/>
      </w:pPr>
    </w:lvl>
    <w:lvl w:ilvl="3">
      <w:start w:val="1"/>
      <w:numFmt w:val="decimal"/>
      <w:lvlText w:val="%4."/>
      <w:lvlJc w:val="left"/>
      <w:pPr>
        <w:ind w:left="2519" w:hanging="420"/>
      </w:pPr>
    </w:lvl>
    <w:lvl w:ilvl="4">
      <w:start w:val="1"/>
      <w:numFmt w:val="lowerLetter"/>
      <w:lvlText w:val="%5)"/>
      <w:lvlJc w:val="left"/>
      <w:pPr>
        <w:ind w:left="2939" w:hanging="420"/>
      </w:pPr>
    </w:lvl>
    <w:lvl w:ilvl="5">
      <w:start w:val="1"/>
      <w:numFmt w:val="lowerRoman"/>
      <w:lvlText w:val="%6."/>
      <w:lvlJc w:val="right"/>
      <w:pPr>
        <w:ind w:left="3359" w:hanging="420"/>
      </w:pPr>
    </w:lvl>
    <w:lvl w:ilvl="6">
      <w:start w:val="1"/>
      <w:numFmt w:val="decimal"/>
      <w:lvlText w:val="%7."/>
      <w:lvlJc w:val="left"/>
      <w:pPr>
        <w:ind w:left="3779" w:hanging="420"/>
      </w:pPr>
    </w:lvl>
    <w:lvl w:ilvl="7">
      <w:start w:val="1"/>
      <w:numFmt w:val="lowerLetter"/>
      <w:lvlText w:val="%8)"/>
      <w:lvlJc w:val="left"/>
      <w:pPr>
        <w:ind w:left="4199" w:hanging="420"/>
      </w:pPr>
    </w:lvl>
    <w:lvl w:ilvl="8">
      <w:start w:val="1"/>
      <w:numFmt w:val="lowerRoman"/>
      <w:lvlText w:val="%9."/>
      <w:lvlJc w:val="right"/>
      <w:pPr>
        <w:ind w:left="4619" w:hanging="420"/>
      </w:pPr>
    </w:lvl>
  </w:abstractNum>
  <w:abstractNum w:abstractNumId="55">
    <w:nsid w:val="46806F7D"/>
    <w:multiLevelType w:val="multilevel"/>
    <w:tmpl w:val="46806F7D"/>
    <w:lvl w:ilvl="0">
      <w:start w:val="1"/>
      <w:numFmt w:val="upperLetter"/>
      <w:lvlText w:val="%1."/>
      <w:lvlJc w:val="left"/>
      <w:pPr>
        <w:tabs>
          <w:tab w:val="left" w:pos="360"/>
        </w:tabs>
      </w:pPr>
      <w:rPr>
        <w:rFonts w:hint="eastAsia"/>
        <w:b w:val="0"/>
        <w:bCs w:val="0"/>
        <w:i w:val="0"/>
        <w:iCs w:val="0"/>
        <w:sz w:val="21"/>
        <w:szCs w:val="21"/>
      </w:rPr>
    </w:lvl>
    <w:lvl w:ilvl="1">
      <w:start w:val="1"/>
      <w:numFmt w:val="decimal"/>
      <w:pStyle w:val="a33"/>
      <w:lvlText w:val="图%1.%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56">
    <w:nsid w:val="46D22D8F"/>
    <w:multiLevelType w:val="multilevel"/>
    <w:tmpl w:val="46D22D8F"/>
    <w:lvl w:ilvl="0">
      <w:start w:val="1"/>
      <w:numFmt w:val="none"/>
      <w:pStyle w:val="a52"/>
      <w:lvlText w:val="%1◆　"/>
      <w:lvlJc w:val="left"/>
      <w:pPr>
        <w:tabs>
          <w:tab w:val="left" w:pos="960"/>
        </w:tabs>
        <w:ind w:left="917" w:hanging="317"/>
      </w:pPr>
      <w:rPr>
        <w:rFonts w:ascii="宋体" w:eastAsia="宋体" w:hAnsi="Times New Roman" w:hint="eastAsia"/>
        <w:b w:val="0"/>
        <w:bCs w:val="0"/>
        <w:i w:val="0"/>
        <w:iCs w:val="0"/>
        <w:position w:val="4"/>
        <w:sz w:val="11"/>
        <w:szCs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7">
    <w:nsid w:val="4F302902"/>
    <w:multiLevelType w:val="multilevel"/>
    <w:tmpl w:val="4F302902"/>
    <w:lvl w:ilvl="0">
      <w:start w:val="1"/>
      <w:numFmt w:val="none"/>
      <w:pStyle w:val="a27"/>
      <w:lvlText w:val="表"/>
      <w:lvlJc w:val="left"/>
      <w:pPr>
        <w:tabs>
          <w:tab w:val="left" w:pos="360"/>
        </w:tabs>
      </w:pPr>
      <w:rPr>
        <w:rFonts w:ascii="黑体" w:eastAsia="黑体" w:hint="eastAsia"/>
        <w:b w:val="0"/>
        <w:bCs w:val="0"/>
        <w:i w:val="0"/>
        <w:iCs w:val="0"/>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8">
    <w:nsid w:val="55474F11"/>
    <w:multiLevelType w:val="multilevel"/>
    <w:tmpl w:val="55474F11"/>
    <w:lvl w:ilvl="0">
      <w:start w:val="1"/>
      <w:numFmt w:val="decimal"/>
      <w:lvlText w:val="%1)"/>
      <w:lvlJc w:val="left"/>
      <w:pPr>
        <w:ind w:left="1259" w:hanging="420"/>
      </w:pPr>
    </w:lvl>
    <w:lvl w:ilvl="1">
      <w:start w:val="1"/>
      <w:numFmt w:val="lowerLetter"/>
      <w:lvlText w:val="%2)"/>
      <w:lvlJc w:val="left"/>
      <w:pPr>
        <w:ind w:left="1679" w:hanging="420"/>
      </w:pPr>
    </w:lvl>
    <w:lvl w:ilvl="2">
      <w:start w:val="1"/>
      <w:numFmt w:val="lowerRoman"/>
      <w:lvlText w:val="%3."/>
      <w:lvlJc w:val="right"/>
      <w:pPr>
        <w:ind w:left="2099" w:hanging="420"/>
      </w:pPr>
    </w:lvl>
    <w:lvl w:ilvl="3">
      <w:start w:val="1"/>
      <w:numFmt w:val="decimal"/>
      <w:lvlText w:val="%4."/>
      <w:lvlJc w:val="left"/>
      <w:pPr>
        <w:ind w:left="2519" w:hanging="420"/>
      </w:pPr>
    </w:lvl>
    <w:lvl w:ilvl="4">
      <w:start w:val="1"/>
      <w:numFmt w:val="lowerLetter"/>
      <w:lvlText w:val="%5)"/>
      <w:lvlJc w:val="left"/>
      <w:pPr>
        <w:ind w:left="2939" w:hanging="420"/>
      </w:pPr>
    </w:lvl>
    <w:lvl w:ilvl="5">
      <w:start w:val="1"/>
      <w:numFmt w:val="lowerRoman"/>
      <w:lvlText w:val="%6."/>
      <w:lvlJc w:val="right"/>
      <w:pPr>
        <w:ind w:left="3359" w:hanging="420"/>
      </w:pPr>
    </w:lvl>
    <w:lvl w:ilvl="6">
      <w:start w:val="1"/>
      <w:numFmt w:val="decimal"/>
      <w:lvlText w:val="%7."/>
      <w:lvlJc w:val="left"/>
      <w:pPr>
        <w:ind w:left="3779" w:hanging="420"/>
      </w:pPr>
    </w:lvl>
    <w:lvl w:ilvl="7">
      <w:start w:val="1"/>
      <w:numFmt w:val="lowerLetter"/>
      <w:lvlText w:val="%8)"/>
      <w:lvlJc w:val="left"/>
      <w:pPr>
        <w:ind w:left="4199" w:hanging="420"/>
      </w:pPr>
    </w:lvl>
    <w:lvl w:ilvl="8">
      <w:start w:val="1"/>
      <w:numFmt w:val="lowerRoman"/>
      <w:lvlText w:val="%9."/>
      <w:lvlJc w:val="right"/>
      <w:pPr>
        <w:ind w:left="4619" w:hanging="420"/>
      </w:pPr>
    </w:lvl>
  </w:abstractNum>
  <w:abstractNum w:abstractNumId="59">
    <w:nsid w:val="58C95AE6"/>
    <w:multiLevelType w:val="multilevel"/>
    <w:tmpl w:val="58C95AE6"/>
    <w:lvl w:ilvl="0">
      <w:start w:val="1"/>
      <w:numFmt w:val="lowerLetter"/>
      <w:lvlText w:val="%1)"/>
      <w:lvlJc w:val="left"/>
      <w:pPr>
        <w:ind w:left="820" w:hanging="420"/>
      </w:pPr>
    </w:lvl>
    <w:lvl w:ilvl="1">
      <w:start w:val="1"/>
      <w:numFmt w:val="lowerLetter"/>
      <w:lvlText w:val="%2)"/>
      <w:lvlJc w:val="left"/>
      <w:pPr>
        <w:ind w:left="1240" w:hanging="420"/>
      </w:pPr>
    </w:lvl>
    <w:lvl w:ilvl="2">
      <w:start w:val="1"/>
      <w:numFmt w:val="lowerRoman"/>
      <w:lvlText w:val="%3."/>
      <w:lvlJc w:val="right"/>
      <w:pPr>
        <w:ind w:left="1660" w:hanging="420"/>
      </w:pPr>
    </w:lvl>
    <w:lvl w:ilvl="3">
      <w:start w:val="1"/>
      <w:numFmt w:val="decimal"/>
      <w:lvlText w:val="%4."/>
      <w:lvlJc w:val="left"/>
      <w:pPr>
        <w:ind w:left="2080" w:hanging="420"/>
      </w:pPr>
    </w:lvl>
    <w:lvl w:ilvl="4">
      <w:start w:val="1"/>
      <w:numFmt w:val="lowerLetter"/>
      <w:lvlText w:val="%5)"/>
      <w:lvlJc w:val="left"/>
      <w:pPr>
        <w:ind w:left="2500" w:hanging="420"/>
      </w:pPr>
    </w:lvl>
    <w:lvl w:ilvl="5">
      <w:start w:val="1"/>
      <w:numFmt w:val="lowerRoman"/>
      <w:lvlText w:val="%6."/>
      <w:lvlJc w:val="right"/>
      <w:pPr>
        <w:ind w:left="2920" w:hanging="420"/>
      </w:pPr>
    </w:lvl>
    <w:lvl w:ilvl="6">
      <w:start w:val="1"/>
      <w:numFmt w:val="decimal"/>
      <w:lvlText w:val="%7."/>
      <w:lvlJc w:val="left"/>
      <w:pPr>
        <w:ind w:left="3340" w:hanging="420"/>
      </w:pPr>
    </w:lvl>
    <w:lvl w:ilvl="7">
      <w:start w:val="1"/>
      <w:numFmt w:val="lowerLetter"/>
      <w:lvlText w:val="%8)"/>
      <w:lvlJc w:val="left"/>
      <w:pPr>
        <w:ind w:left="3760" w:hanging="420"/>
      </w:pPr>
    </w:lvl>
    <w:lvl w:ilvl="8">
      <w:start w:val="1"/>
      <w:numFmt w:val="lowerRoman"/>
      <w:lvlText w:val="%9."/>
      <w:lvlJc w:val="right"/>
      <w:pPr>
        <w:ind w:left="4180" w:hanging="420"/>
      </w:pPr>
    </w:lvl>
  </w:abstractNum>
  <w:abstractNum w:abstractNumId="60">
    <w:nsid w:val="5D5F49A1"/>
    <w:multiLevelType w:val="multilevel"/>
    <w:tmpl w:val="5D5F49A1"/>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1">
    <w:nsid w:val="5F4644A5"/>
    <w:multiLevelType w:val="multilevel"/>
    <w:tmpl w:val="5F4644A5"/>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2">
    <w:nsid w:val="6350366A"/>
    <w:multiLevelType w:val="multilevel"/>
    <w:tmpl w:val="6350366A"/>
    <w:lvl w:ilvl="0">
      <w:start w:val="1"/>
      <w:numFmt w:val="none"/>
      <w:pStyle w:val="a36"/>
      <w:lvlText w:val="%1●　"/>
      <w:lvlJc w:val="left"/>
      <w:pPr>
        <w:tabs>
          <w:tab w:val="left" w:pos="760"/>
        </w:tabs>
        <w:ind w:left="717" w:hanging="317"/>
      </w:pPr>
      <w:rPr>
        <w:rFonts w:ascii="宋体" w:eastAsia="宋体" w:hAnsi="Times New Roman" w:hint="eastAsia"/>
        <w:b w:val="0"/>
        <w:bCs w:val="0"/>
        <w:i w:val="0"/>
        <w:iCs w:val="0"/>
        <w:position w:val="4"/>
        <w:sz w:val="13"/>
        <w:szCs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3">
    <w:nsid w:val="6CEA2025"/>
    <w:multiLevelType w:val="multilevel"/>
    <w:tmpl w:val="6CEA2025"/>
    <w:lvl w:ilvl="0">
      <w:start w:val="1"/>
      <w:numFmt w:val="none"/>
      <w:pStyle w:val="a0"/>
      <w:suff w:val="nothing"/>
      <w:lvlText w:val="%1"/>
      <w:lvlJc w:val="left"/>
      <w:rPr>
        <w:rFonts w:ascii="Times New Roman" w:hAnsi="Times New Roman" w:hint="default"/>
        <w:b/>
        <w:bCs/>
        <w:i w:val="0"/>
        <w:iCs w:val="0"/>
        <w:sz w:val="21"/>
        <w:szCs w:val="21"/>
      </w:rPr>
    </w:lvl>
    <w:lvl w:ilvl="1">
      <w:start w:val="1"/>
      <w:numFmt w:val="decimal"/>
      <w:pStyle w:val="a22"/>
      <w:suff w:val="nothing"/>
      <w:lvlText w:val="%1%2　"/>
      <w:lvlJc w:val="left"/>
      <w:rPr>
        <w:rFonts w:ascii="黑体" w:eastAsia="黑体" w:hAnsi="Times New Roman" w:hint="eastAsia"/>
        <w:b w:val="0"/>
        <w:bCs w:val="0"/>
        <w:i w:val="0"/>
        <w:iCs w:val="0"/>
        <w:sz w:val="21"/>
        <w:szCs w:val="21"/>
      </w:rPr>
    </w:lvl>
    <w:lvl w:ilvl="2">
      <w:start w:val="1"/>
      <w:numFmt w:val="decimal"/>
      <w:pStyle w:val="a21"/>
      <w:suff w:val="nothing"/>
      <w:lvlText w:val="%1%2.%3　"/>
      <w:lvlJc w:val="left"/>
      <w:rPr>
        <w:rFonts w:ascii="黑体" w:eastAsia="黑体" w:hAnsi="黑体" w:hint="eastAsia"/>
        <w:b w:val="0"/>
        <w:bCs w:val="0"/>
        <w:i w:val="0"/>
        <w:iCs w:val="0"/>
        <w:caps w:val="0"/>
        <w:smallCaps w:val="0"/>
        <w:strike w:val="0"/>
        <w:dstrike w:val="0"/>
        <w:outline w:val="0"/>
        <w:shadow w:val="0"/>
        <w:emboss w:val="0"/>
        <w:imprint w:val="0"/>
        <w:vanish w:val="0"/>
        <w:spacing w:val="0"/>
        <w:kern w:val="0"/>
        <w:position w:val="0"/>
        <w:sz w:val="21"/>
        <w:szCs w:val="21"/>
        <w:u w:val="none"/>
        <w:vertAlign w:val="baseline"/>
      </w:rPr>
    </w:lvl>
    <w:lvl w:ilvl="3">
      <w:start w:val="1"/>
      <w:numFmt w:val="decimal"/>
      <w:pStyle w:val="a20"/>
      <w:suff w:val="nothing"/>
      <w:lvlText w:val="%1%2.%3.%4　"/>
      <w:lvlJc w:val="left"/>
      <w:rPr>
        <w:rFonts w:ascii="黑体" w:eastAsia="黑体" w:hAnsi="Times New Roman" w:hint="eastAsia"/>
        <w:b w:val="0"/>
        <w:bCs w:val="0"/>
        <w:i w:val="0"/>
        <w:iCs w:val="0"/>
        <w:sz w:val="21"/>
        <w:szCs w:val="21"/>
      </w:rPr>
    </w:lvl>
    <w:lvl w:ilvl="4">
      <w:start w:val="1"/>
      <w:numFmt w:val="decimal"/>
      <w:pStyle w:val="a41"/>
      <w:suff w:val="nothing"/>
      <w:lvlText w:val="%1%2.%3.%4.%5　"/>
      <w:lvlJc w:val="left"/>
      <w:rPr>
        <w:rFonts w:ascii="黑体" w:eastAsia="黑体" w:hAnsi="Times New Roman" w:hint="eastAsia"/>
        <w:b w:val="0"/>
        <w:bCs w:val="0"/>
        <w:i w:val="0"/>
        <w:iCs w:val="0"/>
        <w:sz w:val="21"/>
        <w:szCs w:val="21"/>
      </w:rPr>
    </w:lvl>
    <w:lvl w:ilvl="5">
      <w:start w:val="1"/>
      <w:numFmt w:val="decimal"/>
      <w:pStyle w:val="a44"/>
      <w:suff w:val="nothing"/>
      <w:lvlText w:val="%1%2.%3.%4.%5.%6　"/>
      <w:lvlJc w:val="left"/>
      <w:rPr>
        <w:rFonts w:ascii="黑体" w:eastAsia="黑体" w:hAnsi="Times New Roman" w:hint="eastAsia"/>
        <w:b w:val="0"/>
        <w:bCs w:val="0"/>
        <w:i w:val="0"/>
        <w:iCs w:val="0"/>
        <w:sz w:val="21"/>
        <w:szCs w:val="21"/>
      </w:rPr>
    </w:lvl>
    <w:lvl w:ilvl="6">
      <w:start w:val="1"/>
      <w:numFmt w:val="decimal"/>
      <w:pStyle w:val="a46"/>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4">
    <w:nsid w:val="6DBF04F4"/>
    <w:multiLevelType w:val="multilevel"/>
    <w:tmpl w:val="6DBF04F4"/>
    <w:lvl w:ilvl="0">
      <w:start w:val="1"/>
      <w:numFmt w:val="none"/>
      <w:pStyle w:val="a53"/>
      <w:lvlText w:val="%1注："/>
      <w:lvlJc w:val="left"/>
      <w:pPr>
        <w:tabs>
          <w:tab w:val="left" w:pos="1140"/>
        </w:tabs>
        <w:ind w:left="840" w:hanging="420"/>
      </w:pPr>
      <w:rPr>
        <w:rFonts w:ascii="宋体" w:eastAsia="宋体" w:hAnsi="Times New Roman" w:hint="eastAsia"/>
        <w:b w:val="0"/>
        <w:bCs w:val="0"/>
        <w:i w:val="0"/>
        <w:iCs w:val="0"/>
        <w:sz w:val="18"/>
        <w:szCs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5">
    <w:nsid w:val="738C0909"/>
    <w:multiLevelType w:val="multilevel"/>
    <w:tmpl w:val="738C0909"/>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6">
    <w:nsid w:val="76933334"/>
    <w:multiLevelType w:val="multilevel"/>
    <w:tmpl w:val="76933334"/>
    <w:lvl w:ilvl="0">
      <w:start w:val="1"/>
      <w:numFmt w:val="none"/>
      <w:pStyle w:val="a35"/>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63"/>
  </w:num>
  <w:num w:numId="2">
    <w:abstractNumId w:val="57"/>
  </w:num>
  <w:num w:numId="3">
    <w:abstractNumId w:val="48"/>
  </w:num>
  <w:num w:numId="4">
    <w:abstractNumId w:val="55"/>
  </w:num>
  <w:num w:numId="5">
    <w:abstractNumId w:val="50"/>
  </w:num>
  <w:num w:numId="6">
    <w:abstractNumId w:val="66"/>
  </w:num>
  <w:num w:numId="7">
    <w:abstractNumId w:val="62"/>
  </w:num>
  <w:num w:numId="8">
    <w:abstractNumId w:val="56"/>
  </w:num>
  <w:num w:numId="9">
    <w:abstractNumId w:val="64"/>
  </w:num>
  <w:num w:numId="10">
    <w:abstractNumId w:val="52"/>
  </w:num>
  <w:num w:numId="11">
    <w:abstractNumId w:val="53"/>
  </w:num>
  <w:num w:numId="12">
    <w:abstractNumId w:val="44"/>
  </w:num>
  <w:num w:numId="13">
    <w:abstractNumId w:val="25"/>
  </w:num>
  <w:num w:numId="14">
    <w:abstractNumId w:val="12"/>
  </w:num>
  <w:num w:numId="15">
    <w:abstractNumId w:val="41"/>
  </w:num>
  <w:num w:numId="16">
    <w:abstractNumId w:val="34"/>
  </w:num>
  <w:num w:numId="17">
    <w:abstractNumId w:val="8"/>
  </w:num>
  <w:num w:numId="18">
    <w:abstractNumId w:val="17"/>
  </w:num>
  <w:num w:numId="19">
    <w:abstractNumId w:val="31"/>
  </w:num>
  <w:num w:numId="20">
    <w:abstractNumId w:val="15"/>
  </w:num>
  <w:num w:numId="21">
    <w:abstractNumId w:val="0"/>
  </w:num>
  <w:num w:numId="22">
    <w:abstractNumId w:val="3"/>
  </w:num>
  <w:num w:numId="23">
    <w:abstractNumId w:val="21"/>
  </w:num>
  <w:num w:numId="24">
    <w:abstractNumId w:val="4"/>
  </w:num>
  <w:num w:numId="25">
    <w:abstractNumId w:val="36"/>
  </w:num>
  <w:num w:numId="26">
    <w:abstractNumId w:val="2"/>
  </w:num>
  <w:num w:numId="27">
    <w:abstractNumId w:val="40"/>
  </w:num>
  <w:num w:numId="28">
    <w:abstractNumId w:val="14"/>
  </w:num>
  <w:num w:numId="29">
    <w:abstractNumId w:val="59"/>
  </w:num>
  <w:num w:numId="30">
    <w:abstractNumId w:val="58"/>
  </w:num>
  <w:num w:numId="31">
    <w:abstractNumId w:val="54"/>
  </w:num>
  <w:num w:numId="32">
    <w:abstractNumId w:val="9"/>
  </w:num>
  <w:num w:numId="33">
    <w:abstractNumId w:val="29"/>
  </w:num>
  <w:num w:numId="34">
    <w:abstractNumId w:val="42"/>
  </w:num>
  <w:num w:numId="35">
    <w:abstractNumId w:val="13"/>
  </w:num>
  <w:num w:numId="36">
    <w:abstractNumId w:val="43"/>
  </w:num>
  <w:num w:numId="37">
    <w:abstractNumId w:val="28"/>
  </w:num>
  <w:num w:numId="38">
    <w:abstractNumId w:val="1"/>
  </w:num>
  <w:num w:numId="39">
    <w:abstractNumId w:val="16"/>
  </w:num>
  <w:num w:numId="40">
    <w:abstractNumId w:val="37"/>
  </w:num>
  <w:num w:numId="41">
    <w:abstractNumId w:val="6"/>
  </w:num>
  <w:num w:numId="42">
    <w:abstractNumId w:val="24"/>
  </w:num>
  <w:num w:numId="43">
    <w:abstractNumId w:val="38"/>
  </w:num>
  <w:num w:numId="44">
    <w:abstractNumId w:val="18"/>
  </w:num>
  <w:num w:numId="45">
    <w:abstractNumId w:val="33"/>
  </w:num>
  <w:num w:numId="46">
    <w:abstractNumId w:val="10"/>
  </w:num>
  <w:num w:numId="47">
    <w:abstractNumId w:val="7"/>
  </w:num>
  <w:num w:numId="48">
    <w:abstractNumId w:val="35"/>
  </w:num>
  <w:num w:numId="49">
    <w:abstractNumId w:val="27"/>
  </w:num>
  <w:num w:numId="50">
    <w:abstractNumId w:val="19"/>
  </w:num>
  <w:num w:numId="51">
    <w:abstractNumId w:val="20"/>
  </w:num>
  <w:num w:numId="52">
    <w:abstractNumId w:val="5"/>
  </w:num>
  <w:num w:numId="53">
    <w:abstractNumId w:val="32"/>
  </w:num>
  <w:num w:numId="54">
    <w:abstractNumId w:val="11"/>
  </w:num>
  <w:num w:numId="55">
    <w:abstractNumId w:val="45"/>
  </w:num>
  <w:num w:numId="56">
    <w:abstractNumId w:val="23"/>
  </w:num>
  <w:num w:numId="57">
    <w:abstractNumId w:val="39"/>
  </w:num>
  <w:num w:numId="58">
    <w:abstractNumId w:val="22"/>
  </w:num>
  <w:num w:numId="59">
    <w:abstractNumId w:val="30"/>
  </w:num>
  <w:num w:numId="60">
    <w:abstractNumId w:val="26"/>
  </w:num>
  <w:num w:numId="61">
    <w:abstractNumId w:val="46"/>
  </w:num>
  <w:num w:numId="62">
    <w:abstractNumId w:val="65"/>
  </w:num>
  <w:num w:numId="63">
    <w:abstractNumId w:val="47"/>
  </w:num>
  <w:num w:numId="64">
    <w:abstractNumId w:val="51"/>
  </w:num>
  <w:num w:numId="65">
    <w:abstractNumId w:val="61"/>
  </w:num>
  <w:num w:numId="66">
    <w:abstractNumId w:val="60"/>
  </w:num>
  <w:num w:numId="67">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embedSystemFonts/>
  <w:bordersDoNotSurroundHeader/>
  <w:bordersDoNotSurroundFooter/>
  <w:doNotTrackMoves/>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AAD"/>
    <w:rsid w:val="00012BB1"/>
    <w:rsid w:val="00030604"/>
    <w:rsid w:val="00036DD0"/>
    <w:rsid w:val="000465EF"/>
    <w:rsid w:val="00053044"/>
    <w:rsid w:val="00062A46"/>
    <w:rsid w:val="0008256A"/>
    <w:rsid w:val="000B0B10"/>
    <w:rsid w:val="00143AAD"/>
    <w:rsid w:val="0015720D"/>
    <w:rsid w:val="00163377"/>
    <w:rsid w:val="00191231"/>
    <w:rsid w:val="001977BF"/>
    <w:rsid w:val="001B48A4"/>
    <w:rsid w:val="001C446F"/>
    <w:rsid w:val="001D5117"/>
    <w:rsid w:val="001F36F8"/>
    <w:rsid w:val="001F5B57"/>
    <w:rsid w:val="002074FF"/>
    <w:rsid w:val="00224163"/>
    <w:rsid w:val="00271A8D"/>
    <w:rsid w:val="00285848"/>
    <w:rsid w:val="00286042"/>
    <w:rsid w:val="00286B02"/>
    <w:rsid w:val="002A100C"/>
    <w:rsid w:val="002A1022"/>
    <w:rsid w:val="002A4316"/>
    <w:rsid w:val="002E67D0"/>
    <w:rsid w:val="002E79C1"/>
    <w:rsid w:val="003116F9"/>
    <w:rsid w:val="003306EF"/>
    <w:rsid w:val="0034556A"/>
    <w:rsid w:val="0036151B"/>
    <w:rsid w:val="0036399E"/>
    <w:rsid w:val="00372B6E"/>
    <w:rsid w:val="003745EF"/>
    <w:rsid w:val="00380ADE"/>
    <w:rsid w:val="003A563D"/>
    <w:rsid w:val="003C3C76"/>
    <w:rsid w:val="003C491B"/>
    <w:rsid w:val="00402E4A"/>
    <w:rsid w:val="00431B47"/>
    <w:rsid w:val="00434810"/>
    <w:rsid w:val="004B25AA"/>
    <w:rsid w:val="004B5D6B"/>
    <w:rsid w:val="004D54E5"/>
    <w:rsid w:val="00503A29"/>
    <w:rsid w:val="005118B0"/>
    <w:rsid w:val="00580EE2"/>
    <w:rsid w:val="005A1554"/>
    <w:rsid w:val="005B0884"/>
    <w:rsid w:val="005B4831"/>
    <w:rsid w:val="00603CA0"/>
    <w:rsid w:val="00606933"/>
    <w:rsid w:val="00637E60"/>
    <w:rsid w:val="00641911"/>
    <w:rsid w:val="00643CF1"/>
    <w:rsid w:val="0065541F"/>
    <w:rsid w:val="00661241"/>
    <w:rsid w:val="00681936"/>
    <w:rsid w:val="006A1DED"/>
    <w:rsid w:val="006D1BBD"/>
    <w:rsid w:val="006E4D40"/>
    <w:rsid w:val="00770583"/>
    <w:rsid w:val="00771D2E"/>
    <w:rsid w:val="0078239A"/>
    <w:rsid w:val="00785320"/>
    <w:rsid w:val="00787077"/>
    <w:rsid w:val="007960C7"/>
    <w:rsid w:val="007A777D"/>
    <w:rsid w:val="007C0133"/>
    <w:rsid w:val="007E509C"/>
    <w:rsid w:val="007F4B74"/>
    <w:rsid w:val="00804C74"/>
    <w:rsid w:val="00812EE1"/>
    <w:rsid w:val="008263A3"/>
    <w:rsid w:val="0083289E"/>
    <w:rsid w:val="0083321F"/>
    <w:rsid w:val="0088063B"/>
    <w:rsid w:val="00886388"/>
    <w:rsid w:val="00886CBD"/>
    <w:rsid w:val="00893519"/>
    <w:rsid w:val="008A1294"/>
    <w:rsid w:val="008D5120"/>
    <w:rsid w:val="00934B8B"/>
    <w:rsid w:val="00941FD5"/>
    <w:rsid w:val="009518E3"/>
    <w:rsid w:val="00960238"/>
    <w:rsid w:val="009670AB"/>
    <w:rsid w:val="009908DC"/>
    <w:rsid w:val="00990C06"/>
    <w:rsid w:val="00994F46"/>
    <w:rsid w:val="00995D0C"/>
    <w:rsid w:val="00996844"/>
    <w:rsid w:val="009A1944"/>
    <w:rsid w:val="009C0FB0"/>
    <w:rsid w:val="009C4084"/>
    <w:rsid w:val="009D0009"/>
    <w:rsid w:val="009D7BCF"/>
    <w:rsid w:val="009F32A3"/>
    <w:rsid w:val="00A14BBB"/>
    <w:rsid w:val="00A2001D"/>
    <w:rsid w:val="00A332C8"/>
    <w:rsid w:val="00A34941"/>
    <w:rsid w:val="00A37EEA"/>
    <w:rsid w:val="00A41BBE"/>
    <w:rsid w:val="00A979BB"/>
    <w:rsid w:val="00AA28E7"/>
    <w:rsid w:val="00AB266C"/>
    <w:rsid w:val="00AB7608"/>
    <w:rsid w:val="00AC0A6F"/>
    <w:rsid w:val="00AC2A1B"/>
    <w:rsid w:val="00B33105"/>
    <w:rsid w:val="00B40E1E"/>
    <w:rsid w:val="00B45161"/>
    <w:rsid w:val="00B83E6F"/>
    <w:rsid w:val="00B939A3"/>
    <w:rsid w:val="00BA4C86"/>
    <w:rsid w:val="00BB3C52"/>
    <w:rsid w:val="00BB5005"/>
    <w:rsid w:val="00BC1E48"/>
    <w:rsid w:val="00BE0B20"/>
    <w:rsid w:val="00C14A3F"/>
    <w:rsid w:val="00C34845"/>
    <w:rsid w:val="00C3610F"/>
    <w:rsid w:val="00C5592B"/>
    <w:rsid w:val="00C77D47"/>
    <w:rsid w:val="00C90E00"/>
    <w:rsid w:val="00CB2525"/>
    <w:rsid w:val="00CC59F9"/>
    <w:rsid w:val="00CC7614"/>
    <w:rsid w:val="00CD4788"/>
    <w:rsid w:val="00D22424"/>
    <w:rsid w:val="00D404A7"/>
    <w:rsid w:val="00D50C46"/>
    <w:rsid w:val="00D779B2"/>
    <w:rsid w:val="00D876E3"/>
    <w:rsid w:val="00D9205D"/>
    <w:rsid w:val="00DB17B2"/>
    <w:rsid w:val="00DB7268"/>
    <w:rsid w:val="00DF385E"/>
    <w:rsid w:val="00E01EBA"/>
    <w:rsid w:val="00E462DF"/>
    <w:rsid w:val="00E51663"/>
    <w:rsid w:val="00E65428"/>
    <w:rsid w:val="00E710CE"/>
    <w:rsid w:val="00E73288"/>
    <w:rsid w:val="00EA682B"/>
    <w:rsid w:val="00EA6D62"/>
    <w:rsid w:val="00EC17C9"/>
    <w:rsid w:val="00F30866"/>
    <w:rsid w:val="00F32A63"/>
    <w:rsid w:val="00F60BA9"/>
    <w:rsid w:val="00F61F2B"/>
    <w:rsid w:val="00F8293A"/>
    <w:rsid w:val="00F97155"/>
    <w:rsid w:val="00FD373A"/>
    <w:rsid w:val="00FE56DB"/>
    <w:rsid w:val="00FE7EA4"/>
    <w:rsid w:val="15F572FB"/>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宋体" w:hAnsi="Cambr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nhideWhenUsed="0" w:qFormat="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qFormat="1"/>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nhideWhenUsed="0" w:qFormat="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semiHidden="0" w:uiPriority="0" w:unhideWhenUsed="0" w:qFormat="1"/>
    <w:lsdException w:name="annotation reference" w:uiPriority="0" w:unhideWhenUsed="0" w:qFormat="1"/>
    <w:lsdException w:name="line number" w:locked="1"/>
    <w:lsdException w:name="page number" w:semiHidden="0" w:unhideWhenUsed="0"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1"/>
    <w:lsdException w:name="Body Text" w:semiHidden="0" w:uiPriority="0" w:unhideWhenUsed="0" w:qFormat="1"/>
    <w:lsdException w:name="Body Text Indent" w:semiHidden="0" w:unhideWhenUsed="0"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semiHidden="0" w:unhideWhenUsed="0" w:qFormat="1"/>
    <w:lsdException w:name="Body Text First Indent" w:semiHidden="0" w:unhideWhenUsed="0" w:qFormat="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semiHidden="0" w:unhideWhenUsed="0" w:qFormat="1"/>
    <w:lsdException w:name="FollowedHyperlink" w:semiHidden="0" w:unhideWhenUsed="0" w:qFormat="1"/>
    <w:lsdException w:name="Strong" w:semiHidden="0" w:uiPriority="0" w:unhideWhenUsed="0" w:qFormat="1"/>
    <w:lsdException w:name="Emphasis" w:semiHidden="0" w:uiPriority="0" w:unhideWhenUsed="0" w:qFormat="1"/>
    <w:lsdException w:name="Document Map" w:uiPriority="0" w:unhideWhenUsed="0" w:qFormat="1"/>
    <w:lsdException w:name="Plain Text" w:locked="1"/>
    <w:lsdException w:name="E-mail Signature" w:locked="1"/>
    <w:lsdException w:name="Normal (Web)" w:semiHidden="0" w:unhideWhenUsed="0" w:qFormat="1"/>
    <w:lsdException w:name="HTML Acronym" w:semiHidden="0" w:unhideWhenUsed="0" w:qFormat="1"/>
    <w:lsdException w:name="HTML Address" w:semiHidden="0" w:unhideWhenUsed="0" w:qFormat="1"/>
    <w:lsdException w:name="HTML Cite" w:semiHidden="0" w:unhideWhenUsed="0" w:qFormat="1"/>
    <w:lsdException w:name="HTML Code" w:semiHidden="0" w:unhideWhenUsed="0" w:qFormat="1"/>
    <w:lsdException w:name="HTML Definition" w:semiHidden="0" w:unhideWhenUsed="0" w:qFormat="1"/>
    <w:lsdException w:name="HTML Keyboard" w:semiHidden="0" w:unhideWhenUsed="0" w:qFormat="1"/>
    <w:lsdException w:name="HTML Preformatted" w:semiHidden="0" w:unhideWhenUsed="0" w:qFormat="1"/>
    <w:lsdException w:name="HTML Sample" w:semiHidden="0" w:uiPriority="0" w:unhideWhenUsed="0" w:qFormat="1"/>
    <w:lsdException w:name="HTML Typewriter" w:semiHidden="0" w:unhideWhenUsed="0" w:qFormat="1"/>
    <w:lsdException w:name="HTML Variable" w:semiHidden="0" w:unhideWhenUsed="0" w:qFormat="1"/>
    <w:lsdException w:name="Normal Table"/>
    <w:lsdException w:name="annotation subject" w:uiPriority="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semiHidden="0" w:uiPriority="0" w:unhideWhenUsed="0" w:qFormat="1"/>
    <w:lsdException w:name="Table Grid" w:semiHidden="0"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pPr>
      <w:keepNext/>
      <w:keepLines/>
      <w:spacing w:before="260" w:after="260" w:line="416" w:lineRule="auto"/>
      <w:outlineLvl w:val="1"/>
    </w:pPr>
    <w:rPr>
      <w:rFonts w:ascii="Arial" w:eastAsia="黑体" w:hAnsi="Arial" w:cs="Arial"/>
      <w:b/>
      <w:bCs/>
      <w:kern w:val="0"/>
      <w:sz w:val="32"/>
      <w:szCs w:val="32"/>
    </w:rPr>
  </w:style>
  <w:style w:type="paragraph" w:styleId="Heading3">
    <w:name w:val="heading 3"/>
    <w:basedOn w:val="Normal"/>
    <w:next w:val="Normal"/>
    <w:link w:val="3Char"/>
    <w:qFormat/>
    <w:pPr>
      <w:keepNext/>
      <w:keepLines/>
      <w:spacing w:before="260" w:after="260" w:line="416" w:lineRule="auto"/>
      <w:outlineLvl w:val="2"/>
    </w:pPr>
    <w:rPr>
      <w:b/>
      <w:bCs/>
      <w:kern w:val="0"/>
      <w:sz w:val="32"/>
      <w:szCs w:val="32"/>
    </w:rPr>
  </w:style>
  <w:style w:type="paragraph" w:styleId="Heading4">
    <w:name w:val="heading 4"/>
    <w:basedOn w:val="Normal"/>
    <w:next w:val="Normal"/>
    <w:link w:val="4Char"/>
    <w:qFormat/>
    <w:pPr>
      <w:keepNext/>
      <w:keepLines/>
      <w:spacing w:before="280" w:after="290" w:line="376" w:lineRule="auto"/>
      <w:outlineLvl w:val="3"/>
    </w:pPr>
    <w:rPr>
      <w:rFonts w:ascii="Arial" w:eastAsia="黑体" w:hAnsi="Arial" w:cs="Arial"/>
      <w:b/>
      <w:bCs/>
      <w:kern w:val="0"/>
      <w:sz w:val="28"/>
      <w:szCs w:val="28"/>
    </w:rPr>
  </w:style>
  <w:style w:type="paragraph" w:styleId="Heading5">
    <w:name w:val="heading 5"/>
    <w:basedOn w:val="Normal"/>
    <w:next w:val="Normal"/>
    <w:link w:val="5Char"/>
    <w:autoRedefine/>
    <w:qFormat/>
    <w:pPr>
      <w:keepNext/>
      <w:keepLines/>
      <w:spacing w:before="280" w:after="290" w:line="376" w:lineRule="auto"/>
      <w:outlineLvl w:val="4"/>
    </w:pPr>
    <w:rPr>
      <w:b/>
      <w:bCs/>
      <w:kern w:val="0"/>
      <w:sz w:val="28"/>
      <w:szCs w:val="28"/>
    </w:rPr>
  </w:style>
  <w:style w:type="paragraph" w:styleId="Heading6">
    <w:name w:val="heading 6"/>
    <w:basedOn w:val="Normal"/>
    <w:next w:val="Normal"/>
    <w:link w:val="6Char"/>
    <w:qFormat/>
    <w:pPr>
      <w:keepNext/>
      <w:keepLines/>
      <w:spacing w:before="240" w:after="64" w:line="320" w:lineRule="auto"/>
      <w:outlineLvl w:val="5"/>
    </w:pPr>
    <w:rPr>
      <w:rFonts w:ascii="Arial" w:eastAsia="黑体" w:hAnsi="Arial" w:cs="Arial"/>
      <w:b/>
      <w:bCs/>
      <w:kern w:val="0"/>
      <w:sz w:val="20"/>
      <w:szCs w:val="20"/>
    </w:rPr>
  </w:style>
  <w:style w:type="paragraph" w:styleId="Heading7">
    <w:name w:val="heading 7"/>
    <w:basedOn w:val="Normal"/>
    <w:next w:val="Normal"/>
    <w:link w:val="7Char"/>
    <w:qFormat/>
    <w:pPr>
      <w:keepNext/>
      <w:keepLines/>
      <w:spacing w:before="240" w:after="64" w:line="320" w:lineRule="auto"/>
      <w:outlineLvl w:val="6"/>
    </w:pPr>
    <w:rPr>
      <w:b/>
      <w:bCs/>
      <w:kern w:val="0"/>
      <w:sz w:val="20"/>
      <w:szCs w:val="20"/>
    </w:rPr>
  </w:style>
  <w:style w:type="paragraph" w:styleId="Heading8">
    <w:name w:val="heading 8"/>
    <w:basedOn w:val="Normal"/>
    <w:next w:val="Normal"/>
    <w:link w:val="8Char"/>
    <w:autoRedefine/>
    <w:qFormat/>
    <w:pPr>
      <w:keepNext/>
      <w:keepLines/>
      <w:spacing w:before="240" w:after="64" w:line="320" w:lineRule="auto"/>
      <w:outlineLvl w:val="7"/>
    </w:pPr>
    <w:rPr>
      <w:rFonts w:ascii="Arial" w:eastAsia="黑体" w:hAnsi="Arial" w:cs="Arial"/>
      <w:kern w:val="0"/>
      <w:sz w:val="20"/>
      <w:szCs w:val="20"/>
    </w:rPr>
  </w:style>
  <w:style w:type="paragraph" w:styleId="Heading9">
    <w:name w:val="heading 9"/>
    <w:basedOn w:val="Normal"/>
    <w:next w:val="Normal"/>
    <w:link w:val="9Char"/>
    <w:autoRedefine/>
    <w:qFormat/>
    <w:pPr>
      <w:keepNext/>
      <w:keepLines/>
      <w:spacing w:before="240" w:after="64" w:line="320" w:lineRule="auto"/>
      <w:outlineLvl w:val="8"/>
    </w:pPr>
    <w:rPr>
      <w:rFonts w:ascii="Arial" w:eastAsia="黑体" w:hAnsi="Arial" w:cs="Arial"/>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7">
    <w:name w:val="toc 7"/>
    <w:basedOn w:val="TOC6"/>
    <w:autoRedefine/>
    <w:qFormat/>
    <w:pPr>
      <w:tabs>
        <w:tab w:val="right" w:leader="dot" w:pos="9060"/>
      </w:tabs>
    </w:pPr>
  </w:style>
  <w:style w:type="paragraph" w:styleId="TOC6">
    <w:name w:val="toc 6"/>
    <w:basedOn w:val="TOC5"/>
    <w:autoRedefine/>
    <w:qFormat/>
    <w:pPr>
      <w:tabs>
        <w:tab w:val="right" w:leader="dot" w:pos="9060"/>
      </w:tabs>
    </w:pPr>
  </w:style>
  <w:style w:type="paragraph" w:styleId="TOC5">
    <w:name w:val="toc 5"/>
    <w:basedOn w:val="TOC4"/>
    <w:autoRedefine/>
    <w:qFormat/>
    <w:pPr>
      <w:tabs>
        <w:tab w:val="right" w:leader="dot" w:pos="9060"/>
      </w:tabs>
    </w:pPr>
  </w:style>
  <w:style w:type="paragraph" w:styleId="TOC4">
    <w:name w:val="toc 4"/>
    <w:basedOn w:val="TOC3"/>
    <w:autoRedefine/>
    <w:qFormat/>
    <w:pPr>
      <w:tabs>
        <w:tab w:val="right" w:leader="dot" w:pos="9060"/>
      </w:tabs>
    </w:pPr>
  </w:style>
  <w:style w:type="paragraph" w:styleId="TOC3">
    <w:name w:val="toc 3"/>
    <w:basedOn w:val="TOC2"/>
    <w:autoRedefine/>
    <w:uiPriority w:val="39"/>
    <w:qFormat/>
    <w:pPr>
      <w:tabs>
        <w:tab w:val="right" w:leader="dot" w:pos="9060"/>
      </w:tabs>
    </w:pPr>
  </w:style>
  <w:style w:type="paragraph" w:styleId="TOC2">
    <w:name w:val="toc 2"/>
    <w:basedOn w:val="TOC1"/>
    <w:link w:val="2Char0"/>
    <w:autoRedefine/>
    <w:uiPriority w:val="39"/>
    <w:qFormat/>
    <w:pPr>
      <w:tabs>
        <w:tab w:val="right" w:leader="dot" w:pos="9060"/>
      </w:tabs>
    </w:pPr>
    <w:rPr>
      <w:sz w:val="20"/>
      <w:szCs w:val="20"/>
    </w:rPr>
  </w:style>
  <w:style w:type="paragraph" w:styleId="TOC1">
    <w:name w:val="toc 1"/>
    <w:basedOn w:val="Normal"/>
    <w:link w:val="1Char0"/>
    <w:autoRedefine/>
    <w:uiPriority w:val="39"/>
    <w:qFormat/>
    <w:pPr>
      <w:widowControl/>
    </w:pPr>
    <w:rPr>
      <w:rFonts w:ascii="宋体" w:cs="宋体"/>
      <w:kern w:val="0"/>
    </w:rPr>
  </w:style>
  <w:style w:type="paragraph" w:styleId="NormalIndent">
    <w:name w:val="Normal Indent"/>
    <w:basedOn w:val="Normal"/>
    <w:link w:val="Char11"/>
    <w:autoRedefine/>
    <w:qFormat/>
    <w:pPr>
      <w:ind w:firstLine="420" w:firstLineChars="200"/>
    </w:pPr>
    <w:rPr>
      <w:kern w:val="0"/>
    </w:rPr>
  </w:style>
  <w:style w:type="paragraph" w:styleId="Caption">
    <w:name w:val="caption"/>
    <w:basedOn w:val="Normal"/>
    <w:next w:val="Normal"/>
    <w:autoRedefine/>
    <w:qFormat/>
    <w:pPr>
      <w:adjustRightInd w:val="0"/>
      <w:spacing w:before="152" w:after="160" w:line="312" w:lineRule="atLeast"/>
      <w:textAlignment w:val="baseline"/>
    </w:pPr>
    <w:rPr>
      <w:rFonts w:ascii="Arial" w:hAnsi="Arial" w:cs="Arial"/>
      <w:kern w:val="0"/>
    </w:rPr>
  </w:style>
  <w:style w:type="paragraph" w:styleId="DocumentMap">
    <w:name w:val="Document Map"/>
    <w:basedOn w:val="Normal"/>
    <w:link w:val="Char2"/>
    <w:autoRedefine/>
    <w:semiHidden/>
    <w:qFormat/>
    <w:pPr>
      <w:shd w:val="clear" w:color="auto" w:fill="000080"/>
    </w:pPr>
    <w:rPr>
      <w:kern w:val="0"/>
    </w:rPr>
  </w:style>
  <w:style w:type="paragraph" w:styleId="CommentText">
    <w:name w:val="annotation text"/>
    <w:basedOn w:val="Normal"/>
    <w:link w:val="Char4"/>
    <w:autoRedefine/>
    <w:qFormat/>
    <w:pPr>
      <w:jc w:val="left"/>
    </w:pPr>
    <w:rPr>
      <w:kern w:val="0"/>
    </w:rPr>
  </w:style>
  <w:style w:type="paragraph" w:styleId="BodyText">
    <w:name w:val="Body Text"/>
    <w:basedOn w:val="Normal"/>
    <w:link w:val="Char9"/>
    <w:autoRedefine/>
    <w:qFormat/>
    <w:pPr>
      <w:spacing w:after="120"/>
    </w:pPr>
    <w:rPr>
      <w:kern w:val="0"/>
    </w:rPr>
  </w:style>
  <w:style w:type="paragraph" w:styleId="BodyTextIndent">
    <w:name w:val="Body Text Indent"/>
    <w:basedOn w:val="Normal"/>
    <w:link w:val="Char8"/>
    <w:autoRedefine/>
    <w:uiPriority w:val="99"/>
    <w:qFormat/>
    <w:pPr>
      <w:ind w:left="709"/>
    </w:pPr>
    <w:rPr>
      <w:kern w:val="0"/>
      <w:sz w:val="28"/>
      <w:szCs w:val="28"/>
    </w:rPr>
  </w:style>
  <w:style w:type="paragraph" w:styleId="HTMLAddress">
    <w:name w:val="HTML Address"/>
    <w:basedOn w:val="Normal"/>
    <w:link w:val="HTMLChar"/>
    <w:autoRedefine/>
    <w:uiPriority w:val="99"/>
    <w:qFormat/>
    <w:rPr>
      <w:i/>
      <w:iCs/>
      <w:kern w:val="0"/>
    </w:rPr>
  </w:style>
  <w:style w:type="paragraph" w:styleId="TOC8">
    <w:name w:val="toc 8"/>
    <w:basedOn w:val="TOC7"/>
    <w:autoRedefine/>
    <w:qFormat/>
  </w:style>
  <w:style w:type="paragraph" w:styleId="Date">
    <w:name w:val="Date"/>
    <w:basedOn w:val="Normal"/>
    <w:next w:val="Normal"/>
    <w:link w:val="Char3"/>
    <w:autoRedefine/>
    <w:uiPriority w:val="99"/>
    <w:qFormat/>
    <w:pPr>
      <w:ind w:left="100" w:leftChars="2500"/>
    </w:pPr>
    <w:rPr>
      <w:kern w:val="0"/>
    </w:rPr>
  </w:style>
  <w:style w:type="paragraph" w:styleId="BalloonText">
    <w:name w:val="Balloon Text"/>
    <w:basedOn w:val="Normal"/>
    <w:link w:val="Char1"/>
    <w:autoRedefine/>
    <w:qFormat/>
    <w:rPr>
      <w:kern w:val="0"/>
      <w:sz w:val="18"/>
      <w:szCs w:val="18"/>
    </w:rPr>
  </w:style>
  <w:style w:type="paragraph" w:styleId="Footer">
    <w:name w:val="footer"/>
    <w:basedOn w:val="Normal"/>
    <w:link w:val="Char0"/>
    <w:autoRedefine/>
    <w:uiPriority w:val="99"/>
    <w:qFormat/>
    <w:pPr>
      <w:tabs>
        <w:tab w:val="center" w:pos="4153"/>
        <w:tab w:val="right" w:pos="8306"/>
      </w:tabs>
      <w:snapToGrid w:val="0"/>
      <w:ind w:right="210" w:rightChars="100"/>
      <w:jc w:val="right"/>
    </w:pPr>
    <w:rPr>
      <w:kern w:val="0"/>
      <w:sz w:val="18"/>
      <w:szCs w:val="18"/>
    </w:rPr>
  </w:style>
  <w:style w:type="paragraph" w:styleId="Header">
    <w:name w:val="header"/>
    <w:basedOn w:val="Normal"/>
    <w:link w:val="Char"/>
    <w:autoRedefine/>
    <w:qFormat/>
    <w:pPr>
      <w:tabs>
        <w:tab w:val="center" w:pos="4153"/>
        <w:tab w:val="right" w:pos="8306"/>
      </w:tabs>
      <w:snapToGrid w:val="0"/>
      <w:jc w:val="center"/>
    </w:pPr>
    <w:rPr>
      <w:kern w:val="0"/>
      <w:sz w:val="18"/>
      <w:szCs w:val="18"/>
    </w:rPr>
  </w:style>
  <w:style w:type="paragraph" w:styleId="FootnoteText">
    <w:name w:val="footnote text"/>
    <w:basedOn w:val="Normal"/>
    <w:link w:val="Char7"/>
    <w:autoRedefine/>
    <w:qFormat/>
    <w:pPr>
      <w:snapToGrid w:val="0"/>
      <w:jc w:val="left"/>
    </w:pPr>
    <w:rPr>
      <w:kern w:val="0"/>
      <w:sz w:val="18"/>
      <w:szCs w:val="18"/>
    </w:rPr>
  </w:style>
  <w:style w:type="paragraph" w:styleId="TOC9">
    <w:name w:val="toc 9"/>
    <w:basedOn w:val="TOC8"/>
    <w:autoRedefine/>
    <w:qFormat/>
  </w:style>
  <w:style w:type="paragraph" w:styleId="HTMLPreformatted">
    <w:name w:val="HTML Preformatted"/>
    <w:basedOn w:val="Normal"/>
    <w:link w:val="HTMLChar0"/>
    <w:autoRedefine/>
    <w:uiPriority w:val="99"/>
    <w:qFormat/>
    <w:rPr>
      <w:rFonts w:ascii="Courier New" w:hAnsi="Courier New" w:cs="Courier New"/>
      <w:kern w:val="0"/>
      <w:sz w:val="20"/>
      <w:szCs w:val="20"/>
    </w:rPr>
  </w:style>
  <w:style w:type="paragraph" w:styleId="NormalWeb">
    <w:name w:val="Normal (Web)"/>
    <w:basedOn w:val="Normal"/>
    <w:autoRedefine/>
    <w:uiPriority w:val="99"/>
    <w:qFormat/>
    <w:pPr>
      <w:widowControl/>
      <w:spacing w:before="100" w:beforeAutospacing="1" w:after="100" w:afterAutospacing="1"/>
      <w:jc w:val="left"/>
    </w:pPr>
    <w:rPr>
      <w:rFonts w:ascii="宋体" w:hAnsi="宋体" w:cs="宋体"/>
      <w:kern w:val="0"/>
      <w:sz w:val="24"/>
      <w:szCs w:val="24"/>
    </w:rPr>
  </w:style>
  <w:style w:type="paragraph" w:styleId="Index1">
    <w:name w:val="index 1"/>
    <w:basedOn w:val="Normal"/>
    <w:next w:val="Normal"/>
    <w:autoRedefine/>
    <w:uiPriority w:val="99"/>
    <w:semiHidden/>
    <w:qFormat/>
  </w:style>
  <w:style w:type="paragraph" w:styleId="Title">
    <w:name w:val="Title"/>
    <w:basedOn w:val="Normal"/>
    <w:link w:val="Char6"/>
    <w:autoRedefine/>
    <w:qFormat/>
    <w:pPr>
      <w:spacing w:before="240" w:after="60"/>
      <w:jc w:val="center"/>
      <w:outlineLvl w:val="0"/>
    </w:pPr>
    <w:rPr>
      <w:rFonts w:ascii="Arial" w:hAnsi="Arial" w:cs="Arial"/>
      <w:b/>
      <w:bCs/>
      <w:kern w:val="0"/>
      <w:sz w:val="32"/>
      <w:szCs w:val="32"/>
    </w:rPr>
  </w:style>
  <w:style w:type="paragraph" w:styleId="CommentSubject">
    <w:name w:val="annotation subject"/>
    <w:basedOn w:val="CommentText"/>
    <w:next w:val="CommentText"/>
    <w:link w:val="Char5"/>
    <w:autoRedefine/>
    <w:semiHidden/>
    <w:qFormat/>
    <w:rPr>
      <w:b/>
      <w:bCs/>
    </w:rPr>
  </w:style>
  <w:style w:type="paragraph" w:styleId="BodyTextFirstIndent">
    <w:name w:val="Body Text First Indent"/>
    <w:basedOn w:val="Normal"/>
    <w:link w:val="Char10"/>
    <w:autoRedefine/>
    <w:uiPriority w:val="99"/>
    <w:qFormat/>
    <w:pPr>
      <w:ind w:firstLine="200" w:firstLineChars="200"/>
    </w:pPr>
  </w:style>
  <w:style w:type="table" w:styleId="TableGrid">
    <w:name w:val="Table Grid"/>
    <w:basedOn w:val="TableNormal"/>
    <w:autoRedefine/>
    <w:uiPriority w:val="9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autoRedefine/>
    <w:uiPriority w:val="99"/>
    <w:qFormat/>
    <w:rPr>
      <w:rFonts w:ascii="Times New Roman" w:eastAsia="宋体" w:hAnsi="Times New Roman" w:cs="Times New Roman"/>
      <w:sz w:val="18"/>
      <w:szCs w:val="18"/>
    </w:rPr>
  </w:style>
  <w:style w:type="character" w:styleId="FollowedHyperlink">
    <w:name w:val="FollowedHyperlink"/>
    <w:autoRedefine/>
    <w:uiPriority w:val="99"/>
    <w:qFormat/>
    <w:rPr>
      <w:color w:val="800080"/>
      <w:u w:val="single"/>
    </w:rPr>
  </w:style>
  <w:style w:type="character" w:styleId="Emphasis">
    <w:name w:val="Emphasis"/>
    <w:autoRedefine/>
    <w:qFormat/>
    <w:rPr>
      <w:rFonts w:ascii="宋体" w:eastAsia="宋体"/>
      <w:i/>
      <w:iCs/>
      <w:sz w:val="24"/>
      <w:lang w:val="en-US" w:eastAsia="zh-CN"/>
    </w:rPr>
  </w:style>
  <w:style w:type="character" w:styleId="HTMLDefinition">
    <w:name w:val="HTML Definition"/>
    <w:autoRedefine/>
    <w:uiPriority w:val="99"/>
    <w:qFormat/>
    <w:rPr>
      <w:i/>
      <w:iCs/>
    </w:rPr>
  </w:style>
  <w:style w:type="character" w:styleId="HTMLTypewriter">
    <w:name w:val="HTML Typewriter"/>
    <w:autoRedefine/>
    <w:uiPriority w:val="99"/>
    <w:qFormat/>
    <w:rPr>
      <w:rFonts w:ascii="Courier New" w:hAnsi="Courier New" w:cs="Courier New"/>
      <w:sz w:val="20"/>
      <w:szCs w:val="20"/>
    </w:rPr>
  </w:style>
  <w:style w:type="character" w:styleId="HTMLAcronym">
    <w:name w:val="HTML Acronym"/>
    <w:basedOn w:val="DefaultParagraphFont"/>
    <w:autoRedefine/>
    <w:uiPriority w:val="99"/>
    <w:qFormat/>
  </w:style>
  <w:style w:type="character" w:styleId="HTMLVariable">
    <w:name w:val="HTML Variable"/>
    <w:autoRedefine/>
    <w:uiPriority w:val="99"/>
    <w:qFormat/>
    <w:rPr>
      <w:i/>
      <w:iCs/>
    </w:rPr>
  </w:style>
  <w:style w:type="character" w:styleId="Hyperlink">
    <w:name w:val="Hyperlink"/>
    <w:autoRedefine/>
    <w:uiPriority w:val="99"/>
    <w:qFormat/>
    <w:rPr>
      <w:rFonts w:ascii="Times New Roman" w:eastAsia="宋体" w:hAnsi="Times New Roman" w:cs="Times New Roman"/>
      <w:color w:val="auto"/>
      <w:spacing w:val="0"/>
      <w:w w:val="100"/>
      <w:position w:val="0"/>
      <w:sz w:val="21"/>
      <w:szCs w:val="21"/>
      <w:u w:val="none"/>
      <w:vertAlign w:val="baseline"/>
    </w:rPr>
  </w:style>
  <w:style w:type="character" w:styleId="HTMLCode">
    <w:name w:val="HTML Code"/>
    <w:autoRedefine/>
    <w:uiPriority w:val="99"/>
    <w:qFormat/>
    <w:rPr>
      <w:rFonts w:ascii="Courier New" w:hAnsi="Courier New" w:cs="Courier New"/>
      <w:sz w:val="20"/>
      <w:szCs w:val="20"/>
    </w:rPr>
  </w:style>
  <w:style w:type="character" w:styleId="CommentReference">
    <w:name w:val="annotation reference"/>
    <w:autoRedefine/>
    <w:semiHidden/>
    <w:qFormat/>
    <w:rPr>
      <w:sz w:val="21"/>
      <w:szCs w:val="21"/>
    </w:rPr>
  </w:style>
  <w:style w:type="character" w:styleId="HTMLCite">
    <w:name w:val="HTML Cite"/>
    <w:autoRedefine/>
    <w:uiPriority w:val="99"/>
    <w:qFormat/>
    <w:rPr>
      <w:i/>
      <w:iCs/>
    </w:rPr>
  </w:style>
  <w:style w:type="character" w:styleId="FootnoteReference">
    <w:name w:val="footnote reference"/>
    <w:autoRedefine/>
    <w:qFormat/>
    <w:rPr>
      <w:vertAlign w:val="superscript"/>
    </w:rPr>
  </w:style>
  <w:style w:type="character" w:styleId="HTMLKeyboard">
    <w:name w:val="HTML Keyboard"/>
    <w:autoRedefine/>
    <w:uiPriority w:val="99"/>
    <w:qFormat/>
    <w:rPr>
      <w:rFonts w:ascii="Courier New" w:hAnsi="Courier New" w:cs="Courier New"/>
      <w:sz w:val="20"/>
      <w:szCs w:val="20"/>
    </w:rPr>
  </w:style>
  <w:style w:type="character" w:styleId="HTMLSample">
    <w:name w:val="HTML Sample"/>
    <w:autoRedefine/>
    <w:qFormat/>
    <w:rPr>
      <w:rFonts w:ascii="Courier New" w:hAnsi="Courier New" w:cs="Courier New"/>
    </w:rPr>
  </w:style>
  <w:style w:type="character" w:customStyle="1" w:styleId="1Char">
    <w:name w:val="标题 1 Char"/>
    <w:link w:val="Heading1"/>
    <w:locked/>
    <w:rPr>
      <w:rFonts w:ascii="Times New Roman" w:eastAsia="宋体" w:hAnsi="Times New Roman" w:cs="Times New Roman"/>
      <w:b/>
      <w:bCs/>
      <w:kern w:val="44"/>
      <w:sz w:val="44"/>
      <w:szCs w:val="44"/>
    </w:rPr>
  </w:style>
  <w:style w:type="character" w:customStyle="1" w:styleId="2Char">
    <w:name w:val="标题 2 Char"/>
    <w:link w:val="Heading2"/>
    <w:autoRedefine/>
    <w:qFormat/>
    <w:locked/>
    <w:rPr>
      <w:rFonts w:ascii="Arial" w:eastAsia="黑体" w:hAnsi="Arial" w:cs="Arial"/>
      <w:b/>
      <w:bCs/>
      <w:sz w:val="32"/>
      <w:szCs w:val="32"/>
    </w:rPr>
  </w:style>
  <w:style w:type="character" w:customStyle="1" w:styleId="3Char">
    <w:name w:val="标题 3 Char"/>
    <w:link w:val="Heading3"/>
    <w:autoRedefine/>
    <w:qFormat/>
    <w:locked/>
    <w:rPr>
      <w:rFonts w:ascii="Times New Roman" w:eastAsia="宋体" w:hAnsi="Times New Roman" w:cs="Times New Roman"/>
      <w:b/>
      <w:bCs/>
      <w:sz w:val="32"/>
      <w:szCs w:val="32"/>
    </w:rPr>
  </w:style>
  <w:style w:type="character" w:customStyle="1" w:styleId="4Char">
    <w:name w:val="标题 4 Char"/>
    <w:link w:val="Heading4"/>
    <w:autoRedefine/>
    <w:qFormat/>
    <w:locked/>
    <w:rPr>
      <w:rFonts w:ascii="Arial" w:eastAsia="黑体" w:hAnsi="Arial" w:cs="Arial"/>
      <w:b/>
      <w:bCs/>
      <w:sz w:val="28"/>
      <w:szCs w:val="28"/>
    </w:rPr>
  </w:style>
  <w:style w:type="character" w:customStyle="1" w:styleId="5Char">
    <w:name w:val="标题 5 Char"/>
    <w:link w:val="Heading5"/>
    <w:autoRedefine/>
    <w:qFormat/>
    <w:locked/>
    <w:rPr>
      <w:rFonts w:ascii="Times New Roman" w:eastAsia="宋体" w:hAnsi="Times New Roman" w:cs="Times New Roman"/>
      <w:b/>
      <w:bCs/>
      <w:sz w:val="28"/>
      <w:szCs w:val="28"/>
    </w:rPr>
  </w:style>
  <w:style w:type="character" w:customStyle="1" w:styleId="6Char">
    <w:name w:val="标题 6 Char"/>
    <w:link w:val="Heading6"/>
    <w:autoRedefine/>
    <w:qFormat/>
    <w:locked/>
    <w:rPr>
      <w:rFonts w:ascii="Arial" w:eastAsia="黑体" w:hAnsi="Arial" w:cs="Arial"/>
      <w:b/>
      <w:bCs/>
    </w:rPr>
  </w:style>
  <w:style w:type="character" w:customStyle="1" w:styleId="7Char">
    <w:name w:val="标题 7 Char"/>
    <w:link w:val="Heading7"/>
    <w:autoRedefine/>
    <w:qFormat/>
    <w:locked/>
    <w:rPr>
      <w:rFonts w:ascii="Times New Roman" w:eastAsia="宋体" w:hAnsi="Times New Roman" w:cs="Times New Roman"/>
      <w:b/>
      <w:bCs/>
    </w:rPr>
  </w:style>
  <w:style w:type="character" w:customStyle="1" w:styleId="8Char">
    <w:name w:val="标题 8 Char"/>
    <w:link w:val="Heading8"/>
    <w:autoRedefine/>
    <w:qFormat/>
    <w:locked/>
    <w:rPr>
      <w:rFonts w:ascii="Arial" w:eastAsia="黑体" w:hAnsi="Arial" w:cs="Arial"/>
    </w:rPr>
  </w:style>
  <w:style w:type="character" w:customStyle="1" w:styleId="9Char">
    <w:name w:val="标题 9 Char"/>
    <w:link w:val="Heading9"/>
    <w:autoRedefine/>
    <w:qFormat/>
    <w:locked/>
    <w:rPr>
      <w:rFonts w:ascii="Arial" w:eastAsia="黑体" w:hAnsi="Arial" w:cs="Arial"/>
      <w:sz w:val="21"/>
      <w:szCs w:val="21"/>
    </w:rPr>
  </w:style>
  <w:style w:type="character" w:customStyle="1" w:styleId="Char">
    <w:name w:val="页眉 Char"/>
    <w:link w:val="Header"/>
    <w:autoRedefine/>
    <w:qFormat/>
    <w:locked/>
    <w:rPr>
      <w:rFonts w:eastAsia="宋体"/>
      <w:sz w:val="18"/>
      <w:szCs w:val="18"/>
      <w:lang w:val="en-US" w:eastAsia="zh-CN"/>
    </w:rPr>
  </w:style>
  <w:style w:type="character" w:customStyle="1" w:styleId="Char0">
    <w:name w:val="页脚 Char"/>
    <w:link w:val="Footer"/>
    <w:autoRedefine/>
    <w:uiPriority w:val="99"/>
    <w:qFormat/>
    <w:locked/>
    <w:rPr>
      <w:rFonts w:ascii="Times New Roman" w:eastAsia="宋体" w:hAnsi="Times New Roman" w:cs="Times New Roman"/>
      <w:sz w:val="18"/>
      <w:szCs w:val="18"/>
    </w:rPr>
  </w:style>
  <w:style w:type="paragraph" w:customStyle="1" w:styleId="311">
    <w:name w:val="样式 标题 3 + 段前: 1 行 段后: 1 行"/>
    <w:basedOn w:val="Heading3"/>
    <w:link w:val="311Char"/>
    <w:autoRedefine/>
    <w:uiPriority w:val="99"/>
    <w:qFormat/>
  </w:style>
  <w:style w:type="character" w:customStyle="1" w:styleId="Char1">
    <w:name w:val="批注框文本 Char"/>
    <w:link w:val="BalloonText"/>
    <w:autoRedefine/>
    <w:qFormat/>
    <w:locked/>
    <w:rPr>
      <w:rFonts w:ascii="Times New Roman" w:eastAsia="宋体" w:hAnsi="Times New Roman" w:cs="Times New Roman"/>
      <w:sz w:val="18"/>
      <w:szCs w:val="18"/>
    </w:rPr>
  </w:style>
  <w:style w:type="character" w:customStyle="1" w:styleId="Char2">
    <w:name w:val="文档结构图 Char"/>
    <w:link w:val="DocumentMap"/>
    <w:autoRedefine/>
    <w:qFormat/>
    <w:locked/>
    <w:rPr>
      <w:rFonts w:ascii="Times New Roman" w:eastAsia="宋体" w:hAnsi="Times New Roman" w:cs="Times New Roman"/>
      <w:sz w:val="21"/>
      <w:szCs w:val="21"/>
      <w:shd w:val="clear" w:color="auto" w:fill="000080"/>
    </w:rPr>
  </w:style>
  <w:style w:type="character" w:customStyle="1" w:styleId="Char3">
    <w:name w:val="日期 Char"/>
    <w:link w:val="Date"/>
    <w:autoRedefine/>
    <w:qFormat/>
    <w:locked/>
    <w:rPr>
      <w:rFonts w:ascii="Times New Roman" w:eastAsia="宋体" w:hAnsi="Times New Roman" w:cs="Times New Roman"/>
      <w:sz w:val="21"/>
      <w:szCs w:val="21"/>
    </w:rPr>
  </w:style>
  <w:style w:type="paragraph" w:customStyle="1" w:styleId="Default">
    <w:name w:val="Default"/>
    <w:autoRedefine/>
    <w:uiPriority w:val="99"/>
    <w:qFormat/>
    <w:pPr>
      <w:widowControl w:val="0"/>
      <w:autoSpaceDE w:val="0"/>
      <w:autoSpaceDN w:val="0"/>
      <w:adjustRightInd w:val="0"/>
    </w:pPr>
    <w:rPr>
      <w:rFonts w:ascii="AJKAOA+TimesNewRoman,Bold" w:eastAsia="AJKAOA+TimesNewRoman,Bold" w:hAnsi="Times New Roman" w:cs="AJKAOA+TimesNewRoman,Bold"/>
      <w:color w:val="000000"/>
      <w:sz w:val="24"/>
      <w:szCs w:val="24"/>
      <w:lang w:val="en-US" w:eastAsia="zh-CN" w:bidi="ar-SA"/>
    </w:rPr>
  </w:style>
  <w:style w:type="character" w:customStyle="1" w:styleId="Char4">
    <w:name w:val="批注文字 Char"/>
    <w:link w:val="CommentText"/>
    <w:autoRedefine/>
    <w:qFormat/>
    <w:locked/>
    <w:rPr>
      <w:rFonts w:ascii="Times New Roman" w:eastAsia="宋体" w:hAnsi="Times New Roman" w:cs="Times New Roman"/>
      <w:sz w:val="21"/>
      <w:szCs w:val="21"/>
    </w:rPr>
  </w:style>
  <w:style w:type="character" w:customStyle="1" w:styleId="Char5">
    <w:name w:val="批注主题 Char"/>
    <w:link w:val="CommentSubject"/>
    <w:autoRedefine/>
    <w:qFormat/>
    <w:locked/>
    <w:rPr>
      <w:rFonts w:ascii="Times New Roman" w:eastAsia="宋体" w:hAnsi="Times New Roman" w:cs="Times New Roman"/>
      <w:b/>
      <w:bCs/>
      <w:sz w:val="21"/>
      <w:szCs w:val="21"/>
    </w:rPr>
  </w:style>
  <w:style w:type="character" w:customStyle="1" w:styleId="highlight1">
    <w:name w:val="highlight1"/>
    <w:autoRedefine/>
    <w:uiPriority w:val="99"/>
    <w:qFormat/>
    <w:rPr>
      <w:sz w:val="21"/>
      <w:szCs w:val="21"/>
    </w:rPr>
  </w:style>
  <w:style w:type="paragraph" w:customStyle="1" w:styleId="CharCharCharCharCharCharCharCharCharCharCharCharCharCharCharChar">
    <w:name w:val="Char Char Char Char Char Char Char Char Char Char Char Char Char Char Char Char"/>
    <w:basedOn w:val="Normal"/>
    <w:autoRedefine/>
    <w:qFormat/>
    <w:pPr>
      <w:tabs>
        <w:tab w:val="left" w:pos="360"/>
      </w:tabs>
      <w:adjustRightInd w:val="0"/>
      <w:spacing w:line="360" w:lineRule="auto"/>
      <w:ind w:left="482" w:firstLine="200" w:firstLineChars="200"/>
      <w:textAlignment w:val="baseline"/>
    </w:pPr>
    <w:rPr>
      <w:kern w:val="0"/>
      <w:sz w:val="24"/>
      <w:szCs w:val="24"/>
    </w:rPr>
  </w:style>
  <w:style w:type="paragraph" w:customStyle="1" w:styleId="a">
    <w:name w:val="附录标识"/>
    <w:basedOn w:val="a0"/>
    <w:autoRedefine/>
    <w:qFormat/>
    <w:pPr>
      <w:numPr>
        <w:numId w:val="0"/>
      </w:numPr>
      <w:tabs>
        <w:tab w:val="left" w:pos="360"/>
        <w:tab w:val="left" w:pos="6405"/>
      </w:tabs>
      <w:spacing w:after="200"/>
    </w:pPr>
    <w:rPr>
      <w:sz w:val="21"/>
      <w:szCs w:val="21"/>
    </w:rPr>
  </w:style>
  <w:style w:type="paragraph" w:customStyle="1" w:styleId="a0">
    <w:name w:val="前言、引言标题"/>
    <w:next w:val="Normal"/>
    <w:autoRedefine/>
    <w:qFormat/>
    <w:pPr>
      <w:numPr>
        <w:ilvl w:val="0"/>
        <w:numId w:val="1"/>
      </w:numPr>
      <w:shd w:val="clear" w:color="FFFFFF" w:fill="FFFFFF"/>
      <w:spacing w:before="640" w:after="560"/>
      <w:jc w:val="center"/>
      <w:outlineLvl w:val="0"/>
    </w:pPr>
    <w:rPr>
      <w:rFonts w:ascii="黑体" w:eastAsia="黑体" w:hAnsi="Times New Roman" w:cs="黑体"/>
      <w:sz w:val="32"/>
      <w:szCs w:val="32"/>
      <w:lang w:val="en-US" w:eastAsia="zh-CN" w:bidi="ar-SA"/>
    </w:rPr>
  </w:style>
  <w:style w:type="paragraph" w:customStyle="1" w:styleId="1">
    <w:name w:val="标题1"/>
    <w:basedOn w:val="Title"/>
    <w:next w:val="Default"/>
    <w:autoRedefine/>
    <w:qFormat/>
    <w:rPr>
      <w:b w:val="0"/>
      <w:bCs w:val="0"/>
      <w:sz w:val="21"/>
      <w:szCs w:val="21"/>
      <w:lang w:val="fr-FR"/>
    </w:rPr>
  </w:style>
  <w:style w:type="character" w:customStyle="1" w:styleId="Char6">
    <w:name w:val="标题 Char"/>
    <w:link w:val="Title"/>
    <w:autoRedefine/>
    <w:qFormat/>
    <w:locked/>
    <w:rPr>
      <w:rFonts w:ascii="Arial" w:eastAsia="宋体" w:hAnsi="Arial" w:cs="Arial"/>
      <w:b/>
      <w:bCs/>
      <w:sz w:val="32"/>
      <w:szCs w:val="32"/>
    </w:rPr>
  </w:style>
  <w:style w:type="paragraph" w:customStyle="1" w:styleId="a1">
    <w:name w:val="段"/>
    <w:autoRedefine/>
    <w:qFormat/>
    <w:pPr>
      <w:autoSpaceDE w:val="0"/>
      <w:autoSpaceDN w:val="0"/>
      <w:ind w:firstLine="200" w:firstLineChars="200"/>
      <w:jc w:val="both"/>
    </w:pPr>
    <w:rPr>
      <w:rFonts w:ascii="宋体" w:eastAsia="宋体" w:hAnsi="Times New Roman" w:cs="宋体"/>
      <w:sz w:val="21"/>
      <w:szCs w:val="21"/>
      <w:lang w:val="en-US" w:eastAsia="zh-CN" w:bidi="ar-SA"/>
    </w:rPr>
  </w:style>
  <w:style w:type="paragraph" w:customStyle="1" w:styleId="a2">
    <w:name w:val="封面标准代替信息"/>
    <w:basedOn w:val="2"/>
    <w:autoRedefine/>
    <w:qFormat/>
    <w:pPr>
      <w:spacing w:before="57"/>
    </w:pPr>
    <w:rPr>
      <w:rFonts w:ascii="宋体" w:cs="宋体"/>
      <w:sz w:val="21"/>
      <w:szCs w:val="21"/>
    </w:rPr>
  </w:style>
  <w:style w:type="paragraph" w:customStyle="1" w:styleId="2">
    <w:name w:val="封面标准号2"/>
    <w:basedOn w:val="10"/>
    <w:autoRedefine/>
    <w:qFormat/>
    <w:pPr>
      <w:framePr w:w="9138" w:h="1244" w:hRule="exact" w:wrap="auto" w:vAnchor="page" w:hAnchor="margin" w:y="2908"/>
      <w:adjustRightInd w:val="0"/>
      <w:spacing w:before="357" w:line="280" w:lineRule="exact"/>
    </w:pPr>
  </w:style>
  <w:style w:type="paragraph" w:customStyle="1" w:styleId="10">
    <w:name w:val="封面标准号1"/>
    <w:autoRedefine/>
    <w:qFormat/>
    <w:pPr>
      <w:widowControl w:val="0"/>
      <w:kinsoku w:val="0"/>
      <w:overflowPunct w:val="0"/>
      <w:autoSpaceDE w:val="0"/>
      <w:autoSpaceDN w:val="0"/>
      <w:spacing w:before="308"/>
      <w:jc w:val="right"/>
      <w:textAlignment w:val="center"/>
    </w:pPr>
    <w:rPr>
      <w:rFonts w:ascii="Times New Roman" w:eastAsia="宋体" w:hAnsi="Times New Roman" w:cs="Times New Roman"/>
      <w:sz w:val="28"/>
      <w:szCs w:val="28"/>
      <w:lang w:val="en-US" w:eastAsia="zh-CN" w:bidi="ar-SA"/>
    </w:rPr>
  </w:style>
  <w:style w:type="paragraph" w:customStyle="1" w:styleId="a3">
    <w:name w:val="封面标准英文名称"/>
    <w:autoRedefine/>
    <w:qFormat/>
    <w:pPr>
      <w:widowControl w:val="0"/>
      <w:spacing w:before="370" w:line="400" w:lineRule="exact"/>
      <w:jc w:val="center"/>
    </w:pPr>
    <w:rPr>
      <w:rFonts w:ascii="Times New Roman" w:eastAsia="宋体" w:hAnsi="Times New Roman" w:cs="Times New Roman"/>
      <w:sz w:val="28"/>
      <w:szCs w:val="28"/>
      <w:lang w:val="en-US" w:eastAsia="zh-CN" w:bidi="ar-SA"/>
    </w:rPr>
  </w:style>
  <w:style w:type="paragraph" w:customStyle="1" w:styleId="a4">
    <w:name w:val="封面一致性程度标识"/>
    <w:autoRedefine/>
    <w:qFormat/>
    <w:pPr>
      <w:spacing w:before="440" w:line="400" w:lineRule="exact"/>
      <w:jc w:val="center"/>
    </w:pPr>
    <w:rPr>
      <w:rFonts w:ascii="宋体" w:eastAsia="宋体" w:hAnsi="Times New Roman" w:cs="宋体"/>
      <w:sz w:val="28"/>
      <w:szCs w:val="28"/>
      <w:lang w:val="en-US" w:eastAsia="zh-CN" w:bidi="ar-SA"/>
    </w:rPr>
  </w:style>
  <w:style w:type="paragraph" w:customStyle="1" w:styleId="a5">
    <w:name w:val="标准书脚_奇数页"/>
    <w:autoRedefine/>
    <w:qFormat/>
    <w:pPr>
      <w:spacing w:before="120"/>
      <w:jc w:val="right"/>
    </w:pPr>
    <w:rPr>
      <w:rFonts w:ascii="Times New Roman" w:eastAsia="宋体" w:hAnsi="Times New Roman" w:cs="Times New Roman"/>
      <w:sz w:val="18"/>
      <w:szCs w:val="18"/>
      <w:lang w:val="en-US" w:eastAsia="zh-CN" w:bidi="ar-SA"/>
    </w:rPr>
  </w:style>
  <w:style w:type="paragraph" w:customStyle="1" w:styleId="a6">
    <w:name w:val="标准书眉_奇数页"/>
    <w:next w:val="Normal"/>
    <w:autoRedefine/>
    <w:qFormat/>
    <w:pPr>
      <w:tabs>
        <w:tab w:val="center" w:pos="4154"/>
        <w:tab w:val="right" w:pos="8306"/>
      </w:tabs>
      <w:spacing w:after="120"/>
      <w:jc w:val="right"/>
    </w:pPr>
    <w:rPr>
      <w:rFonts w:ascii="Times New Roman" w:eastAsia="宋体" w:hAnsi="Times New Roman" w:cs="Times New Roman"/>
      <w:sz w:val="21"/>
      <w:szCs w:val="21"/>
      <w:lang w:val="en-US" w:eastAsia="zh-CN" w:bidi="ar-SA"/>
    </w:rPr>
  </w:style>
  <w:style w:type="paragraph" w:customStyle="1" w:styleId="a7">
    <w:name w:val="标准书眉一"/>
    <w:autoRedefine/>
    <w:qFormat/>
    <w:pPr>
      <w:jc w:val="both"/>
    </w:pPr>
    <w:rPr>
      <w:rFonts w:ascii="Times New Roman" w:eastAsia="宋体" w:hAnsi="Times New Roman" w:cs="Times New Roman"/>
      <w:lang w:val="en-US" w:eastAsia="zh-CN" w:bidi="ar-SA"/>
    </w:rPr>
  </w:style>
  <w:style w:type="character" w:customStyle="1" w:styleId="a8">
    <w:name w:val="发布"/>
    <w:autoRedefine/>
    <w:qFormat/>
    <w:rPr>
      <w:rFonts w:ascii="黑体" w:eastAsia="黑体" w:cs="黑体"/>
      <w:spacing w:val="22"/>
      <w:w w:val="100"/>
      <w:position w:val="3"/>
      <w:sz w:val="28"/>
      <w:szCs w:val="28"/>
    </w:rPr>
  </w:style>
  <w:style w:type="paragraph" w:customStyle="1" w:styleId="a9">
    <w:name w:val="发布日期"/>
    <w:autoRedefine/>
    <w:qFormat/>
    <w:pPr>
      <w:framePr w:w="4000" w:h="473" w:hRule="exact" w:hSpace="180" w:vSpace="180" w:wrap="auto" w:vAnchor="margin" w:hAnchor="margin" w:y="13511" w:anchorLock="1"/>
    </w:pPr>
    <w:rPr>
      <w:rFonts w:ascii="Times New Roman" w:eastAsia="黑体" w:hAnsi="Times New Roman" w:cs="Times New Roman"/>
      <w:sz w:val="28"/>
      <w:szCs w:val="28"/>
      <w:lang w:val="en-US" w:eastAsia="zh-CN" w:bidi="ar-SA"/>
    </w:rPr>
  </w:style>
  <w:style w:type="paragraph" w:customStyle="1" w:styleId="a10">
    <w:name w:val="封面标准文稿编辑信息"/>
    <w:autoRedefine/>
    <w:qFormat/>
    <w:pPr>
      <w:spacing w:before="180" w:line="180" w:lineRule="exact"/>
      <w:jc w:val="center"/>
    </w:pPr>
    <w:rPr>
      <w:rFonts w:ascii="宋体" w:eastAsia="宋体" w:hAnsi="Times New Roman" w:cs="宋体"/>
      <w:sz w:val="21"/>
      <w:szCs w:val="21"/>
      <w:lang w:val="en-US" w:eastAsia="zh-CN" w:bidi="ar-SA"/>
    </w:rPr>
  </w:style>
  <w:style w:type="paragraph" w:customStyle="1" w:styleId="a11">
    <w:name w:val="封面标准文稿类别"/>
    <w:autoRedefine/>
    <w:qFormat/>
    <w:pPr>
      <w:spacing w:before="440" w:line="400" w:lineRule="exact"/>
      <w:jc w:val="center"/>
    </w:pPr>
    <w:rPr>
      <w:rFonts w:ascii="宋体" w:eastAsia="宋体" w:hAnsi="Times New Roman" w:cs="宋体"/>
      <w:sz w:val="24"/>
      <w:szCs w:val="24"/>
      <w:lang w:val="en-US" w:eastAsia="zh-CN" w:bidi="ar-SA"/>
    </w:rPr>
  </w:style>
  <w:style w:type="paragraph" w:customStyle="1" w:styleId="a12">
    <w:name w:val="封面正文"/>
    <w:autoRedefine/>
    <w:qFormat/>
    <w:pPr>
      <w:jc w:val="both"/>
    </w:pPr>
    <w:rPr>
      <w:rFonts w:ascii="Times New Roman" w:eastAsia="宋体" w:hAnsi="Times New Roman" w:cs="Times New Roman"/>
      <w:lang w:val="en-US" w:eastAsia="zh-CN" w:bidi="ar-SA"/>
    </w:rPr>
  </w:style>
  <w:style w:type="paragraph" w:customStyle="1" w:styleId="a13">
    <w:name w:val="实施日期"/>
    <w:basedOn w:val="a9"/>
    <w:autoRedefine/>
    <w:qFormat/>
    <w:pPr>
      <w:framePr w:hSpace="0" w:xAlign="right"/>
      <w:jc w:val="right"/>
    </w:pPr>
  </w:style>
  <w:style w:type="paragraph" w:customStyle="1" w:styleId="a14">
    <w:name w:val="文献分类号"/>
    <w:autoRedefine/>
    <w:qFormat/>
    <w:pPr>
      <w:framePr w:hSpace="180" w:vSpace="180" w:wrap="auto" w:vAnchor="margin" w:hAnchor="margin" w:y="1" w:anchorLock="1"/>
      <w:widowControl w:val="0"/>
      <w:textAlignment w:val="center"/>
    </w:pPr>
    <w:rPr>
      <w:rFonts w:ascii="Times New Roman" w:eastAsia="黑体" w:hAnsi="Times New Roman" w:cs="Times New Roman"/>
      <w:sz w:val="21"/>
      <w:szCs w:val="21"/>
      <w:lang w:val="en-US" w:eastAsia="zh-CN" w:bidi="ar-SA"/>
    </w:rPr>
  </w:style>
  <w:style w:type="paragraph" w:customStyle="1" w:styleId="a15">
    <w:name w:val="标准称谓"/>
    <w:next w:val="Normal"/>
    <w:autoRedefine/>
    <w:qFormat/>
    <w:pPr>
      <w:framePr w:w="9638" w:h="754" w:hRule="exact" w:hSpace="180" w:vSpace="180" w:wrap="auto" w:vAnchor="page" w:hAnchor="margin" w:xAlign="center" w:y="2128" w:anchorLock="1"/>
      <w:widowControl w:val="0"/>
      <w:kinsoku w:val="0"/>
      <w:overflowPunct w:val="0"/>
      <w:autoSpaceDE w:val="0"/>
      <w:autoSpaceDN w:val="0"/>
      <w:spacing w:line="240" w:lineRule="atLeast"/>
      <w:jc w:val="distribute"/>
    </w:pPr>
    <w:rPr>
      <w:rFonts w:ascii="宋体" w:eastAsia="宋体" w:hAnsi="Times New Roman" w:cs="宋体"/>
      <w:b/>
      <w:bCs/>
      <w:spacing w:val="20"/>
      <w:w w:val="148"/>
      <w:sz w:val="52"/>
      <w:szCs w:val="52"/>
      <w:lang w:val="en-US" w:eastAsia="zh-CN" w:bidi="ar-SA"/>
    </w:rPr>
  </w:style>
  <w:style w:type="paragraph" w:customStyle="1" w:styleId="a16">
    <w:name w:val="发布部门"/>
    <w:next w:val="a1"/>
    <w:autoRedefine/>
    <w:qFormat/>
    <w:pPr>
      <w:framePr w:w="7433" w:h="585" w:hRule="exact" w:hSpace="180" w:vSpace="180" w:wrap="auto" w:vAnchor="margin" w:hAnchor="margin" w:xAlign="center" w:y="14401" w:anchorLock="1"/>
      <w:jc w:val="center"/>
    </w:pPr>
    <w:rPr>
      <w:rFonts w:ascii="宋体" w:eastAsia="宋体" w:hAnsi="Times New Roman" w:cs="宋体"/>
      <w:b/>
      <w:bCs/>
      <w:spacing w:val="20"/>
      <w:w w:val="135"/>
      <w:sz w:val="36"/>
      <w:szCs w:val="36"/>
      <w:lang w:val="en-US" w:eastAsia="zh-CN" w:bidi="ar-SA"/>
    </w:rPr>
  </w:style>
  <w:style w:type="paragraph" w:customStyle="1" w:styleId="a17">
    <w:name w:val="标准书脚_偶数页"/>
    <w:autoRedefine/>
    <w:qFormat/>
    <w:pPr>
      <w:spacing w:before="120"/>
    </w:pPr>
    <w:rPr>
      <w:rFonts w:ascii="Times New Roman" w:eastAsia="宋体" w:hAnsi="Times New Roman" w:cs="Times New Roman"/>
      <w:sz w:val="18"/>
      <w:szCs w:val="18"/>
      <w:lang w:val="en-US" w:eastAsia="zh-CN" w:bidi="ar-SA"/>
    </w:rPr>
  </w:style>
  <w:style w:type="paragraph" w:customStyle="1" w:styleId="a18">
    <w:name w:val="标准书眉_偶数页"/>
    <w:basedOn w:val="a6"/>
    <w:next w:val="Normal"/>
    <w:autoRedefine/>
    <w:qFormat/>
    <w:pPr>
      <w:jc w:val="left"/>
    </w:pPr>
  </w:style>
  <w:style w:type="paragraph" w:customStyle="1" w:styleId="a19">
    <w:name w:val="样式 宋体 右"/>
    <w:basedOn w:val="Normal"/>
    <w:autoRedefine/>
    <w:qFormat/>
    <w:pPr>
      <w:jc w:val="right"/>
    </w:pPr>
    <w:rPr>
      <w:rFonts w:hAnsi="宋体"/>
    </w:rPr>
  </w:style>
  <w:style w:type="paragraph" w:customStyle="1" w:styleId="2525">
    <w:name w:val="样式 样式 样式 宋体 + 左  25 字符 + 左  25 字符"/>
    <w:basedOn w:val="Normal"/>
    <w:autoRedefine/>
    <w:qFormat/>
    <w:rPr>
      <w:rFonts w:hAnsi="宋体"/>
    </w:rPr>
  </w:style>
  <w:style w:type="paragraph" w:customStyle="1" w:styleId="a20">
    <w:name w:val="二级条标题"/>
    <w:basedOn w:val="a21"/>
    <w:next w:val="a1"/>
    <w:autoRedefine/>
    <w:qFormat/>
    <w:pPr>
      <w:numPr>
        <w:ilvl w:val="3"/>
      </w:numPr>
      <w:outlineLvl w:val="3"/>
    </w:pPr>
  </w:style>
  <w:style w:type="paragraph" w:customStyle="1" w:styleId="a21">
    <w:name w:val="一级条标题"/>
    <w:next w:val="a1"/>
    <w:autoRedefine/>
    <w:qFormat/>
    <w:pPr>
      <w:numPr>
        <w:ilvl w:val="2"/>
        <w:numId w:val="1"/>
      </w:numPr>
      <w:outlineLvl w:val="2"/>
    </w:pPr>
    <w:rPr>
      <w:rFonts w:ascii="Times New Roman" w:eastAsia="黑体" w:hAnsi="Times New Roman" w:cs="Times New Roman"/>
      <w:sz w:val="21"/>
      <w:szCs w:val="21"/>
      <w:lang w:val="en-US" w:eastAsia="zh-CN" w:bidi="ar-SA"/>
    </w:rPr>
  </w:style>
  <w:style w:type="paragraph" w:customStyle="1" w:styleId="11">
    <w:name w:val="样式1"/>
    <w:basedOn w:val="Normal"/>
    <w:autoRedefine/>
    <w:uiPriority w:val="99"/>
    <w:qFormat/>
    <w:pPr>
      <w:ind w:firstLine="200" w:firstLineChars="200"/>
    </w:pPr>
  </w:style>
  <w:style w:type="paragraph" w:customStyle="1" w:styleId="a22">
    <w:name w:val="章标题"/>
    <w:next w:val="a1"/>
    <w:autoRedefine/>
    <w:qFormat/>
    <w:pPr>
      <w:numPr>
        <w:ilvl w:val="1"/>
        <w:numId w:val="1"/>
      </w:numPr>
      <w:jc w:val="both"/>
      <w:outlineLvl w:val="1"/>
    </w:pPr>
    <w:rPr>
      <w:rFonts w:ascii="黑体" w:eastAsia="黑体" w:hAnsi="Times New Roman" w:cs="黑体"/>
      <w:sz w:val="21"/>
      <w:szCs w:val="21"/>
      <w:lang w:val="en-US" w:eastAsia="zh-CN" w:bidi="ar-SA"/>
    </w:rPr>
  </w:style>
  <w:style w:type="character" w:customStyle="1" w:styleId="2Char0">
    <w:name w:val="目录 2 Char"/>
    <w:link w:val="TOC2"/>
    <w:autoRedefine/>
    <w:uiPriority w:val="99"/>
    <w:semiHidden/>
    <w:qFormat/>
    <w:locked/>
    <w:rPr>
      <w:rFonts w:ascii="宋体" w:hAnsi="Times New Roman" w:cs="宋体"/>
    </w:rPr>
  </w:style>
  <w:style w:type="paragraph" w:customStyle="1" w:styleId="a23">
    <w:name w:val="图表脚注"/>
    <w:next w:val="a1"/>
    <w:autoRedefine/>
    <w:qFormat/>
    <w:pPr>
      <w:jc w:val="both"/>
    </w:pPr>
    <w:rPr>
      <w:rFonts w:ascii="宋体" w:eastAsia="宋体" w:hAnsi="Times New Roman" w:cs="宋体"/>
      <w:sz w:val="18"/>
      <w:szCs w:val="18"/>
      <w:lang w:val="en-US" w:eastAsia="zh-CN" w:bidi="ar-SA"/>
    </w:rPr>
  </w:style>
  <w:style w:type="paragraph" w:customStyle="1" w:styleId="4">
    <w:name w:val="标题4"/>
    <w:basedOn w:val="Heading4"/>
    <w:autoRedefine/>
    <w:uiPriority w:val="99"/>
    <w:qFormat/>
    <w:pPr>
      <w:spacing w:beforeLines="50" w:afterLines="50" w:line="240" w:lineRule="auto"/>
    </w:pPr>
    <w:rPr>
      <w:rFonts w:ascii="黑体" w:hAnsi="Cambria" w:cs="黑体"/>
      <w:sz w:val="21"/>
      <w:szCs w:val="21"/>
    </w:rPr>
  </w:style>
  <w:style w:type="paragraph" w:customStyle="1" w:styleId="Revision">
    <w:name w:val="Revision"/>
    <w:autoRedefine/>
    <w:hidden/>
    <w:uiPriority w:val="99"/>
    <w:semiHidden/>
    <w:qFormat/>
    <w:rPr>
      <w:rFonts w:ascii="宋体" w:eastAsia="宋体" w:hAnsi="Times New Roman" w:cs="宋体"/>
      <w:kern w:val="2"/>
      <w:sz w:val="21"/>
      <w:szCs w:val="21"/>
      <w:lang w:val="en-US" w:eastAsia="zh-CN" w:bidi="ar-SA"/>
    </w:rPr>
  </w:style>
  <w:style w:type="paragraph" w:customStyle="1" w:styleId="TOCHeading">
    <w:name w:val="TOC Heading"/>
    <w:basedOn w:val="Heading1"/>
    <w:next w:val="Normal"/>
    <w:autoRedefine/>
    <w:uiPriority w:val="99"/>
    <w:qFormat/>
    <w:pPr>
      <w:widowControl/>
      <w:spacing w:before="480" w:line="276" w:lineRule="auto"/>
      <w:jc w:val="left"/>
      <w:outlineLvl w:val="9"/>
    </w:pPr>
    <w:rPr>
      <w:rFonts w:ascii="Cambria" w:hAnsi="Cambria" w:cs="Cambria"/>
      <w:color w:val="365F91"/>
      <w:kern w:val="0"/>
      <w:sz w:val="28"/>
      <w:szCs w:val="28"/>
    </w:rPr>
  </w:style>
  <w:style w:type="character" w:customStyle="1" w:styleId="311Char">
    <w:name w:val="样式 标题 3 + 段前: 1 行 段后: 1 行 Char"/>
    <w:link w:val="311"/>
    <w:autoRedefine/>
    <w:uiPriority w:val="99"/>
    <w:qFormat/>
    <w:locked/>
    <w:rPr>
      <w:rFonts w:ascii="Times New Roman" w:eastAsia="宋体" w:hAnsi="Times New Roman" w:cs="Times New Roman"/>
      <w:b/>
      <w:bCs/>
      <w:sz w:val="32"/>
      <w:szCs w:val="32"/>
    </w:rPr>
  </w:style>
  <w:style w:type="character" w:customStyle="1" w:styleId="1Char0">
    <w:name w:val="目录 1 Char"/>
    <w:link w:val="TOC1"/>
    <w:autoRedefine/>
    <w:uiPriority w:val="99"/>
    <w:qFormat/>
    <w:locked/>
    <w:rPr>
      <w:rFonts w:ascii="宋体" w:eastAsia="宋体" w:hAnsi="Times New Roman" w:cs="宋体"/>
      <w:sz w:val="21"/>
      <w:szCs w:val="21"/>
    </w:rPr>
  </w:style>
  <w:style w:type="character" w:customStyle="1" w:styleId="HTMLChar">
    <w:name w:val="HTML 地址 Char"/>
    <w:link w:val="HTMLAddress"/>
    <w:autoRedefine/>
    <w:qFormat/>
    <w:locked/>
    <w:rPr>
      <w:rFonts w:ascii="Times New Roman" w:eastAsia="宋体" w:hAnsi="Times New Roman" w:cs="Times New Roman"/>
      <w:i/>
      <w:iCs/>
      <w:sz w:val="21"/>
      <w:szCs w:val="21"/>
    </w:rPr>
  </w:style>
  <w:style w:type="character" w:customStyle="1" w:styleId="HTMLChar0">
    <w:name w:val="HTML 预设格式 Char"/>
    <w:link w:val="HTMLPreformatted"/>
    <w:autoRedefine/>
    <w:qFormat/>
    <w:locked/>
    <w:rPr>
      <w:rFonts w:ascii="Courier New" w:eastAsia="宋体" w:hAnsi="Courier New" w:cs="Courier New"/>
      <w:sz w:val="20"/>
      <w:szCs w:val="20"/>
    </w:rPr>
  </w:style>
  <w:style w:type="paragraph" w:customStyle="1" w:styleId="a24">
    <w:name w:val="标准标志"/>
    <w:next w:val="Normal"/>
    <w:autoRedefine/>
    <w:qFormat/>
    <w:pPr>
      <w:framePr w:w="2268" w:h="1392" w:hRule="exact" w:wrap="auto" w:vAnchor="margin" w:hAnchor="margin" w:x="6748" w:y="171" w:anchorLock="1"/>
      <w:shd w:val="solid" w:color="FFFFFF" w:fill="FFFFFF"/>
      <w:spacing w:line="240" w:lineRule="atLeast"/>
      <w:jc w:val="right"/>
    </w:pPr>
    <w:rPr>
      <w:rFonts w:ascii="Times New Roman" w:eastAsia="宋体" w:hAnsi="Times New Roman" w:cs="Times New Roman"/>
      <w:b/>
      <w:bCs/>
      <w:w w:val="130"/>
      <w:sz w:val="96"/>
      <w:szCs w:val="96"/>
      <w:lang w:val="en-US" w:eastAsia="zh-CN" w:bidi="ar-SA"/>
    </w:rPr>
  </w:style>
  <w:style w:type="paragraph" w:customStyle="1" w:styleId="a25">
    <w:name w:val="参考文献、索引标题"/>
    <w:basedOn w:val="a0"/>
    <w:next w:val="Normal"/>
    <w:autoRedefine/>
    <w:qFormat/>
    <w:pPr>
      <w:numPr>
        <w:numId w:val="0"/>
      </w:numPr>
      <w:spacing w:after="200"/>
    </w:pPr>
    <w:rPr>
      <w:sz w:val="21"/>
      <w:szCs w:val="21"/>
    </w:rPr>
  </w:style>
  <w:style w:type="paragraph" w:customStyle="1" w:styleId="a26">
    <w:name w:val="封面标准名称"/>
    <w:autoRedefine/>
    <w:qFormat/>
    <w:pPr>
      <w:framePr w:w="9638" w:h="6917" w:hRule="exact" w:wrap="auto" w:vAnchor="margin" w:hAnchor="margin" w:xAlign="center" w:y="5955" w:anchorLock="1"/>
      <w:widowControl w:val="0"/>
      <w:spacing w:line="680" w:lineRule="exact"/>
      <w:jc w:val="center"/>
      <w:textAlignment w:val="center"/>
    </w:pPr>
    <w:rPr>
      <w:rFonts w:ascii="黑体" w:eastAsia="黑体" w:hAnsi="Times New Roman" w:cs="黑体"/>
      <w:sz w:val="52"/>
      <w:szCs w:val="52"/>
      <w:lang w:val="en-US" w:eastAsia="zh-CN" w:bidi="ar-SA"/>
    </w:rPr>
  </w:style>
  <w:style w:type="paragraph" w:customStyle="1" w:styleId="a27">
    <w:name w:val="附录表标题"/>
    <w:next w:val="a1"/>
    <w:autoRedefine/>
    <w:qFormat/>
    <w:pPr>
      <w:numPr>
        <w:ilvl w:val="0"/>
        <w:numId w:val="2"/>
      </w:numPr>
      <w:jc w:val="center"/>
      <w:textAlignment w:val="baseline"/>
    </w:pPr>
    <w:rPr>
      <w:rFonts w:ascii="黑体" w:eastAsia="黑体" w:hAnsi="Times New Roman" w:cs="黑体"/>
      <w:kern w:val="21"/>
      <w:sz w:val="21"/>
      <w:szCs w:val="21"/>
      <w:lang w:val="en-US" w:eastAsia="zh-CN" w:bidi="ar-SA"/>
    </w:rPr>
  </w:style>
  <w:style w:type="paragraph" w:customStyle="1" w:styleId="a28">
    <w:name w:val="附录章标题"/>
    <w:next w:val="a1"/>
    <w:autoRedefine/>
    <w:qFormat/>
    <w:pPr>
      <w:numPr>
        <w:ilvl w:val="0"/>
        <w:numId w:val="3"/>
      </w:numPr>
      <w:wordWrap w:val="0"/>
      <w:overflowPunct w:val="0"/>
      <w:autoSpaceDE w:val="0"/>
      <w:spacing w:beforeLines="50" w:afterLines="50"/>
      <w:jc w:val="both"/>
      <w:textAlignment w:val="baseline"/>
      <w:outlineLvl w:val="1"/>
    </w:pPr>
    <w:rPr>
      <w:rFonts w:ascii="黑体" w:eastAsia="黑体" w:hAnsi="Times New Roman" w:cs="黑体"/>
      <w:kern w:val="21"/>
      <w:sz w:val="21"/>
      <w:szCs w:val="21"/>
      <w:lang w:val="en-US" w:eastAsia="zh-CN" w:bidi="ar-SA"/>
    </w:rPr>
  </w:style>
  <w:style w:type="paragraph" w:customStyle="1" w:styleId="a29">
    <w:name w:val="附录一级条标题"/>
    <w:basedOn w:val="a28"/>
    <w:next w:val="a1"/>
    <w:autoRedefine/>
    <w:qFormat/>
    <w:pPr>
      <w:numPr>
        <w:ilvl w:val="1"/>
      </w:numPr>
      <w:autoSpaceDN w:val="0"/>
      <w:spacing w:beforeLines="0" w:afterLines="0"/>
      <w:outlineLvl w:val="2"/>
    </w:pPr>
  </w:style>
  <w:style w:type="paragraph" w:customStyle="1" w:styleId="a30">
    <w:name w:val="附录二级条标题"/>
    <w:basedOn w:val="a29"/>
    <w:next w:val="a1"/>
    <w:autoRedefine/>
    <w:qFormat/>
    <w:pPr>
      <w:numPr>
        <w:ilvl w:val="2"/>
      </w:numPr>
      <w:outlineLvl w:val="3"/>
    </w:pPr>
  </w:style>
  <w:style w:type="paragraph" w:customStyle="1" w:styleId="a31">
    <w:name w:val="附录三级条标题"/>
    <w:basedOn w:val="a30"/>
    <w:next w:val="a1"/>
    <w:autoRedefine/>
    <w:qFormat/>
    <w:pPr>
      <w:numPr>
        <w:ilvl w:val="3"/>
      </w:numPr>
      <w:outlineLvl w:val="4"/>
    </w:pPr>
  </w:style>
  <w:style w:type="paragraph" w:customStyle="1" w:styleId="a32">
    <w:name w:val="附录四级条标题"/>
    <w:basedOn w:val="a31"/>
    <w:next w:val="a1"/>
    <w:autoRedefine/>
    <w:qFormat/>
    <w:pPr>
      <w:numPr>
        <w:ilvl w:val="4"/>
      </w:numPr>
      <w:outlineLvl w:val="5"/>
    </w:pPr>
  </w:style>
  <w:style w:type="paragraph" w:customStyle="1" w:styleId="a33">
    <w:name w:val="附录图标题"/>
    <w:next w:val="a1"/>
    <w:autoRedefine/>
    <w:qFormat/>
    <w:pPr>
      <w:numPr>
        <w:ilvl w:val="1"/>
        <w:numId w:val="4"/>
      </w:numPr>
      <w:jc w:val="center"/>
    </w:pPr>
    <w:rPr>
      <w:rFonts w:ascii="黑体" w:eastAsia="黑体" w:hAnsi="Times New Roman" w:cs="黑体"/>
      <w:sz w:val="21"/>
      <w:szCs w:val="21"/>
      <w:lang w:val="en-US" w:eastAsia="zh-CN" w:bidi="ar-SA"/>
    </w:rPr>
  </w:style>
  <w:style w:type="paragraph" w:customStyle="1" w:styleId="a34">
    <w:name w:val="附录五级条标题"/>
    <w:basedOn w:val="a32"/>
    <w:next w:val="a1"/>
    <w:autoRedefine/>
    <w:qFormat/>
    <w:pPr>
      <w:numPr>
        <w:ilvl w:val="0"/>
        <w:numId w:val="5"/>
      </w:numPr>
      <w:tabs>
        <w:tab w:val="left" w:pos="2940"/>
      </w:tabs>
      <w:ind w:left="2940"/>
      <w:outlineLvl w:val="6"/>
    </w:pPr>
  </w:style>
  <w:style w:type="character" w:customStyle="1" w:styleId="Char7">
    <w:name w:val="脚注文本 Char"/>
    <w:link w:val="FootnoteText"/>
    <w:autoRedefine/>
    <w:qFormat/>
    <w:locked/>
    <w:rPr>
      <w:rFonts w:ascii="Times New Roman" w:eastAsia="宋体" w:hAnsi="Times New Roman" w:cs="Times New Roman"/>
      <w:sz w:val="18"/>
      <w:szCs w:val="18"/>
    </w:rPr>
  </w:style>
  <w:style w:type="paragraph" w:customStyle="1" w:styleId="a35">
    <w:name w:val="列项——（一级）"/>
    <w:autoRedefine/>
    <w:qFormat/>
    <w:pPr>
      <w:widowControl w:val="0"/>
      <w:numPr>
        <w:ilvl w:val="0"/>
        <w:numId w:val="6"/>
      </w:numPr>
      <w:tabs>
        <w:tab w:val="left" w:pos="854"/>
      </w:tabs>
      <w:ind w:left="200" w:hanging="200" w:leftChars="200" w:hangingChars="200"/>
      <w:jc w:val="both"/>
    </w:pPr>
    <w:rPr>
      <w:rFonts w:ascii="宋体" w:eastAsia="宋体" w:hAnsi="Times New Roman" w:cs="宋体"/>
      <w:sz w:val="21"/>
      <w:szCs w:val="21"/>
      <w:lang w:val="en-US" w:eastAsia="zh-CN" w:bidi="ar-SA"/>
    </w:rPr>
  </w:style>
  <w:style w:type="paragraph" w:customStyle="1" w:styleId="a36">
    <w:name w:val="列项●（二级）"/>
    <w:autoRedefine/>
    <w:qFormat/>
    <w:pPr>
      <w:numPr>
        <w:ilvl w:val="0"/>
        <w:numId w:val="7"/>
      </w:numPr>
      <w:tabs>
        <w:tab w:val="left" w:pos="840"/>
      </w:tabs>
      <w:ind w:left="600" w:hanging="200" w:leftChars="400" w:hangingChars="200"/>
      <w:jc w:val="both"/>
    </w:pPr>
    <w:rPr>
      <w:rFonts w:ascii="宋体" w:eastAsia="宋体" w:hAnsi="Times New Roman" w:cs="宋体"/>
      <w:sz w:val="21"/>
      <w:szCs w:val="21"/>
      <w:lang w:val="en-US" w:eastAsia="zh-CN" w:bidi="ar-SA"/>
    </w:rPr>
  </w:style>
  <w:style w:type="paragraph" w:customStyle="1" w:styleId="a37">
    <w:name w:val="目次、标准名称标题"/>
    <w:basedOn w:val="a0"/>
    <w:next w:val="a1"/>
    <w:autoRedefine/>
    <w:qFormat/>
    <w:pPr>
      <w:numPr>
        <w:numId w:val="0"/>
      </w:numPr>
    </w:pPr>
    <w:rPr>
      <w:rFonts w:hAnsi="黑体"/>
      <w:kern w:val="44"/>
    </w:rPr>
  </w:style>
  <w:style w:type="paragraph" w:customStyle="1" w:styleId="a38">
    <w:name w:val="目次、索引正文"/>
    <w:autoRedefine/>
    <w:qFormat/>
    <w:pPr>
      <w:spacing w:line="320" w:lineRule="exact"/>
      <w:jc w:val="both"/>
    </w:pPr>
    <w:rPr>
      <w:rFonts w:ascii="宋体" w:eastAsia="宋体" w:hAnsi="Times New Roman" w:cs="宋体"/>
      <w:sz w:val="21"/>
      <w:szCs w:val="21"/>
      <w:lang w:val="en-US" w:eastAsia="zh-CN" w:bidi="ar-SA"/>
    </w:rPr>
  </w:style>
  <w:style w:type="paragraph" w:customStyle="1" w:styleId="a39">
    <w:name w:val="其他标准称谓"/>
    <w:autoRedefine/>
    <w:qFormat/>
    <w:pPr>
      <w:spacing w:line="240" w:lineRule="atLeast"/>
      <w:jc w:val="distribute"/>
    </w:pPr>
    <w:rPr>
      <w:rFonts w:ascii="黑体" w:eastAsia="黑体" w:hAnsi="宋体" w:cs="黑体"/>
      <w:sz w:val="52"/>
      <w:szCs w:val="52"/>
      <w:lang w:val="en-US" w:eastAsia="zh-CN" w:bidi="ar-SA"/>
    </w:rPr>
  </w:style>
  <w:style w:type="paragraph" w:customStyle="1" w:styleId="a40">
    <w:name w:val="其他发布部门"/>
    <w:basedOn w:val="a16"/>
    <w:autoRedefine/>
    <w:qFormat/>
    <w:pPr>
      <w:spacing w:line="240" w:lineRule="atLeast"/>
    </w:pPr>
    <w:rPr>
      <w:rFonts w:ascii="黑体" w:eastAsia="黑体" w:cs="黑体"/>
      <w:b w:val="0"/>
      <w:bCs w:val="0"/>
    </w:rPr>
  </w:style>
  <w:style w:type="paragraph" w:customStyle="1" w:styleId="a41">
    <w:name w:val="三级条标题"/>
    <w:basedOn w:val="a20"/>
    <w:next w:val="a1"/>
    <w:autoRedefine/>
    <w:qFormat/>
    <w:pPr>
      <w:numPr>
        <w:ilvl w:val="4"/>
      </w:numPr>
      <w:outlineLvl w:val="4"/>
    </w:pPr>
  </w:style>
  <w:style w:type="paragraph" w:customStyle="1" w:styleId="a42">
    <w:name w:val="示例"/>
    <w:next w:val="a1"/>
    <w:autoRedefine/>
    <w:qFormat/>
    <w:pPr>
      <w:tabs>
        <w:tab w:val="left" w:pos="425"/>
        <w:tab w:val="left" w:pos="816"/>
      </w:tabs>
      <w:ind w:left="425" w:firstLine="419" w:firstLineChars="233"/>
      <w:jc w:val="both"/>
    </w:pPr>
    <w:rPr>
      <w:rFonts w:ascii="宋体" w:eastAsia="宋体" w:hAnsi="Times New Roman" w:cs="宋体"/>
      <w:sz w:val="18"/>
      <w:szCs w:val="18"/>
      <w:lang w:val="en-US" w:eastAsia="zh-CN" w:bidi="ar-SA"/>
    </w:rPr>
  </w:style>
  <w:style w:type="paragraph" w:customStyle="1" w:styleId="a43">
    <w:name w:val="数字编号列项（二级）"/>
    <w:autoRedefine/>
    <w:qFormat/>
    <w:pPr>
      <w:ind w:left="1260" w:hanging="420" w:leftChars="400" w:hangingChars="200"/>
      <w:jc w:val="both"/>
    </w:pPr>
    <w:rPr>
      <w:rFonts w:ascii="宋体" w:eastAsia="宋体" w:hAnsi="Times New Roman" w:cs="宋体"/>
      <w:sz w:val="21"/>
      <w:szCs w:val="21"/>
      <w:lang w:val="en-US" w:eastAsia="zh-CN" w:bidi="ar-SA"/>
    </w:rPr>
  </w:style>
  <w:style w:type="paragraph" w:customStyle="1" w:styleId="a44">
    <w:name w:val="四级条标题"/>
    <w:basedOn w:val="a41"/>
    <w:next w:val="a1"/>
    <w:autoRedefine/>
    <w:qFormat/>
    <w:pPr>
      <w:numPr>
        <w:ilvl w:val="5"/>
      </w:numPr>
      <w:outlineLvl w:val="5"/>
    </w:pPr>
  </w:style>
  <w:style w:type="paragraph" w:customStyle="1" w:styleId="a45">
    <w:name w:val="条文脚注"/>
    <w:basedOn w:val="FootnoteText"/>
    <w:autoRedefine/>
    <w:qFormat/>
    <w:pPr>
      <w:ind w:left="780" w:hanging="360" w:leftChars="200" w:hangingChars="200"/>
      <w:jc w:val="both"/>
    </w:pPr>
    <w:rPr>
      <w:rFonts w:ascii="宋体" w:cs="宋体"/>
    </w:rPr>
  </w:style>
  <w:style w:type="paragraph" w:customStyle="1" w:styleId="CharCharCharCharCharCharCharCharCharCharCharCharCharCharCharChar1">
    <w:name w:val="Char Char Char Char Char Char Char Char Char Char Char Char Char Char Char Char1"/>
    <w:basedOn w:val="Normal"/>
    <w:autoRedefine/>
    <w:uiPriority w:val="99"/>
    <w:qFormat/>
    <w:rPr>
      <w:sz w:val="24"/>
      <w:szCs w:val="24"/>
    </w:rPr>
  </w:style>
  <w:style w:type="paragraph" w:customStyle="1" w:styleId="a46">
    <w:name w:val="五级条标题"/>
    <w:basedOn w:val="a44"/>
    <w:next w:val="a1"/>
    <w:autoRedefine/>
    <w:qFormat/>
    <w:pPr>
      <w:numPr>
        <w:ilvl w:val="6"/>
      </w:numPr>
      <w:outlineLvl w:val="6"/>
    </w:pPr>
  </w:style>
  <w:style w:type="paragraph" w:customStyle="1" w:styleId="a47">
    <w:name w:val="正文表标题"/>
    <w:next w:val="a1"/>
    <w:autoRedefine/>
    <w:qFormat/>
    <w:pPr>
      <w:jc w:val="center"/>
    </w:pPr>
    <w:rPr>
      <w:rFonts w:ascii="黑体" w:eastAsia="黑体" w:hAnsi="Times New Roman" w:cs="黑体"/>
      <w:sz w:val="21"/>
      <w:szCs w:val="21"/>
      <w:lang w:val="en-US" w:eastAsia="zh-CN" w:bidi="ar-SA"/>
    </w:rPr>
  </w:style>
  <w:style w:type="paragraph" w:customStyle="1" w:styleId="a48">
    <w:name w:val="正文图标题"/>
    <w:next w:val="a1"/>
    <w:autoRedefine/>
    <w:qFormat/>
    <w:pPr>
      <w:jc w:val="center"/>
    </w:pPr>
    <w:rPr>
      <w:rFonts w:ascii="黑体" w:eastAsia="黑体" w:hAnsi="Times New Roman" w:cs="黑体"/>
      <w:sz w:val="21"/>
      <w:szCs w:val="21"/>
      <w:lang w:val="en-US" w:eastAsia="zh-CN" w:bidi="ar-SA"/>
    </w:rPr>
  </w:style>
  <w:style w:type="paragraph" w:customStyle="1" w:styleId="a49">
    <w:name w:val="注："/>
    <w:next w:val="a1"/>
    <w:autoRedefine/>
    <w:qFormat/>
    <w:pPr>
      <w:widowControl w:val="0"/>
      <w:autoSpaceDE w:val="0"/>
      <w:autoSpaceDN w:val="0"/>
      <w:jc w:val="both"/>
    </w:pPr>
    <w:rPr>
      <w:rFonts w:ascii="宋体" w:eastAsia="宋体" w:hAnsi="Times New Roman" w:cs="宋体"/>
      <w:sz w:val="18"/>
      <w:szCs w:val="18"/>
      <w:lang w:val="en-US" w:eastAsia="zh-CN" w:bidi="ar-SA"/>
    </w:rPr>
  </w:style>
  <w:style w:type="paragraph" w:customStyle="1" w:styleId="a50">
    <w:name w:val="注×："/>
    <w:autoRedefine/>
    <w:qFormat/>
    <w:pPr>
      <w:widowControl w:val="0"/>
      <w:tabs>
        <w:tab w:val="left" w:pos="630"/>
      </w:tabs>
      <w:autoSpaceDE w:val="0"/>
      <w:autoSpaceDN w:val="0"/>
      <w:jc w:val="both"/>
    </w:pPr>
    <w:rPr>
      <w:rFonts w:ascii="宋体" w:eastAsia="宋体" w:hAnsi="Times New Roman" w:cs="宋体"/>
      <w:sz w:val="18"/>
      <w:szCs w:val="18"/>
      <w:lang w:val="en-US" w:eastAsia="zh-CN" w:bidi="ar-SA"/>
    </w:rPr>
  </w:style>
  <w:style w:type="paragraph" w:customStyle="1" w:styleId="a51">
    <w:name w:val="字母编号列项（一级）"/>
    <w:autoRedefine/>
    <w:qFormat/>
    <w:pPr>
      <w:ind w:left="840" w:hanging="420" w:leftChars="200" w:hangingChars="200"/>
      <w:jc w:val="both"/>
    </w:pPr>
    <w:rPr>
      <w:rFonts w:ascii="宋体" w:eastAsia="宋体" w:hAnsi="Times New Roman" w:cs="宋体"/>
      <w:sz w:val="21"/>
      <w:szCs w:val="21"/>
      <w:lang w:val="en-US" w:eastAsia="zh-CN" w:bidi="ar-SA"/>
    </w:rPr>
  </w:style>
  <w:style w:type="character" w:customStyle="1" w:styleId="Char8">
    <w:name w:val="正文文本缩进 Char"/>
    <w:link w:val="BodyTextIndent"/>
    <w:autoRedefine/>
    <w:qFormat/>
    <w:locked/>
    <w:rPr>
      <w:rFonts w:ascii="Times New Roman" w:eastAsia="宋体" w:hAnsi="Times New Roman" w:cs="Times New Roman"/>
      <w:sz w:val="20"/>
      <w:szCs w:val="20"/>
    </w:rPr>
  </w:style>
  <w:style w:type="paragraph" w:customStyle="1" w:styleId="a52">
    <w:name w:val="列项◆（三级）"/>
    <w:autoRedefine/>
    <w:qFormat/>
    <w:pPr>
      <w:numPr>
        <w:ilvl w:val="0"/>
        <w:numId w:val="8"/>
      </w:numPr>
      <w:ind w:left="800" w:hanging="200" w:leftChars="600" w:hangingChars="200"/>
    </w:pPr>
    <w:rPr>
      <w:rFonts w:ascii="宋体" w:eastAsia="宋体" w:hAnsi="Times New Roman" w:cs="宋体"/>
      <w:sz w:val="21"/>
      <w:szCs w:val="21"/>
      <w:lang w:val="en-US" w:eastAsia="zh-CN" w:bidi="ar-SA"/>
    </w:rPr>
  </w:style>
  <w:style w:type="paragraph" w:customStyle="1" w:styleId="a53">
    <w:name w:val="编号列项（三级）"/>
    <w:autoRedefine/>
    <w:qFormat/>
    <w:pPr>
      <w:numPr>
        <w:ilvl w:val="0"/>
        <w:numId w:val="9"/>
      </w:numPr>
      <w:ind w:left="800" w:hanging="200" w:leftChars="600" w:hangingChars="200"/>
    </w:pPr>
    <w:rPr>
      <w:rFonts w:ascii="宋体" w:eastAsia="宋体" w:hAnsi="Times New Roman" w:cs="宋体"/>
      <w:sz w:val="21"/>
      <w:szCs w:val="21"/>
      <w:lang w:val="en-US" w:eastAsia="zh-CN" w:bidi="ar-SA"/>
    </w:rPr>
  </w:style>
  <w:style w:type="paragraph" w:customStyle="1" w:styleId="CharChar">
    <w:name w:val="列出段落 Char Char"/>
    <w:basedOn w:val="Normal"/>
    <w:autoRedefine/>
    <w:qFormat/>
    <w:pPr>
      <w:ind w:firstLine="420" w:firstLineChars="200"/>
    </w:pPr>
    <w:rPr>
      <w:rFonts w:ascii="Calibri" w:hAnsi="Calibri" w:cs="Calibri"/>
    </w:rPr>
  </w:style>
  <w:style w:type="character" w:customStyle="1" w:styleId="Char9">
    <w:name w:val="正文文本 Char"/>
    <w:link w:val="BodyText"/>
    <w:autoRedefine/>
    <w:qFormat/>
    <w:locked/>
    <w:rPr>
      <w:rFonts w:ascii="Times New Roman" w:eastAsia="宋体" w:hAnsi="Times New Roman" w:cs="Times New Roman"/>
      <w:sz w:val="21"/>
      <w:szCs w:val="21"/>
    </w:rPr>
  </w:style>
  <w:style w:type="character" w:customStyle="1" w:styleId="Char10">
    <w:name w:val="正文首行缩进 Char"/>
    <w:link w:val="BodyTextFirstIndent"/>
    <w:autoRedefine/>
    <w:qFormat/>
    <w:locked/>
    <w:rPr>
      <w:rFonts w:ascii="Times New Roman" w:eastAsia="宋体" w:hAnsi="Times New Roman" w:cs="Times New Roman"/>
      <w:sz w:val="21"/>
      <w:szCs w:val="21"/>
    </w:rPr>
  </w:style>
  <w:style w:type="paragraph" w:customStyle="1" w:styleId="Tabletext">
    <w:name w:val="Tabletext"/>
    <w:basedOn w:val="Normal"/>
    <w:autoRedefine/>
    <w:qFormat/>
    <w:pPr>
      <w:keepLines/>
      <w:spacing w:after="120" w:line="240" w:lineRule="atLeast"/>
      <w:jc w:val="left"/>
    </w:pPr>
    <w:rPr>
      <w:rFonts w:ascii="宋体" w:cs="宋体"/>
      <w:kern w:val="0"/>
      <w:sz w:val="20"/>
      <w:szCs w:val="20"/>
    </w:rPr>
  </w:style>
  <w:style w:type="paragraph" w:customStyle="1" w:styleId="5">
    <w:name w:val="标题5"/>
    <w:basedOn w:val="Normal"/>
    <w:autoRedefine/>
    <w:qFormat/>
    <w:pPr>
      <w:numPr>
        <w:ilvl w:val="4"/>
        <w:numId w:val="10"/>
      </w:numPr>
    </w:pPr>
  </w:style>
  <w:style w:type="character" w:customStyle="1" w:styleId="IntenseEmphasis">
    <w:name w:val="Intense Emphasis"/>
    <w:autoRedefine/>
    <w:uiPriority w:val="99"/>
    <w:qFormat/>
    <w:rPr>
      <w:b/>
      <w:bCs/>
      <w:i/>
      <w:iCs/>
      <w:color w:val="auto"/>
    </w:rPr>
  </w:style>
  <w:style w:type="paragraph" w:customStyle="1" w:styleId="a54">
    <w:name w:val="一级无条标题"/>
    <w:basedOn w:val="Normal"/>
    <w:autoRedefine/>
    <w:qFormat/>
    <w:pPr>
      <w:numPr>
        <w:ilvl w:val="1"/>
        <w:numId w:val="11"/>
      </w:numPr>
    </w:pPr>
    <w:rPr>
      <w:rFonts w:eastAsia="黑体"/>
    </w:rPr>
  </w:style>
  <w:style w:type="character" w:customStyle="1" w:styleId="Char11">
    <w:name w:val="正文缩进 Char"/>
    <w:link w:val="NormalIndent"/>
    <w:autoRedefine/>
    <w:uiPriority w:val="99"/>
    <w:qFormat/>
    <w:locked/>
    <w:rPr>
      <w:rFonts w:ascii="Times New Roman" w:eastAsia="宋体" w:hAnsi="Times New Roman" w:cs="Times New Roman"/>
      <w:sz w:val="21"/>
      <w:szCs w:val="21"/>
    </w:rPr>
  </w:style>
  <w:style w:type="character" w:customStyle="1" w:styleId="CharChar7">
    <w:name w:val="Char Char7"/>
    <w:autoRedefine/>
    <w:uiPriority w:val="99"/>
    <w:qFormat/>
    <w:rPr>
      <w:rFonts w:eastAsia="宋体"/>
      <w:kern w:val="2"/>
      <w:sz w:val="21"/>
      <w:szCs w:val="21"/>
      <w:lang w:val="en-US" w:eastAsia="zh-CN"/>
    </w:rPr>
  </w:style>
  <w:style w:type="character" w:customStyle="1" w:styleId="12">
    <w:name w:val="明显强调1"/>
    <w:autoRedefine/>
    <w:qFormat/>
    <w:rPr>
      <w:b/>
      <w:bCs/>
      <w:i/>
      <w:iCs/>
      <w:color w:val="4F81BD"/>
    </w:rPr>
  </w:style>
  <w:style w:type="character" w:customStyle="1" w:styleId="HTML1">
    <w:name w:val="HTML 引文1"/>
    <w:autoRedefine/>
    <w:qFormat/>
    <w:rPr>
      <w:i/>
      <w:iCs/>
    </w:rPr>
  </w:style>
  <w:style w:type="character" w:customStyle="1" w:styleId="Char12">
    <w:name w:val="纯文本 Char"/>
    <w:link w:val="13"/>
    <w:rPr>
      <w:rFonts w:ascii="宋体" w:hAnsi="Courier New"/>
      <w:szCs w:val="24"/>
    </w:rPr>
  </w:style>
  <w:style w:type="paragraph" w:customStyle="1" w:styleId="13">
    <w:name w:val="纯文本1"/>
    <w:basedOn w:val="Normal"/>
    <w:link w:val="Char12"/>
    <w:rPr>
      <w:rFonts w:ascii="宋体" w:hAnsi="Courier New"/>
      <w:kern w:val="0"/>
      <w:sz w:val="20"/>
      <w:szCs w:val="24"/>
    </w:rPr>
  </w:style>
  <w:style w:type="character" w:customStyle="1" w:styleId="ac">
    <w:name w:val="ac"/>
    <w:autoRedefine/>
    <w:qFormat/>
    <w:rPr>
      <w:rFonts w:ascii="黑体" w:eastAsia="黑体" w:hAnsi="黑体"/>
      <w:spacing w:val="22"/>
      <w:position w:val="3"/>
      <w:sz w:val="24"/>
      <w:lang w:val="en-US" w:eastAsia="zh-CN"/>
    </w:rPr>
  </w:style>
  <w:style w:type="character" w:customStyle="1" w:styleId="news-121">
    <w:name w:val="news-121"/>
    <w:autoRedefine/>
    <w:qFormat/>
    <w:rPr>
      <w:rFonts w:ascii="宋体" w:eastAsia="宋体"/>
      <w:color w:val="000000"/>
      <w:sz w:val="20"/>
      <w:szCs w:val="20"/>
      <w:lang w:val="en-US" w:eastAsia="zh-CN"/>
    </w:rPr>
  </w:style>
  <w:style w:type="character" w:customStyle="1" w:styleId="HTML10">
    <w:name w:val="HTML 变量1"/>
    <w:autoRedefine/>
    <w:qFormat/>
    <w:rPr>
      <w:i/>
      <w:iCs/>
    </w:rPr>
  </w:style>
  <w:style w:type="character" w:customStyle="1" w:styleId="14">
    <w:name w:val="访问过的超链接1"/>
    <w:rPr>
      <w:color w:val="800080"/>
      <w:u w:val="single"/>
    </w:rPr>
  </w:style>
  <w:style w:type="character" w:customStyle="1" w:styleId="2Char1">
    <w:name w:val="正文首行缩进 2 Char"/>
    <w:link w:val="21"/>
    <w:autoRedefine/>
    <w:qFormat/>
    <w:rPr>
      <w:rFonts w:ascii="宋体" w:hAnsi="Times New Roman"/>
      <w:bCs/>
      <w:sz w:val="24"/>
      <w:szCs w:val="24"/>
    </w:rPr>
  </w:style>
  <w:style w:type="paragraph" w:customStyle="1" w:styleId="21">
    <w:name w:val="正文首行缩进 21"/>
    <w:basedOn w:val="15"/>
    <w:link w:val="2Char1"/>
    <w:pPr>
      <w:tabs>
        <w:tab w:val="left" w:pos="1571"/>
      </w:tabs>
      <w:spacing w:line="360" w:lineRule="auto"/>
      <w:ind w:left="1418" w:hanging="567"/>
      <w:jc w:val="left"/>
    </w:pPr>
    <w:rPr>
      <w:rFonts w:ascii="宋体"/>
      <w:bCs/>
      <w:sz w:val="24"/>
      <w:szCs w:val="24"/>
    </w:rPr>
  </w:style>
  <w:style w:type="paragraph" w:customStyle="1" w:styleId="15">
    <w:name w:val="正文文本缩进1"/>
    <w:basedOn w:val="Normal"/>
    <w:pPr>
      <w:ind w:left="709"/>
    </w:pPr>
    <w:rPr>
      <w:kern w:val="0"/>
      <w:sz w:val="28"/>
      <w:szCs w:val="20"/>
    </w:rPr>
  </w:style>
  <w:style w:type="character" w:customStyle="1" w:styleId="HTML11">
    <w:name w:val="HTML 打字机1"/>
    <w:autoRedefine/>
    <w:qFormat/>
    <w:rPr>
      <w:rFonts w:ascii="Courier New" w:hAnsi="Courier New"/>
      <w:sz w:val="20"/>
      <w:szCs w:val="20"/>
    </w:rPr>
  </w:style>
  <w:style w:type="character" w:customStyle="1" w:styleId="16">
    <w:name w:val="批注引用1"/>
    <w:autoRedefine/>
    <w:qFormat/>
    <w:rPr>
      <w:sz w:val="21"/>
      <w:szCs w:val="21"/>
    </w:rPr>
  </w:style>
  <w:style w:type="character" w:customStyle="1" w:styleId="17">
    <w:name w:val="页码1"/>
    <w:rPr>
      <w:rFonts w:ascii="Times New Roman" w:eastAsia="宋体" w:hAnsi="Times New Roman"/>
      <w:sz w:val="18"/>
    </w:rPr>
  </w:style>
  <w:style w:type="character" w:customStyle="1" w:styleId="HTML12">
    <w:name w:val="HTML 样本1"/>
    <w:autoRedefine/>
    <w:qFormat/>
    <w:rPr>
      <w:rFonts w:ascii="Courier New" w:hAnsi="Courier New"/>
    </w:rPr>
  </w:style>
  <w:style w:type="character" w:customStyle="1" w:styleId="a55">
    <w:name w:val="个人答复风格"/>
    <w:autoRedefine/>
    <w:qFormat/>
    <w:rPr>
      <w:rFonts w:ascii="Arial" w:eastAsia="宋体" w:hAnsi="Arial" w:cs="Arial"/>
      <w:color w:val="auto"/>
      <w:sz w:val="20"/>
      <w:lang w:val="en-US" w:eastAsia="zh-CN"/>
    </w:rPr>
  </w:style>
  <w:style w:type="character" w:customStyle="1" w:styleId="HTML13">
    <w:name w:val="HTML 代码1"/>
    <w:rPr>
      <w:rFonts w:ascii="Courier New" w:hAnsi="Courier New"/>
      <w:sz w:val="20"/>
      <w:szCs w:val="20"/>
    </w:rPr>
  </w:style>
  <w:style w:type="character" w:customStyle="1" w:styleId="HTML14">
    <w:name w:val="HTML 定义1"/>
    <w:rPr>
      <w:i/>
      <w:iCs/>
    </w:rPr>
  </w:style>
  <w:style w:type="character" w:customStyle="1" w:styleId="HTML15">
    <w:name w:val="HTML 键盘1"/>
    <w:qFormat/>
    <w:rPr>
      <w:rFonts w:ascii="Courier New" w:hAnsi="Courier New"/>
      <w:sz w:val="20"/>
      <w:szCs w:val="20"/>
    </w:rPr>
  </w:style>
  <w:style w:type="character" w:customStyle="1" w:styleId="HTML16">
    <w:name w:val="HTML 缩写1"/>
    <w:autoRedefine/>
    <w:qFormat/>
  </w:style>
  <w:style w:type="paragraph" w:customStyle="1" w:styleId="18">
    <w:name w:val="正文首行缩进1"/>
    <w:basedOn w:val="Normal"/>
    <w:pPr>
      <w:ind w:firstLine="200" w:firstLineChars="200"/>
    </w:pPr>
    <w:rPr>
      <w:kern w:val="0"/>
      <w:sz w:val="20"/>
      <w:szCs w:val="24"/>
    </w:rPr>
  </w:style>
  <w:style w:type="paragraph" w:customStyle="1" w:styleId="19">
    <w:name w:val="文档结构图1"/>
    <w:basedOn w:val="Normal"/>
    <w:pPr>
      <w:shd w:val="clear" w:color="auto" w:fill="000080"/>
    </w:pPr>
    <w:rPr>
      <w:kern w:val="0"/>
      <w:sz w:val="20"/>
      <w:szCs w:val="24"/>
      <w:shd w:val="clear" w:color="auto" w:fill="000080"/>
    </w:rPr>
  </w:style>
  <w:style w:type="paragraph" w:customStyle="1" w:styleId="HTML17">
    <w:name w:val="HTML 地址1"/>
    <w:basedOn w:val="Normal"/>
    <w:qFormat/>
    <w:rPr>
      <w:i/>
      <w:iCs/>
      <w:kern w:val="0"/>
      <w:sz w:val="20"/>
      <w:szCs w:val="24"/>
    </w:rPr>
  </w:style>
  <w:style w:type="paragraph" w:customStyle="1" w:styleId="110">
    <w:name w:val="日期1"/>
    <w:basedOn w:val="Normal"/>
    <w:next w:val="Normal"/>
    <w:pPr>
      <w:ind w:left="100" w:leftChars="2500"/>
    </w:pPr>
    <w:rPr>
      <w:kern w:val="0"/>
      <w:sz w:val="20"/>
      <w:szCs w:val="24"/>
    </w:rPr>
  </w:style>
  <w:style w:type="paragraph" w:customStyle="1" w:styleId="a56">
    <w:name w:val="样式 宋体"/>
    <w:basedOn w:val="Normal"/>
    <w:rPr>
      <w:rFonts w:ascii="宋体" w:hAnsi="宋体" w:cs="宋体"/>
      <w:szCs w:val="20"/>
    </w:rPr>
  </w:style>
  <w:style w:type="paragraph" w:customStyle="1" w:styleId="3">
    <w:name w:val="样式 标题 3 + 黑体 四号 非加粗"/>
    <w:basedOn w:val="Heading3"/>
    <w:qFormat/>
    <w:rPr>
      <w:rFonts w:ascii="黑体" w:eastAsia="黑体" w:hAnsi="黑体"/>
      <w:b w:val="0"/>
      <w:bCs w:val="0"/>
      <w:sz w:val="28"/>
    </w:rPr>
  </w:style>
  <w:style w:type="paragraph" w:customStyle="1" w:styleId="111">
    <w:name w:val="列出段落1"/>
    <w:basedOn w:val="Normal"/>
    <w:qFormat/>
    <w:pPr>
      <w:ind w:firstLine="420" w:firstLineChars="200"/>
    </w:pPr>
    <w:rPr>
      <w:szCs w:val="24"/>
    </w:rPr>
  </w:style>
  <w:style w:type="paragraph" w:customStyle="1" w:styleId="a57">
    <w:name w:val="正文标题三"/>
    <w:basedOn w:val="Normal"/>
    <w:pPr>
      <w:numPr>
        <w:ilvl w:val="2"/>
        <w:numId w:val="12"/>
      </w:numPr>
      <w:spacing w:before="120" w:after="120" w:line="360" w:lineRule="auto"/>
      <w:outlineLvl w:val="2"/>
    </w:pPr>
    <w:rPr>
      <w:sz w:val="24"/>
      <w:szCs w:val="18"/>
    </w:rPr>
  </w:style>
  <w:style w:type="paragraph" w:customStyle="1" w:styleId="112">
    <w:name w:val="批注主题1"/>
    <w:basedOn w:val="CommentText"/>
    <w:next w:val="CommentText"/>
    <w:rPr>
      <w:b/>
      <w:bCs/>
      <w:sz w:val="20"/>
      <w:szCs w:val="24"/>
    </w:rPr>
  </w:style>
  <w:style w:type="paragraph" w:customStyle="1" w:styleId="HTML18">
    <w:name w:val="HTML 预设格式1"/>
    <w:basedOn w:val="Normal"/>
    <w:rPr>
      <w:rFonts w:ascii="Courier New" w:hAnsi="Courier New"/>
      <w:kern w:val="0"/>
      <w:sz w:val="20"/>
      <w:szCs w:val="20"/>
    </w:rPr>
  </w:style>
  <w:style w:type="paragraph" w:customStyle="1" w:styleId="2h2l2CoursewareH2h21l21Courseware1H21Heading">
    <w:name w:val="样式 标题 2h2l2Courseware #H2h21l21Courseware #1H21Heading ..."/>
    <w:basedOn w:val="Heading2"/>
    <w:pPr>
      <w:spacing w:line="360" w:lineRule="auto"/>
    </w:pPr>
    <w:rPr>
      <w:rFonts w:cs="宋体"/>
      <w:b w:val="0"/>
      <w:szCs w:val="20"/>
    </w:rPr>
  </w:style>
  <w:style w:type="paragraph" w:customStyle="1" w:styleId="2h2l2CoursewareH2h21l21Courseware1H21Heading1">
    <w:name w:val="样式 标题 2h2l2Courseware #H2h21l21Courseware #1H21Heading ...1"/>
    <w:basedOn w:val="Heading2"/>
    <w:rPr>
      <w:rFonts w:cs="Times New Roman"/>
      <w:b w:val="0"/>
      <w:bCs w:val="0"/>
    </w:rPr>
  </w:style>
  <w:style w:type="paragraph" w:customStyle="1" w:styleId="a58">
    <w:name w:val="正文居中"/>
    <w:basedOn w:val="Normal"/>
    <w:qFormat/>
    <w:pPr>
      <w:jc w:val="center"/>
    </w:pPr>
    <w:rPr>
      <w:rFonts w:cs="宋体"/>
      <w:szCs w:val="20"/>
    </w:rPr>
  </w:style>
  <w:style w:type="paragraph" w:customStyle="1" w:styleId="Style26">
    <w:name w:val="_Style 26"/>
    <w:pPr>
      <w:widowControl w:val="0"/>
    </w:pPr>
    <w:rPr>
      <w:rFonts w:ascii="Times New Roman" w:eastAsia="宋体" w:hAnsi="Times New Roman" w:cs="Times New Roman"/>
      <w:szCs w:val="24"/>
      <w:lang w:val="en-US" w:eastAsia="zh-CN" w:bidi="ar-SA"/>
    </w:rPr>
  </w:style>
  <w:style w:type="paragraph" w:customStyle="1" w:styleId="25">
    <w:name w:val="样式 样式 宋体 + 左  25 字符"/>
    <w:basedOn w:val="a56"/>
    <w:autoRedefine/>
    <w:qFormat/>
  </w:style>
  <w:style w:type="paragraph" w:customStyle="1" w:styleId="113">
    <w:name w:val="正文缩进1"/>
    <w:basedOn w:val="Normal"/>
    <w:qFormat/>
    <w:pPr>
      <w:ind w:firstLine="420" w:firstLineChars="200"/>
    </w:pPr>
    <w:rPr>
      <w:szCs w:val="24"/>
    </w:rPr>
  </w:style>
  <w:style w:type="paragraph" w:customStyle="1" w:styleId="114">
    <w:name w:val="修订1"/>
    <w:rPr>
      <w:rFonts w:ascii="Times New Roman" w:eastAsia="宋体" w:hAnsi="Times New Roman" w:cs="Times New Roman"/>
      <w:szCs w:val="24"/>
      <w:lang w:val="en-US" w:eastAsia="zh-CN" w:bidi="ar-SA"/>
    </w:rPr>
  </w:style>
  <w:style w:type="paragraph" w:customStyle="1" w:styleId="a59">
    <w:name w:val="正文标题一"/>
    <w:basedOn w:val="Normal"/>
    <w:pPr>
      <w:numPr>
        <w:ilvl w:val="0"/>
        <w:numId w:val="12"/>
      </w:numPr>
      <w:spacing w:line="360" w:lineRule="auto"/>
      <w:outlineLvl w:val="0"/>
    </w:pPr>
    <w:rPr>
      <w:sz w:val="44"/>
      <w:szCs w:val="18"/>
    </w:rPr>
  </w:style>
  <w:style w:type="paragraph" w:customStyle="1" w:styleId="a60">
    <w:name w:val="正文标题二"/>
    <w:basedOn w:val="Normal"/>
    <w:pPr>
      <w:numPr>
        <w:ilvl w:val="1"/>
        <w:numId w:val="12"/>
      </w:numPr>
      <w:spacing w:line="360" w:lineRule="auto"/>
      <w:outlineLvl w:val="1"/>
    </w:pPr>
    <w:rPr>
      <w:sz w:val="32"/>
      <w:szCs w:val="18"/>
    </w:rPr>
  </w:style>
  <w:style w:type="paragraph" w:customStyle="1" w:styleId="a61">
    <w:name w:val="正文标题四"/>
    <w:basedOn w:val="Normal"/>
    <w:qFormat/>
    <w:pPr>
      <w:numPr>
        <w:ilvl w:val="3"/>
        <w:numId w:val="12"/>
      </w:numPr>
      <w:spacing w:before="120" w:after="120" w:line="360" w:lineRule="auto"/>
      <w:outlineLvl w:val="3"/>
    </w:pPr>
    <w:rPr>
      <w:sz w:val="24"/>
      <w:szCs w:val="18"/>
    </w:rPr>
  </w:style>
  <w:style w:type="paragraph" w:customStyle="1" w:styleId="a62">
    <w:name w:val="正文标题五"/>
    <w:basedOn w:val="Normal"/>
    <w:pPr>
      <w:numPr>
        <w:ilvl w:val="4"/>
        <w:numId w:val="12"/>
      </w:numPr>
      <w:spacing w:before="120" w:after="120" w:line="360" w:lineRule="auto"/>
      <w:outlineLvl w:val="4"/>
    </w:pPr>
    <w:rPr>
      <w:sz w:val="24"/>
      <w:szCs w:val="18"/>
    </w:rPr>
  </w:style>
  <w:style w:type="paragraph" w:customStyle="1" w:styleId="a63">
    <w:name w:val="正文标题六"/>
    <w:basedOn w:val="a62"/>
    <w:pPr>
      <w:numPr>
        <w:numId w:val="0"/>
      </w:numPr>
    </w:pPr>
  </w:style>
  <w:style w:type="paragraph" w:customStyle="1" w:styleId="115">
    <w:name w:val="图表目录1"/>
    <w:basedOn w:val="Normal"/>
    <w:next w:val="Normal"/>
    <w:qFormat/>
    <w:pPr>
      <w:ind w:left="840" w:hanging="420" w:leftChars="200" w:hangingChars="200"/>
    </w:pPr>
    <w:rPr>
      <w:szCs w:val="24"/>
    </w:rPr>
  </w:style>
  <w:style w:type="paragraph" w:customStyle="1" w:styleId="a64">
    <w:name w:val="_"/>
    <w:basedOn w:val="Normal"/>
    <w:pPr>
      <w:adjustRightInd w:val="0"/>
      <w:spacing w:line="360" w:lineRule="auto"/>
      <w:ind w:left="480"/>
      <w:textAlignment w:val="baseline"/>
    </w:pPr>
    <w:rPr>
      <w:kern w:val="0"/>
      <w:sz w:val="24"/>
      <w:szCs w:val="20"/>
    </w:rPr>
  </w:style>
  <w:style w:type="paragraph" w:customStyle="1" w:styleId="a65">
    <w:name w:val="标题一"/>
    <w:basedOn w:val="Heading3"/>
    <w:next w:val="113"/>
    <w:pPr>
      <w:numPr>
        <w:ilvl w:val="0"/>
        <w:numId w:val="13"/>
      </w:numPr>
      <w:spacing w:line="415" w:lineRule="auto"/>
    </w:pPr>
  </w:style>
  <w:style w:type="paragraph" w:customStyle="1" w:styleId="ASN1">
    <w:name w:val="ASN.1"/>
    <w:basedOn w:val="Normal"/>
    <w:next w:val="Normal"/>
    <w:autoRedefine/>
    <w:qFormat/>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pPr>
    <w:rPr>
      <w:rFonts w:ascii="Helvetica" w:hAnsi="Helvetica"/>
      <w:b/>
      <w:color w:val="000000"/>
      <w:kern w:val="0"/>
      <w:szCs w:val="20"/>
    </w:rPr>
  </w:style>
  <w:style w:type="paragraph" w:customStyle="1" w:styleId="a66">
    <w:name w:val="术语"/>
    <w:basedOn w:val="Normal"/>
    <w:autoRedefine/>
    <w:pPr>
      <w:ind w:firstLine="422" w:firstLineChars="200"/>
    </w:pPr>
    <w:rPr>
      <w:rFonts w:eastAsia="黑体"/>
      <w:b/>
      <w:bCs/>
      <w:szCs w:val="24"/>
    </w:rPr>
  </w:style>
  <w:style w:type="paragraph" w:customStyle="1" w:styleId="116">
    <w:name w:val="普通(网站)1"/>
    <w:basedOn w:val="Normal"/>
    <w:autoRedefine/>
    <w:qFormat/>
    <w:pPr>
      <w:widowControl/>
      <w:spacing w:before="100" w:beforeAutospacing="1" w:after="100" w:afterAutospacing="1"/>
      <w:jc w:val="left"/>
    </w:pPr>
    <w:rPr>
      <w:rFonts w:ascii="宋体" w:hAnsi="宋体" w:cs="宋体"/>
      <w:kern w:val="0"/>
      <w:sz w:val="24"/>
      <w:szCs w:val="24"/>
    </w:rPr>
  </w:style>
  <w:style w:type="paragraph" w:customStyle="1" w:styleId="-11">
    <w:name w:val="彩色列表 - 强调文字颜色 11"/>
    <w:basedOn w:val="Normal"/>
    <w:uiPriority w:val="34"/>
    <w:qFormat/>
    <w:pPr>
      <w:spacing w:line="360" w:lineRule="auto"/>
      <w:ind w:firstLine="420" w:firstLineChars="200"/>
    </w:pPr>
    <w:rPr>
      <w:rFonts w:ascii="Calibri" w:hAnsi="Calibri"/>
      <w:szCs w:val="22"/>
    </w:rPr>
  </w:style>
  <w:style w:type="paragraph" w:styleId="ListParagraph">
    <w:name w:val="List Paragraph"/>
    <w:basedOn w:val="Normal"/>
    <w:autoRedefine/>
    <w:uiPriority w:val="34"/>
    <w:qFormat/>
    <w:pPr>
      <w:ind w:firstLine="420" w:firstLineChars="20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image" Target="media/image2.png" /><Relationship Id="rId12" Type="http://schemas.openxmlformats.org/officeDocument/2006/relationships/header" Target="header3.xml" /><Relationship Id="rId13" Type="http://schemas.openxmlformats.org/officeDocument/2006/relationships/header" Target="header4.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header" Target="header10.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image" Target="media/image3.emf" /><Relationship Id="rId37" Type="http://schemas.openxmlformats.org/officeDocument/2006/relationships/oleObject" Target="embeddings/oleObject1.vsd" /><Relationship Id="rId38" Type="http://schemas.openxmlformats.org/officeDocument/2006/relationships/header" Target="header15.xml" /><Relationship Id="rId39" Type="http://schemas.openxmlformats.org/officeDocument/2006/relationships/header" Target="header16.xml" /><Relationship Id="rId4" Type="http://schemas.openxmlformats.org/officeDocument/2006/relationships/customXml" Target="../customXml/item1.xml" /><Relationship Id="rId40" Type="http://schemas.openxmlformats.org/officeDocument/2006/relationships/footer" Target="footer15.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header" Target="header18.xml" /><Relationship Id="rId44" Type="http://schemas.openxmlformats.org/officeDocument/2006/relationships/footer" Target="footer17.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footer" Target="footer19.xml" /><Relationship Id="rId49" Type="http://schemas.openxmlformats.org/officeDocument/2006/relationships/footer" Target="footer20.xml" /><Relationship Id="rId5" Type="http://schemas.openxmlformats.org/officeDocument/2006/relationships/customXml" Target="../customXml/item2.xml" /><Relationship Id="rId50" Type="http://schemas.openxmlformats.org/officeDocument/2006/relationships/header" Target="header21.xml" /><Relationship Id="rId51" Type="http://schemas.openxmlformats.org/officeDocument/2006/relationships/header" Target="header22.xml" /><Relationship Id="rId52" Type="http://schemas.openxmlformats.org/officeDocument/2006/relationships/footer" Target="footer21.xml" /><Relationship Id="rId53" Type="http://schemas.openxmlformats.org/officeDocument/2006/relationships/footer" Target="footer22.xml" /><Relationship Id="rId54" Type="http://schemas.openxmlformats.org/officeDocument/2006/relationships/header" Target="header23.xml" /><Relationship Id="rId55" Type="http://schemas.openxmlformats.org/officeDocument/2006/relationships/header" Target="header24.xml" /><Relationship Id="rId56" Type="http://schemas.openxmlformats.org/officeDocument/2006/relationships/footer" Target="footer23.xml" /><Relationship Id="rId57" Type="http://schemas.openxmlformats.org/officeDocument/2006/relationships/footer" Target="footer24.xml" /><Relationship Id="rId58" Type="http://schemas.openxmlformats.org/officeDocument/2006/relationships/header" Target="header25.xml" /><Relationship Id="rId59" Type="http://schemas.openxmlformats.org/officeDocument/2006/relationships/header" Target="header26.xml" /><Relationship Id="rId6" Type="http://schemas.openxmlformats.org/officeDocument/2006/relationships/header" Target="header1.xml" /><Relationship Id="rId60" Type="http://schemas.openxmlformats.org/officeDocument/2006/relationships/footer" Target="footer25.xml" /><Relationship Id="rId61" Type="http://schemas.openxmlformats.org/officeDocument/2006/relationships/footer" Target="footer26.xml" /><Relationship Id="rId62" Type="http://schemas.openxmlformats.org/officeDocument/2006/relationships/header" Target="header27.xml" /><Relationship Id="rId63" Type="http://schemas.openxmlformats.org/officeDocument/2006/relationships/header" Target="header28.xml" /><Relationship Id="rId64" Type="http://schemas.openxmlformats.org/officeDocument/2006/relationships/footer" Target="footer27.xml" /><Relationship Id="rId65" Type="http://schemas.openxmlformats.org/officeDocument/2006/relationships/footer" Target="footer28.xml" /><Relationship Id="rId66" Type="http://schemas.openxmlformats.org/officeDocument/2006/relationships/hyperlink" Target="https://d.book118.com/957001061100006042" TargetMode="External" /><Relationship Id="rId67" Type="http://schemas.openxmlformats.org/officeDocument/2006/relationships/header" Target="header29.xml" /><Relationship Id="rId68" Type="http://schemas.openxmlformats.org/officeDocument/2006/relationships/header" Target="header30.xml" /><Relationship Id="rId69" Type="http://schemas.openxmlformats.org/officeDocument/2006/relationships/footer" Target="footer29.xml" /><Relationship Id="rId7" Type="http://schemas.openxmlformats.org/officeDocument/2006/relationships/header" Target="header2.xml" /><Relationship Id="rId70" Type="http://schemas.openxmlformats.org/officeDocument/2006/relationships/footer" Target="footer30.xml" /><Relationship Id="rId71" Type="http://schemas.openxmlformats.org/officeDocument/2006/relationships/theme" Target="theme/theme1.xml" /><Relationship Id="rId72" Type="http://schemas.openxmlformats.org/officeDocument/2006/relationships/numbering" Target="numbering.xml" /><Relationship Id="rId73" Type="http://schemas.openxmlformats.org/officeDocument/2006/relationships/styles" Target="styles.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0"/>
    <customShpInfo spid="_x0000_s1035"/>
    <customShpInfo spid="_x0000_s1028"/>
    <customShpInfo spid="_x0000_s1032"/>
    <customShpInfo spid="_x0000_s1031"/>
    <customShpInfo spid="_x0000_s1033"/>
    <customShpInfo spid="_x0000_s1093"/>
    <customShpInfo spid="_x0000_s1036"/>
    <customShpInfo spid="_x0000_s1034"/>
    <customShpInfo spid="_x0000_s1029"/>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096"/>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3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21FCB3-654A-4452-9DAB-A3F9FDF93DA8}">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19</Pages>
  <Words>4448</Words>
  <Characters>25354</Characters>
  <Application>Microsoft Office Word</Application>
  <DocSecurity>0</DocSecurity>
  <Lines>211</Lines>
  <Paragraphs>59</Paragraphs>
  <ScaleCrop>false</ScaleCrop>
  <Company>111</Company>
  <LinksUpToDate>false</LinksUpToDate>
  <CharactersWithSpaces>29743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Liu</dc:creator>
  <cp:lastModifiedBy>xwbjl</cp:lastModifiedBy>
  <cp:revision>33</cp:revision>
  <cp:lastPrinted>2012-09-24T05:20:00Z</cp:lastPrinted>
  <dcterms:created xsi:type="dcterms:W3CDTF">2006-02-09T16:16:00Z</dcterms:created>
  <dcterms:modified xsi:type="dcterms:W3CDTF">2024-02-18T04:11:19Z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1BDDC44961E840F2B65E457A5D3DA265_12</vt:lpwstr>
  </property>
  <property fmtid="{D5CDD505-2E9C-101B-9397-08002B2CF9AE}" pid="3" name="KSOProductBuildVer">
    <vt:lpwstr>2052-12.1.0.16120</vt:lpwstr>
  </property>
</Properties>
</file>