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0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8952</wp:posOffset>
            </wp:positionH>
            <wp:positionV relativeFrom="page">
              <wp:posOffset>0</wp:posOffset>
            </wp:positionV>
            <wp:extent cx="7551992" cy="10693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99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Title"/>
        <w:spacing w:line="225" w:lineRule="auto"/>
      </w:pPr>
      <w:r>
        <w:t>（ 建 筑 工 程 管 理 ）</w:t>
      </w:r>
      <w:r>
        <w:rPr>
          <w:spacing w:val="68"/>
        </w:rPr>
        <w:t xml:space="preserve"> 厂</w:t>
      </w:r>
      <w:r>
        <w:rPr>
          <w:spacing w:val="7"/>
        </w:rPr>
        <w:t>区 道 路 施 工 组 织 设 计</w:t>
      </w:r>
    </w:p>
    <w:p>
      <w:pPr>
        <w:spacing w:after="0" w:line="225" w:lineRule="auto"/>
        <w:sectPr>
          <w:type w:val="continuous"/>
          <w:pgSz w:w="11910" w:h="16840"/>
          <w:pgMar w:top="1600" w:right="0" w:bottom="280" w:left="1580" w:header="708" w:footer="708"/>
          <w:cols w:space="708"/>
        </w:sectPr>
      </w:pPr>
    </w:p>
    <w:p>
      <w:pPr>
        <w:spacing w:before="44"/>
        <w:ind w:left="216" w:right="0" w:firstLine="0"/>
        <w:jc w:val="left"/>
        <w:rPr>
          <w:sz w:val="21"/>
        </w:rPr>
      </w:pPr>
      <w:r>
        <w:rPr>
          <w:sz w:val="21"/>
        </w:rPr>
        <w:t>沈阳欧盟经济开发区零部件园</w:t>
      </w:r>
      <w:r>
        <w:rPr>
          <w:rFonts w:ascii="Lucida Sans Unicode" w:eastAsia="Lucida Sans Unicode"/>
          <w:sz w:val="21"/>
        </w:rPr>
        <w:t>-</w:t>
      </w:r>
      <w:r>
        <w:rPr>
          <w:sz w:val="21"/>
        </w:rPr>
        <w:t>沈北路市政道路工程</w:t>
      </w:r>
    </w:p>
    <w:p>
      <w:pPr>
        <w:pStyle w:val="Heading1"/>
        <w:spacing w:before="176" w:line="278" w:lineRule="auto"/>
        <w:ind w:left="4053" w:right="5831"/>
        <w:jc w:val="both"/>
      </w:pPr>
      <w:r>
        <w:t>施工组织设计</w:t>
      </w:r>
    </w:p>
    <w:p>
      <w:pPr>
        <w:spacing w:before="0" w:line="794" w:lineRule="exact"/>
        <w:ind w:left="216" w:right="0" w:firstLine="0"/>
        <w:jc w:val="both"/>
        <w:rPr>
          <w:rFonts w:ascii="Microsoft JhengHei" w:eastAsia="Microsoft JhengHei" w:hint="eastAsia"/>
          <w:b/>
          <w:sz w:val="44"/>
        </w:rPr>
      </w:pPr>
      <w:r>
        <w:rPr>
          <w:rFonts w:ascii="Microsoft JhengHei" w:eastAsia="Microsoft JhengHei" w:hint="eastAsia"/>
          <w:b/>
          <w:sz w:val="44"/>
        </w:rPr>
        <w:t>东 北 金 城 建 设 股 份 有 限 X 公 司</w:t>
      </w:r>
    </w:p>
    <w:p>
      <w:pPr>
        <w:pStyle w:val="BodyText"/>
        <w:spacing w:before="7"/>
        <w:ind w:left="0"/>
        <w:rPr>
          <w:rFonts w:ascii="Microsoft JhengHei"/>
          <w:b/>
          <w:sz w:val="25"/>
        </w:rPr>
      </w:pPr>
    </w:p>
    <w:p>
      <w:pPr>
        <w:pStyle w:val="Heading1"/>
        <w:ind w:right="3514"/>
        <w:jc w:val="center"/>
      </w:pPr>
      <w:r>
        <w:t>第壹章编制依据及说明</w:t>
      </w:r>
    </w:p>
    <w:p>
      <w:pPr>
        <w:pStyle w:val="BodyText"/>
        <w:spacing w:before="8"/>
        <w:ind w:left="0"/>
        <w:rPr>
          <w:rFonts w:ascii="Microsoft JhengHei"/>
          <w:b/>
          <w:sz w:val="28"/>
        </w:rPr>
      </w:pPr>
    </w:p>
    <w:p>
      <w:pPr>
        <w:pStyle w:val="BodyText"/>
        <w:spacing w:before="0"/>
        <w:ind w:left="1935" w:right="3514"/>
        <w:jc w:val="center"/>
      </w:pPr>
      <w:r>
        <w:t>壹、编制依据</w:t>
      </w:r>
    </w:p>
    <w:p>
      <w:pPr>
        <w:pStyle w:val="BodyText"/>
        <w:spacing w:before="0"/>
        <w:ind w:left="0"/>
        <w:rPr>
          <w:sz w:val="37"/>
        </w:rPr>
      </w:pPr>
    </w:p>
    <w:p>
      <w:pPr>
        <w:pStyle w:val="BodyText"/>
        <w:spacing w:before="0" w:line="364" w:lineRule="auto"/>
        <w:ind w:left="536" w:right="2749"/>
      </w:pPr>
      <w:r>
        <w:t>壹、《根据沈阳市欧盟东盛工程投资招标文件》。二、根据沈阳市了铝美设计研究院提供的施工图。</w:t>
      </w:r>
    </w:p>
    <w:p>
      <w:pPr>
        <w:pStyle w:val="BodyText"/>
        <w:spacing w:before="2" w:line="364" w:lineRule="auto"/>
        <w:ind w:left="536" w:right="1754"/>
      </w:pPr>
      <w:r>
        <w:t>三、国家、行业及地方有关政策、法律、法令、法规。四、根据建设工程项目管理规范、国家强制性及推荐性技</w:t>
      </w:r>
    </w:p>
    <w:p>
      <w:pPr>
        <w:pStyle w:val="BodyText"/>
        <w:spacing w:before="2" w:line="364" w:lineRule="auto"/>
        <w:ind w:left="536" w:right="5309" w:hanging="320"/>
      </w:pPr>
      <w:r>
        <w:t>术质量标准、施工质量验收规范。五、工艺标准及操作规程。</w:t>
      </w:r>
    </w:p>
    <w:p>
      <w:pPr>
        <w:pStyle w:val="BodyText"/>
        <w:spacing w:before="1"/>
        <w:ind w:left="536"/>
      </w:pPr>
      <w:r>
        <w:t>六、X 公司质量体系文件及管理规章制度。</w:t>
      </w:r>
    </w:p>
    <w:p>
      <w:pPr>
        <w:spacing w:after="0"/>
        <w:sectPr>
          <w:pgSz w:w="11910" w:h="16840"/>
          <w:pgMar w:top="1560" w:right="0" w:bottom="280" w:left="1580" w:header="708" w:footer="708"/>
          <w:pgNumType w:start="2"/>
          <w:cols w:space="708"/>
        </w:sectPr>
      </w:pPr>
    </w:p>
    <w:p>
      <w:pPr>
        <w:pStyle w:val="BodyText"/>
        <w:spacing w:before="65"/>
        <w:ind w:left="536"/>
      </w:pPr>
      <w:r>
        <w:t>七、本 X 公司类似工程成功施工方法及经验。</w:t>
      </w:r>
    </w:p>
    <w:p>
      <w:pPr>
        <w:pStyle w:val="BodyText"/>
        <w:spacing w:before="0"/>
        <w:ind w:left="0"/>
        <w:rPr>
          <w:sz w:val="37"/>
        </w:rPr>
      </w:pPr>
    </w:p>
    <w:p>
      <w:pPr>
        <w:pStyle w:val="BodyText"/>
        <w:spacing w:before="0"/>
        <w:ind w:left="1935" w:right="3514"/>
        <w:jc w:val="center"/>
      </w:pPr>
      <w:r>
        <w:t>二、编制原则</w:t>
      </w:r>
    </w:p>
    <w:p>
      <w:pPr>
        <w:pStyle w:val="BodyText"/>
        <w:spacing w:before="0"/>
        <w:ind w:left="0"/>
        <w:rPr>
          <w:sz w:val="37"/>
        </w:rPr>
      </w:pPr>
    </w:p>
    <w:p>
      <w:pPr>
        <w:pStyle w:val="BodyText"/>
        <w:spacing w:before="0" w:line="364" w:lineRule="auto"/>
        <w:ind w:right="1754" w:firstLine="320"/>
      </w:pPr>
      <w:r>
        <w:t>壹、满足业主对工程质量、工期、安全、环保等各方面的要求为原则。</w:t>
      </w:r>
    </w:p>
    <w:p>
      <w:pPr>
        <w:pStyle w:val="BodyText"/>
        <w:spacing w:before="1" w:line="364" w:lineRule="auto"/>
        <w:ind w:right="1754" w:firstLine="320"/>
      </w:pPr>
      <w:r>
        <w:t>二、充分响应招标文件各项条款要求，认真贯彻业主及其授权人士或代表的指示和要求。</w:t>
      </w:r>
    </w:p>
    <w:p>
      <w:pPr>
        <w:pStyle w:val="BodyText"/>
        <w:spacing w:before="2" w:line="364" w:lineRule="auto"/>
        <w:ind w:right="1754" w:firstLine="320"/>
      </w:pPr>
      <w:r>
        <w:t>三、严格遵守招标文件明确的设计规范、施工规范和质量评定和验收标准。</w:t>
      </w:r>
    </w:p>
    <w:p>
      <w:pPr>
        <w:pStyle w:val="BodyText"/>
        <w:spacing w:before="2" w:line="364" w:lineRule="auto"/>
        <w:ind w:right="1754" w:firstLine="320"/>
      </w:pPr>
      <w:r>
        <w:t>四、自始至终对施工现场坚持实施全员、全方位、全过程严密监控、科学管理的原则。</w:t>
      </w:r>
    </w:p>
    <w:p>
      <w:pPr>
        <w:pStyle w:val="Heading1"/>
        <w:spacing w:before="275"/>
        <w:ind w:right="3514"/>
        <w:jc w:val="center"/>
      </w:pPr>
      <w:r>
        <w:t>第二章工程概述</w:t>
      </w:r>
    </w:p>
    <w:p>
      <w:pPr>
        <w:pStyle w:val="BodyText"/>
        <w:spacing w:before="8"/>
        <w:ind w:left="0"/>
        <w:rPr>
          <w:rFonts w:ascii="Microsoft JhengHei"/>
          <w:b/>
          <w:sz w:val="28"/>
        </w:rPr>
      </w:pPr>
    </w:p>
    <w:p>
      <w:pPr>
        <w:pStyle w:val="BodyText"/>
        <w:spacing w:before="0"/>
        <w:ind w:left="1935" w:right="3514"/>
        <w:jc w:val="center"/>
      </w:pPr>
      <w:r>
        <w:t>壹、工程概况</w:t>
      </w:r>
    </w:p>
    <w:p>
      <w:pPr>
        <w:pStyle w:val="BodyText"/>
        <w:spacing w:before="0"/>
        <w:ind w:left="0"/>
        <w:rPr>
          <w:sz w:val="37"/>
        </w:rPr>
      </w:pPr>
    </w:p>
    <w:p>
      <w:pPr>
        <w:pStyle w:val="BodyText"/>
        <w:spacing w:before="0" w:line="364" w:lineRule="auto"/>
        <w:ind w:right="1795" w:firstLine="476"/>
      </w:pPr>
      <w:r>
        <w:t>1、工程名称：沈阳市欧盟经济开发区零部件园-沈北路市政道路工程。</w:t>
      </w:r>
    </w:p>
    <w:p>
      <w:pPr>
        <w:pStyle w:val="BodyText"/>
        <w:spacing w:before="2"/>
        <w:ind w:left="692"/>
      </w:pPr>
      <w:r>
        <w:t>2、建设地点：沈阳市欧盟经济开发区。</w:t>
      </w:r>
    </w:p>
    <w:p>
      <w:pPr>
        <w:pStyle w:val="BodyText"/>
        <w:ind w:left="692"/>
      </w:pPr>
      <w:r>
        <w:t>3、工程规模：11 条路+匝道共计 7823.2 米,宽 7—12 米，</w:t>
      </w:r>
    </w:p>
    <w:p>
      <w:pPr>
        <w:pStyle w:val="BodyText"/>
      </w:pPr>
      <w:r>
        <w:t>40965.543 平方米。</w:t>
      </w:r>
    </w:p>
    <w:p>
      <w:pPr>
        <w:pStyle w:val="BodyText"/>
        <w:spacing w:line="364" w:lineRule="auto"/>
        <w:ind w:left="771" w:right="1795" w:hanging="314"/>
      </w:pPr>
      <w:r>
        <w:t>4、质量要求：符合国家有关施工质量验收规范要求.达到合格。</w:t>
      </w:r>
    </w:p>
    <w:p>
      <w:pPr>
        <w:spacing w:after="0" w:line="364" w:lineRule="auto"/>
        <w:sectPr>
          <w:pgSz w:w="11910" w:h="16840"/>
          <w:pgMar w:top="1480" w:right="0" w:bottom="280" w:left="1580" w:header="708" w:footer="708"/>
          <w:pgNumType w:start="3"/>
          <w:cols w:space="708"/>
        </w:sectPr>
      </w:pPr>
    </w:p>
    <w:p>
      <w:pPr>
        <w:pStyle w:val="BodyText"/>
        <w:spacing w:before="65"/>
        <w:ind w:left="692"/>
      </w:pPr>
      <w:r>
        <w:t>5、工期要求：施工绝对日历工期 235 天。</w:t>
      </w:r>
    </w:p>
    <w:p>
      <w:pPr>
        <w:pStyle w:val="BodyText"/>
        <w:spacing w:line="364" w:lineRule="auto"/>
        <w:ind w:right="1795"/>
      </w:pPr>
      <w:r>
        <w:t>6</w:t>
      </w:r>
      <w:r>
        <w:rPr>
          <w:spacing w:val="-15"/>
        </w:rPr>
        <w:t>、招标范围：沈阳市欧盟经济开发区零部件园工程内的道路</w:t>
      </w:r>
      <w:r>
        <w:t>工程</w:t>
      </w:r>
    </w:p>
    <w:p>
      <w:pPr>
        <w:pStyle w:val="Heading1"/>
        <w:spacing w:line="744" w:lineRule="exact"/>
        <w:ind w:left="2108"/>
      </w:pPr>
      <w:r>
        <w:t>第 三 章 施 工 准 备</w:t>
      </w:r>
    </w:p>
    <w:p>
      <w:pPr>
        <w:pStyle w:val="ListParagraph"/>
        <w:numPr>
          <w:ilvl w:val="0"/>
          <w:numId w:val="22"/>
        </w:numPr>
        <w:tabs>
          <w:tab w:val="left" w:pos="407"/>
        </w:tabs>
        <w:spacing w:before="206" w:after="0" w:line="388" w:lineRule="auto"/>
        <w:ind w:left="216" w:right="1874" w:firstLine="0"/>
        <w:jc w:val="both"/>
        <w:rPr>
          <w:sz w:val="30"/>
        </w:rPr>
      </w:pPr>
      <w:r>
        <w:rPr>
          <w:spacing w:val="-39"/>
          <w:sz w:val="30"/>
        </w:rPr>
        <w:t>、 施 工 前 建 设 单 位 和 施 工 单 位 会 同 有 关 地 下 管 线</w:t>
      </w:r>
      <w:r>
        <w:rPr>
          <w:spacing w:val="-44"/>
          <w:sz w:val="30"/>
        </w:rPr>
        <w:t>单 位 摸 清 地 下 管 线 情 况 ， 对 重 要 管 线 采 取 安 全 防 护</w:t>
      </w:r>
      <w:r>
        <w:rPr>
          <w:spacing w:val="-29"/>
          <w:sz w:val="30"/>
        </w:rPr>
        <w:t>措 施 。</w:t>
      </w:r>
    </w:p>
    <w:p>
      <w:pPr>
        <w:pStyle w:val="ListParagraph"/>
        <w:numPr>
          <w:ilvl w:val="0"/>
          <w:numId w:val="22"/>
        </w:numPr>
        <w:tabs>
          <w:tab w:val="left" w:pos="407"/>
        </w:tabs>
        <w:spacing w:before="4" w:after="0" w:line="388" w:lineRule="auto"/>
        <w:ind w:left="216" w:right="1874" w:firstLine="0"/>
        <w:jc w:val="both"/>
        <w:rPr>
          <w:sz w:val="30"/>
        </w:rPr>
      </w:pPr>
      <w:r>
        <w:rPr>
          <w:spacing w:val="-39"/>
          <w:sz w:val="30"/>
        </w:rPr>
        <w:t>、 项 目 部 组 织 有 关 技 术 人 员 熟 悉 图 纸 ， 进 行 有 关</w:t>
      </w:r>
      <w:r>
        <w:rPr>
          <w:spacing w:val="-33"/>
          <w:sz w:val="30"/>
        </w:rPr>
        <w:t>的 技 术 交 底 。</w:t>
      </w:r>
    </w:p>
    <w:p>
      <w:pPr>
        <w:pStyle w:val="ListParagraph"/>
        <w:numPr>
          <w:ilvl w:val="0"/>
          <w:numId w:val="22"/>
        </w:numPr>
        <w:tabs>
          <w:tab w:val="left" w:pos="407"/>
        </w:tabs>
        <w:spacing w:before="3" w:after="0" w:line="388" w:lineRule="auto"/>
        <w:ind w:left="216" w:right="1874" w:firstLine="0"/>
        <w:jc w:val="both"/>
        <w:rPr>
          <w:sz w:val="30"/>
        </w:rPr>
      </w:pPr>
      <w:r>
        <w:rPr>
          <w:spacing w:val="-39"/>
          <w:sz w:val="30"/>
        </w:rPr>
        <w:t>、 检 查 维 修 施 工 机 械 ， 做 到 性 能 良 好 ， 操 作 运 转</w:t>
      </w:r>
      <w:r>
        <w:rPr>
          <w:spacing w:val="-29"/>
          <w:sz w:val="30"/>
        </w:rPr>
        <w:t>正 常 。</w:t>
      </w:r>
    </w:p>
    <w:p>
      <w:pPr>
        <w:pStyle w:val="ListParagraph"/>
        <w:numPr>
          <w:ilvl w:val="0"/>
          <w:numId w:val="22"/>
        </w:numPr>
        <w:tabs>
          <w:tab w:val="left" w:pos="407"/>
        </w:tabs>
        <w:spacing w:before="2" w:after="0" w:line="388" w:lineRule="auto"/>
        <w:ind w:left="216" w:right="1874" w:firstLine="0"/>
        <w:jc w:val="both"/>
        <w:rPr>
          <w:sz w:val="30"/>
        </w:rPr>
      </w:pPr>
      <w:r>
        <w:rPr>
          <w:spacing w:val="-39"/>
          <w:sz w:val="30"/>
        </w:rPr>
        <w:t>、 进 行 市 场 材 料 调 查 ， 组 织 货 源 ， 做 好 进 场 准 工</w:t>
      </w:r>
      <w:r>
        <w:rPr>
          <w:spacing w:val="-24"/>
          <w:sz w:val="30"/>
        </w:rPr>
        <w:t>作 。</w:t>
      </w:r>
    </w:p>
    <w:p>
      <w:pPr>
        <w:pStyle w:val="Heading1"/>
        <w:spacing w:before="263"/>
        <w:ind w:left="1299"/>
      </w:pPr>
      <w:r>
        <w:t>第四章道路基层和面层施工</w:t>
      </w:r>
    </w:p>
    <w:p>
      <w:pPr>
        <w:pStyle w:val="BodyText"/>
        <w:spacing w:before="9"/>
        <w:ind w:left="0"/>
        <w:rPr>
          <w:rFonts w:ascii="Microsoft JhengHei"/>
          <w:b/>
          <w:sz w:val="28"/>
        </w:rPr>
      </w:pPr>
    </w:p>
    <w:p>
      <w:pPr>
        <w:pStyle w:val="BodyText"/>
        <w:spacing w:before="0"/>
        <w:ind w:left="3413"/>
      </w:pPr>
      <w:r>
        <w:t>壹、施工测量</w:t>
      </w:r>
    </w:p>
    <w:p>
      <w:pPr>
        <w:pStyle w:val="BodyText"/>
        <w:spacing w:before="0"/>
        <w:ind w:left="0"/>
        <w:rPr>
          <w:sz w:val="37"/>
        </w:rPr>
      </w:pPr>
    </w:p>
    <w:p>
      <w:pPr>
        <w:pStyle w:val="BodyText"/>
        <w:spacing w:before="0"/>
        <w:ind w:left="694"/>
      </w:pPr>
      <w:r>
        <w:t>壹、施工准备</w:t>
      </w:r>
    </w:p>
    <w:p>
      <w:pPr>
        <w:pStyle w:val="BodyText"/>
        <w:ind w:left="694"/>
      </w:pPr>
      <w:r>
        <w:t>1、测量人员及仪器的配备</w:t>
      </w:r>
    </w:p>
    <w:p>
      <w:pPr>
        <w:pStyle w:val="ListParagraph"/>
        <w:numPr>
          <w:ilvl w:val="1"/>
          <w:numId w:val="22"/>
        </w:numPr>
        <w:tabs>
          <w:tab w:val="left" w:pos="1176"/>
        </w:tabs>
        <w:spacing w:before="214" w:after="0" w:line="364" w:lineRule="auto"/>
        <w:ind w:left="216" w:right="1795" w:firstLine="478"/>
        <w:jc w:val="left"/>
        <w:rPr>
          <w:sz w:val="32"/>
        </w:rPr>
      </w:pPr>
      <w:r>
        <w:rPr>
          <w:spacing w:val="-3"/>
          <w:sz w:val="32"/>
        </w:rPr>
        <w:t>人员配备：项目部设立专人测量，由技术负责人直接</w:t>
      </w:r>
      <w:r>
        <w:rPr>
          <w:sz w:val="32"/>
        </w:rPr>
        <w:t>领导，对全项目测量工作负全责。</w:t>
      </w:r>
    </w:p>
    <w:p>
      <w:pPr>
        <w:pStyle w:val="ListParagraph"/>
        <w:numPr>
          <w:ilvl w:val="1"/>
          <w:numId w:val="22"/>
        </w:numPr>
        <w:tabs>
          <w:tab w:val="left" w:pos="1176"/>
        </w:tabs>
        <w:spacing w:before="2" w:after="0" w:line="240" w:lineRule="auto"/>
        <w:ind w:left="1176" w:right="0" w:hanging="482"/>
        <w:jc w:val="left"/>
        <w:rPr>
          <w:sz w:val="32"/>
        </w:rPr>
      </w:pPr>
      <w:r>
        <w:rPr>
          <w:spacing w:val="-5"/>
          <w:sz w:val="32"/>
        </w:rPr>
        <w:t xml:space="preserve">测量仪器配备：全站仪 </w:t>
      </w:r>
      <w:r>
        <w:rPr>
          <w:sz w:val="32"/>
        </w:rPr>
        <w:t>1</w:t>
      </w:r>
      <w:r>
        <w:rPr>
          <w:spacing w:val="-21"/>
          <w:sz w:val="32"/>
        </w:rPr>
        <w:t xml:space="preserve"> 台，水准仪 </w:t>
      </w:r>
      <w:r>
        <w:rPr>
          <w:sz w:val="32"/>
        </w:rPr>
        <w:t>2</w:t>
      </w:r>
      <w:r>
        <w:rPr>
          <w:spacing w:val="-26"/>
          <w:sz w:val="32"/>
        </w:rPr>
        <w:t xml:space="preserve"> 台，</w:t>
      </w:r>
      <w:r>
        <w:rPr>
          <w:sz w:val="32"/>
        </w:rPr>
        <w:t>50m</w:t>
      </w:r>
      <w:r>
        <w:rPr>
          <w:spacing w:val="-26"/>
          <w:sz w:val="32"/>
        </w:rPr>
        <w:t xml:space="preserve"> 钢卷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top="1480" w:right="0" w:bottom="280" w:left="1580" w:header="708" w:footer="708"/>
          <w:pgNumType w:start="4"/>
          <w:cols w:space="708"/>
        </w:sectPr>
      </w:pPr>
    </w:p>
    <w:p>
      <w:pPr>
        <w:pStyle w:val="BodyText"/>
        <w:spacing w:before="65" w:line="364" w:lineRule="auto"/>
        <w:ind w:right="1795"/>
        <w:jc w:val="both"/>
      </w:pPr>
      <w:r>
        <w:rPr>
          <w:spacing w:val="-40"/>
        </w:rPr>
        <w:t xml:space="preserve">尺 </w:t>
      </w:r>
      <w:r>
        <w:t>2</w:t>
      </w:r>
      <w:r>
        <w:rPr>
          <w:spacing w:val="-24"/>
        </w:rPr>
        <w:t xml:space="preserve"> 把，铝合金塔尺 </w:t>
      </w:r>
      <w:r>
        <w:t>2</w:t>
      </w:r>
      <w:r>
        <w:rPr>
          <w:spacing w:val="-30"/>
        </w:rPr>
        <w:t xml:space="preserve"> 把，</w:t>
      </w:r>
      <w:r>
        <w:rPr>
          <w:spacing w:val="-10"/>
        </w:rPr>
        <w:t>5m</w:t>
      </w:r>
      <w:r>
        <w:rPr>
          <w:spacing w:val="-33"/>
        </w:rPr>
        <w:t xml:space="preserve"> 钢卷尺 </w:t>
      </w:r>
      <w:r>
        <w:t>5</w:t>
      </w:r>
      <w:r>
        <w:rPr>
          <w:spacing w:val="-15"/>
        </w:rPr>
        <w:t xml:space="preserve"> 把。所使用测量仪器</w:t>
      </w:r>
      <w:r>
        <w:rPr>
          <w:spacing w:val="-3"/>
        </w:rPr>
        <w:t>均需经过专业检测部门检定，且在标定的有效期内，检定合格证的复印件交监理单位壹份，现场自存壹份，使用的仪器</w:t>
      </w:r>
      <w:r>
        <w:t>设立计量台帐。</w:t>
      </w:r>
    </w:p>
    <w:p>
      <w:pPr>
        <w:pStyle w:val="BodyText"/>
        <w:spacing w:before="3"/>
        <w:ind w:left="694"/>
      </w:pPr>
      <w:r>
        <w:t>2、平面控制网</w:t>
      </w:r>
    </w:p>
    <w:p>
      <w:pPr>
        <w:pStyle w:val="ListParagraph"/>
        <w:numPr>
          <w:ilvl w:val="0"/>
          <w:numId w:val="21"/>
        </w:numPr>
        <w:tabs>
          <w:tab w:val="left" w:pos="1176"/>
        </w:tabs>
        <w:spacing w:before="214" w:after="0" w:line="240" w:lineRule="auto"/>
        <w:ind w:left="1176" w:right="0" w:hanging="482"/>
        <w:jc w:val="left"/>
        <w:rPr>
          <w:sz w:val="32"/>
        </w:rPr>
      </w:pPr>
      <w:r>
        <w:rPr>
          <w:spacing w:val="29"/>
          <w:sz w:val="32"/>
        </w:rPr>
        <w:t>依据中华人民共和国国家标准《工程测量规范》</w:t>
      </w:r>
    </w:p>
    <w:p>
      <w:pPr>
        <w:pStyle w:val="BodyText"/>
        <w:spacing w:line="364" w:lineRule="auto"/>
        <w:ind w:right="1795"/>
        <w:jc w:val="both"/>
      </w:pPr>
      <w:r>
        <w:t>（GB50026-93）</w:t>
      </w:r>
      <w:r>
        <w:rPr>
          <w:spacing w:val="-1"/>
        </w:rPr>
        <w:t>、招标文件中对测量精度要求，建立场区平</w:t>
      </w:r>
      <w:r>
        <w:rPr>
          <w:spacing w:val="-3"/>
        </w:rPr>
        <w:t>面控制网，目的主要是加密各高级导线点，以满足施工测量</w:t>
      </w:r>
      <w:r>
        <w:t>的平面控制的需要。</w:t>
      </w:r>
    </w:p>
    <w:p>
      <w:pPr>
        <w:pStyle w:val="ListParagraph"/>
        <w:numPr>
          <w:ilvl w:val="0"/>
          <w:numId w:val="21"/>
        </w:numPr>
        <w:tabs>
          <w:tab w:val="left" w:pos="1176"/>
        </w:tabs>
        <w:spacing w:before="3" w:after="0" w:line="364" w:lineRule="auto"/>
        <w:ind w:left="216" w:right="1795" w:firstLine="478"/>
        <w:jc w:val="both"/>
        <w:rPr>
          <w:sz w:val="32"/>
        </w:rPr>
      </w:pPr>
      <w:r>
        <w:rPr>
          <w:spacing w:val="1"/>
          <w:sz w:val="32"/>
        </w:rPr>
        <w:t xml:space="preserve">控制导线网测设所用仪器为愽飞 </w:t>
      </w:r>
      <w:r>
        <w:rPr>
          <w:sz w:val="32"/>
        </w:rPr>
        <w:t>FTS512</w:t>
      </w:r>
      <w:r>
        <w:rPr>
          <w:spacing w:val="-10"/>
          <w:sz w:val="32"/>
        </w:rPr>
        <w:t xml:space="preserve"> 型全站仪， </w:t>
      </w:r>
      <w:r>
        <w:rPr>
          <w:spacing w:val="5"/>
          <w:w w:val="95"/>
          <w:sz w:val="32"/>
        </w:rPr>
        <w:t>其精度为测角精度±</w:t>
      </w:r>
      <w:r>
        <w:rPr>
          <w:spacing w:val="3"/>
          <w:w w:val="95"/>
          <w:sz w:val="32"/>
        </w:rPr>
        <w:t>2"</w:t>
      </w:r>
      <w:r>
        <w:rPr>
          <w:spacing w:val="2"/>
          <w:w w:val="95"/>
          <w:sz w:val="32"/>
        </w:rPr>
        <w:t>，测距精度:棱镜±</w:t>
      </w:r>
      <w:r>
        <w:rPr>
          <w:w w:val="95"/>
          <w:sz w:val="32"/>
        </w:rPr>
        <w:t xml:space="preserve">（2mm+2ppm×D）， </w:t>
      </w:r>
      <w:r>
        <w:rPr>
          <w:sz w:val="32"/>
        </w:rPr>
        <w:t>反射片±（4mm+3ppm×D）。</w:t>
      </w:r>
    </w:p>
    <w:p>
      <w:pPr>
        <w:pStyle w:val="ListParagraph"/>
        <w:numPr>
          <w:ilvl w:val="0"/>
          <w:numId w:val="21"/>
        </w:numPr>
        <w:tabs>
          <w:tab w:val="left" w:pos="1176"/>
        </w:tabs>
        <w:spacing w:before="2" w:after="0" w:line="364" w:lineRule="auto"/>
        <w:ind w:left="216" w:right="1631" w:firstLine="478"/>
        <w:jc w:val="left"/>
        <w:rPr>
          <w:sz w:val="32"/>
        </w:rPr>
      </w:pPr>
      <w:r>
        <w:rPr>
          <w:spacing w:val="-14"/>
          <w:sz w:val="32"/>
        </w:rPr>
        <w:t>施工前由测量人员对业主、测绘院提供的平面坐标点、</w:t>
      </w:r>
      <w:r>
        <w:rPr>
          <w:sz w:val="32"/>
        </w:rPr>
        <w:t>高程点进行复测，且对场区内的现况地面标高统壹复测。</w:t>
      </w:r>
    </w:p>
    <w:p>
      <w:pPr>
        <w:pStyle w:val="ListParagraph"/>
        <w:numPr>
          <w:ilvl w:val="0"/>
          <w:numId w:val="21"/>
        </w:numPr>
        <w:tabs>
          <w:tab w:val="left" w:pos="1176"/>
        </w:tabs>
        <w:spacing w:before="2" w:after="0" w:line="364" w:lineRule="auto"/>
        <w:ind w:left="216" w:right="1795" w:firstLine="478"/>
        <w:jc w:val="both"/>
        <w:rPr>
          <w:sz w:val="32"/>
        </w:rPr>
      </w:pPr>
      <w:r>
        <w:rPr>
          <w:spacing w:val="-14"/>
          <w:sz w:val="32"/>
        </w:rPr>
        <w:t xml:space="preserve">在道路起点 </w:t>
      </w:r>
      <w:r>
        <w:rPr>
          <w:sz w:val="32"/>
        </w:rPr>
        <w:t>0+000</w:t>
      </w:r>
      <w:r>
        <w:rPr>
          <w:spacing w:val="-11"/>
          <w:sz w:val="32"/>
        </w:rPr>
        <w:t xml:space="preserve"> 沿道路方向左侧红线外利用全站仪</w:t>
      </w:r>
      <w:r>
        <w:rPr>
          <w:spacing w:val="-3"/>
          <w:sz w:val="32"/>
        </w:rPr>
        <w:t>布设壹闭合导线，作为以后施工的首级控制点。施工测量平</w:t>
      </w:r>
      <w:r>
        <w:rPr>
          <w:sz w:val="32"/>
        </w:rPr>
        <w:t>面控制网，导线技术指标按壹级导线要求执行（</w:t>
      </w:r>
      <w:r>
        <w:rPr>
          <w:spacing w:val="-6"/>
          <w:sz w:val="32"/>
        </w:rPr>
        <w:t>即：导线边</w:t>
      </w:r>
      <w:r>
        <w:rPr>
          <w:spacing w:val="8"/>
          <w:sz w:val="32"/>
        </w:rPr>
        <w:t>长≤</w:t>
      </w:r>
      <w:r>
        <w:rPr>
          <w:spacing w:val="4"/>
          <w:sz w:val="32"/>
        </w:rPr>
        <w:t>300m</w:t>
      </w:r>
      <w:r>
        <w:rPr>
          <w:spacing w:val="-1"/>
          <w:sz w:val="32"/>
        </w:rPr>
        <w:t xml:space="preserve">，方位角闭合差为 </w:t>
      </w:r>
      <w:r>
        <w:rPr>
          <w:sz w:val="32"/>
        </w:rPr>
        <w:t>10n1</w:t>
      </w:r>
      <w:r>
        <w:rPr>
          <w:spacing w:val="-49"/>
          <w:sz w:val="32"/>
        </w:rPr>
        <w:t xml:space="preserve"> 及 </w:t>
      </w:r>
      <w:r>
        <w:rPr>
          <w:spacing w:val="6"/>
          <w:sz w:val="32"/>
        </w:rPr>
        <w:t>2</w:t>
      </w:r>
      <w:r>
        <w:rPr>
          <w:spacing w:val="9"/>
          <w:sz w:val="32"/>
        </w:rPr>
        <w:t>，相对闭合差≤</w:t>
      </w:r>
      <w:r>
        <w:rPr>
          <w:spacing w:val="6"/>
          <w:sz w:val="32"/>
        </w:rPr>
        <w:t>1</w:t>
      </w:r>
      <w:r>
        <w:rPr>
          <w:spacing w:val="-40"/>
          <w:sz w:val="32"/>
        </w:rPr>
        <w:t xml:space="preserve"> 及15000）。</w:t>
      </w:r>
    </w:p>
    <w:p>
      <w:pPr>
        <w:pStyle w:val="ListParagraph"/>
        <w:numPr>
          <w:ilvl w:val="0"/>
          <w:numId w:val="21"/>
        </w:numPr>
        <w:tabs>
          <w:tab w:val="left" w:pos="1176"/>
        </w:tabs>
        <w:spacing w:before="4" w:after="0" w:line="364" w:lineRule="auto"/>
        <w:ind w:left="216" w:right="1631" w:firstLine="478"/>
        <w:jc w:val="left"/>
        <w:rPr>
          <w:sz w:val="32"/>
        </w:rPr>
      </w:pPr>
      <w:r>
        <w:rPr>
          <w:spacing w:val="-12"/>
          <w:sz w:val="32"/>
        </w:rPr>
        <w:t>控制点的选择考虑便于长期保存，即要满足精度要求、</w:t>
      </w:r>
      <w:r>
        <w:rPr>
          <w:spacing w:val="-2"/>
          <w:sz w:val="32"/>
        </w:rPr>
        <w:t>分布均匀方便施工，仍要考虑加密控制点的布设，对于重点</w:t>
      </w:r>
      <w:r>
        <w:rPr>
          <w:spacing w:val="11"/>
          <w:sz w:val="32"/>
        </w:rPr>
        <w:t>平面控制点及高程控制点采用浇筑混凝土墩进行加固保护</w:t>
      </w:r>
    </w:p>
    <w:p>
      <w:pPr>
        <w:spacing w:after="0" w:line="364" w:lineRule="auto"/>
        <w:jc w:val="left"/>
        <w:rPr>
          <w:sz w:val="32"/>
        </w:rPr>
        <w:sectPr>
          <w:pgSz w:w="11910" w:h="16840"/>
          <w:pgMar w:top="1480" w:right="0" w:bottom="280" w:left="1580" w:header="708" w:footer="708"/>
          <w:pgNumType w:start="5"/>
          <w:cols w:space="708"/>
        </w:sectPr>
      </w:pPr>
    </w:p>
    <w:p>
      <w:pPr>
        <w:pStyle w:val="BodyText"/>
        <w:spacing w:before="65" w:line="364" w:lineRule="auto"/>
        <w:ind w:right="1635"/>
        <w:jc w:val="both"/>
      </w:pPr>
      <w:r>
        <w:rPr>
          <w:spacing w:val="7"/>
        </w:rPr>
        <w:t>（</w:t>
      </w:r>
      <w:r>
        <w:rPr>
          <w:spacing w:val="-8"/>
        </w:rPr>
        <w:t xml:space="preserve">混凝土墩深 </w:t>
      </w:r>
      <w:r>
        <w:rPr>
          <w:spacing w:val="2"/>
        </w:rPr>
        <w:t>1m</w:t>
      </w:r>
      <w:r>
        <w:rPr>
          <w:spacing w:val="-9"/>
        </w:rPr>
        <w:t xml:space="preserve">，长和宽各 </w:t>
      </w:r>
      <w:r>
        <w:rPr>
          <w:spacing w:val="2"/>
        </w:rPr>
        <w:t>0.6m），</w:t>
      </w:r>
      <w:r>
        <w:rPr>
          <w:spacing w:val="6"/>
        </w:rPr>
        <w:t>且设立警示牌。控制</w:t>
      </w:r>
      <w:r>
        <w:rPr>
          <w:spacing w:val="-2"/>
        </w:rPr>
        <w:t>点每月进行复测壹次，遇有特殊天气，大风、雨过后加测壹</w:t>
      </w:r>
      <w:r>
        <w:rPr>
          <w:spacing w:val="-15"/>
        </w:rPr>
        <w:t>次，检查控制点的变化情况，如有异常及时予以调整或平差。</w:t>
      </w:r>
    </w:p>
    <w:p>
      <w:pPr>
        <w:pStyle w:val="ListParagraph"/>
        <w:numPr>
          <w:ilvl w:val="0"/>
          <w:numId w:val="23"/>
        </w:numPr>
        <w:tabs>
          <w:tab w:val="left" w:pos="1176"/>
        </w:tabs>
        <w:spacing w:before="2" w:after="0" w:line="364" w:lineRule="auto"/>
        <w:ind w:left="216" w:right="1795" w:firstLine="478"/>
        <w:jc w:val="both"/>
        <w:rPr>
          <w:sz w:val="32"/>
        </w:rPr>
      </w:pPr>
      <w:r>
        <w:rPr>
          <w:spacing w:val="-2"/>
          <w:sz w:val="32"/>
        </w:rPr>
        <w:t>随着工程各项工作的进壹步展开，为了更好的控制各</w:t>
      </w:r>
      <w:r>
        <w:rPr>
          <w:spacing w:val="-3"/>
          <w:sz w:val="32"/>
        </w:rPr>
        <w:t>构筑物的平面位置，在首级控制点的基础上，进行加密控制点的布设。加密点布设成闭合导线和附合导线，且且加密点</w:t>
      </w:r>
      <w:r>
        <w:rPr>
          <w:sz w:val="32"/>
        </w:rPr>
        <w:t>要随时和首级控制点进行校核。</w:t>
      </w:r>
    </w:p>
    <w:p>
      <w:pPr>
        <w:pStyle w:val="ListParagraph"/>
        <w:numPr>
          <w:ilvl w:val="0"/>
          <w:numId w:val="23"/>
        </w:numPr>
        <w:tabs>
          <w:tab w:val="left" w:pos="1176"/>
        </w:tabs>
        <w:spacing w:before="4" w:after="0" w:line="364" w:lineRule="auto"/>
        <w:ind w:left="216" w:right="1795" w:firstLine="478"/>
        <w:jc w:val="left"/>
        <w:rPr>
          <w:sz w:val="32"/>
        </w:rPr>
      </w:pPr>
      <w:r>
        <w:rPr>
          <w:spacing w:val="12"/>
          <w:sz w:val="32"/>
        </w:rPr>
        <w:t>所有内业成果报监理工程师审批后方可投入工程使</w:t>
      </w:r>
      <w:r>
        <w:rPr>
          <w:sz w:val="32"/>
        </w:rPr>
        <w:t>用。</w:t>
      </w:r>
    </w:p>
    <w:p>
      <w:pPr>
        <w:pStyle w:val="BodyText"/>
        <w:spacing w:before="1"/>
        <w:ind w:left="694"/>
      </w:pPr>
      <w:r>
        <w:t>3、高程控制网</w:t>
      </w:r>
    </w:p>
    <w:p>
      <w:pPr>
        <w:pStyle w:val="ListParagraph"/>
        <w:numPr>
          <w:ilvl w:val="0"/>
          <w:numId w:val="20"/>
        </w:numPr>
        <w:tabs>
          <w:tab w:val="left" w:pos="1176"/>
        </w:tabs>
        <w:spacing w:before="214" w:after="0" w:line="364" w:lineRule="auto"/>
        <w:ind w:left="216" w:right="1795" w:firstLine="478"/>
        <w:jc w:val="both"/>
        <w:rPr>
          <w:sz w:val="32"/>
        </w:rPr>
      </w:pPr>
      <w:r>
        <w:rPr>
          <w:spacing w:val="-2"/>
          <w:sz w:val="32"/>
        </w:rPr>
        <w:t>高程控制和平面控制同步进行，待复测测绘院提供的高程控制点经监理工程师审批后，按二等水准技术要求将高</w:t>
      </w:r>
      <w:r>
        <w:rPr>
          <w:sz w:val="32"/>
        </w:rPr>
        <w:t>程传至各个平面坐标点上。</w:t>
      </w:r>
    </w:p>
    <w:p>
      <w:pPr>
        <w:pStyle w:val="ListParagraph"/>
        <w:numPr>
          <w:ilvl w:val="0"/>
          <w:numId w:val="20"/>
        </w:numPr>
        <w:tabs>
          <w:tab w:val="left" w:pos="1176"/>
        </w:tabs>
        <w:spacing w:before="3" w:after="0" w:line="364" w:lineRule="auto"/>
        <w:ind w:left="216" w:right="1795" w:firstLine="478"/>
        <w:jc w:val="both"/>
        <w:rPr>
          <w:sz w:val="32"/>
        </w:rPr>
      </w:pPr>
      <w:r>
        <w:rPr>
          <w:spacing w:val="-2"/>
          <w:sz w:val="32"/>
        </w:rPr>
        <w:t>结合本工程的实际情况，在施工过程中可建立临时水</w:t>
      </w:r>
      <w:r>
        <w:rPr>
          <w:spacing w:val="-4"/>
          <w:sz w:val="32"/>
        </w:rPr>
        <w:t>准点。临时水准点选在牢固且不易破坏的地方，当施工过程</w:t>
      </w:r>
      <w:r>
        <w:rPr>
          <w:spacing w:val="-3"/>
          <w:sz w:val="32"/>
        </w:rPr>
        <w:t>中水准点不得不被破坏时，及时将其引测至稳固的地方，保</w:t>
      </w:r>
      <w:r>
        <w:rPr>
          <w:sz w:val="32"/>
        </w:rPr>
        <w:t>证精度和原有水准点等级相同。</w:t>
      </w:r>
    </w:p>
    <w:p>
      <w:pPr>
        <w:pStyle w:val="ListParagraph"/>
        <w:numPr>
          <w:ilvl w:val="0"/>
          <w:numId w:val="20"/>
        </w:numPr>
        <w:tabs>
          <w:tab w:val="left" w:pos="1176"/>
        </w:tabs>
        <w:spacing w:before="3" w:after="0" w:line="364" w:lineRule="auto"/>
        <w:ind w:left="216" w:right="1795" w:firstLine="478"/>
        <w:jc w:val="left"/>
        <w:rPr>
          <w:sz w:val="32"/>
        </w:rPr>
      </w:pPr>
      <w:r>
        <w:rPr>
          <w:spacing w:val="-3"/>
          <w:sz w:val="32"/>
        </w:rPr>
        <w:t>施工过程中，在使用任何水准点前必须进行复测，检</w:t>
      </w:r>
      <w:r>
        <w:rPr>
          <w:sz w:val="32"/>
        </w:rPr>
        <w:t>查水准点是否可靠。</w:t>
      </w:r>
    </w:p>
    <w:p>
      <w:pPr>
        <w:pStyle w:val="BodyText"/>
        <w:spacing w:before="1"/>
        <w:ind w:left="694"/>
      </w:pPr>
      <w:r>
        <w:t>二、施工前的测量</w:t>
      </w:r>
    </w:p>
    <w:p>
      <w:pPr>
        <w:pStyle w:val="BodyText"/>
        <w:ind w:left="536"/>
      </w:pPr>
      <w:r>
        <w:t>（壹）导线、中线复测和固定</w:t>
      </w:r>
    </w:p>
    <w:p>
      <w:pPr>
        <w:pStyle w:val="BodyText"/>
        <w:ind w:left="536"/>
      </w:pPr>
      <w:r>
        <w:t>1、目的：是为了判断控制点坐标成果的可靠性。</w:t>
      </w:r>
    </w:p>
    <w:p>
      <w:pPr>
        <w:spacing w:after="0"/>
        <w:sectPr>
          <w:pgSz w:w="11910" w:h="16840"/>
          <w:pgMar w:top="1480" w:right="0" w:bottom="280" w:left="1580" w:header="708" w:footer="708"/>
          <w:pgNumType w:start="6"/>
          <w:cols w:space="708"/>
        </w:sectPr>
      </w:pPr>
    </w:p>
    <w:p>
      <w:pPr>
        <w:pStyle w:val="BodyText"/>
        <w:spacing w:before="65" w:line="364" w:lineRule="auto"/>
        <w:ind w:right="1795" w:firstLine="320"/>
        <w:jc w:val="both"/>
      </w:pPr>
      <w:r>
        <w:t>2</w:t>
      </w:r>
      <w:r>
        <w:rPr>
          <w:spacing w:val="5"/>
        </w:rPr>
        <w:t>、方法：用全站仪对施工作业段内第壹个导线点测得其</w:t>
      </w:r>
      <w:r>
        <w:rPr>
          <w:spacing w:val="-2"/>
        </w:rPr>
        <w:t>坐标资料，计算偏差值成果，如果符合规范要求便能够作为</w:t>
      </w:r>
      <w:r>
        <w:t>坐标控制点使用，同时将成果报送监理。</w:t>
      </w:r>
    </w:p>
    <w:p>
      <w:pPr>
        <w:pStyle w:val="BodyText"/>
        <w:spacing w:before="2"/>
        <w:ind w:left="536"/>
      </w:pPr>
      <w:r>
        <w:t>3、过程：</w:t>
      </w:r>
    </w:p>
    <w:p>
      <w:pPr>
        <w:pStyle w:val="ListParagraph"/>
        <w:numPr>
          <w:ilvl w:val="0"/>
          <w:numId w:val="19"/>
        </w:numPr>
        <w:tabs>
          <w:tab w:val="left" w:pos="1351"/>
        </w:tabs>
        <w:spacing w:before="214" w:after="0" w:line="364" w:lineRule="auto"/>
        <w:ind w:left="216" w:right="1795" w:firstLine="320"/>
        <w:jc w:val="left"/>
        <w:rPr>
          <w:sz w:val="32"/>
        </w:rPr>
      </w:pPr>
      <w:r>
        <w:rPr>
          <w:spacing w:val="5"/>
          <w:sz w:val="32"/>
        </w:rPr>
        <w:t>导线复测是把控制路线中线的各导线点在地上重新钉出。</w:t>
      </w:r>
    </w:p>
    <w:p>
      <w:pPr>
        <w:pStyle w:val="ListParagraph"/>
        <w:numPr>
          <w:ilvl w:val="0"/>
          <w:numId w:val="19"/>
        </w:numPr>
        <w:tabs>
          <w:tab w:val="left" w:pos="1351"/>
        </w:tabs>
        <w:spacing w:before="2" w:after="0" w:line="364" w:lineRule="auto"/>
        <w:ind w:left="216" w:right="1795" w:firstLine="320"/>
        <w:jc w:val="both"/>
        <w:rPr>
          <w:sz w:val="32"/>
        </w:rPr>
      </w:pPr>
      <w:r>
        <w:rPr>
          <w:spacing w:val="5"/>
          <w:sz w:val="32"/>
        </w:rPr>
        <w:t>中线复测是把标定路线平面位置的各点在地面上重</w:t>
      </w:r>
      <w:r>
        <w:rPr>
          <w:spacing w:val="-3"/>
          <w:sz w:val="32"/>
        </w:rPr>
        <w:t>新钉出，在平曲线上、地形有变化处加钉桩，且复核路线长</w:t>
      </w:r>
      <w:r>
        <w:rPr>
          <w:sz w:val="32"/>
        </w:rPr>
        <w:t>度。</w:t>
      </w:r>
    </w:p>
    <w:p>
      <w:pPr>
        <w:pStyle w:val="ListParagraph"/>
        <w:numPr>
          <w:ilvl w:val="0"/>
          <w:numId w:val="19"/>
        </w:numPr>
        <w:tabs>
          <w:tab w:val="left" w:pos="1351"/>
        </w:tabs>
        <w:spacing w:before="2" w:after="0" w:line="364" w:lineRule="auto"/>
        <w:ind w:left="216" w:right="1795" w:firstLine="320"/>
        <w:jc w:val="both"/>
        <w:rPr>
          <w:sz w:val="32"/>
        </w:rPr>
      </w:pPr>
      <w:r>
        <w:rPr>
          <w:spacing w:val="5"/>
          <w:sz w:val="32"/>
        </w:rPr>
        <w:t>位于路基范围内的桩因施工无法保留时，应另用桩</w:t>
      </w:r>
      <w:r>
        <w:rPr>
          <w:spacing w:val="-1"/>
          <w:sz w:val="32"/>
        </w:rPr>
        <w:t>志移钉于路基范围之外，在移钉的桩上和记录中应注明桩号</w:t>
      </w:r>
      <w:r>
        <w:rPr>
          <w:sz w:val="32"/>
        </w:rPr>
        <w:t>及移钉距离。</w:t>
      </w:r>
    </w:p>
    <w:p>
      <w:pPr>
        <w:pStyle w:val="ListParagraph"/>
        <w:numPr>
          <w:ilvl w:val="0"/>
          <w:numId w:val="19"/>
        </w:numPr>
        <w:tabs>
          <w:tab w:val="left" w:pos="1338"/>
        </w:tabs>
        <w:spacing w:before="3" w:after="0" w:line="240" w:lineRule="auto"/>
        <w:ind w:left="1338" w:right="0" w:hanging="802"/>
        <w:jc w:val="left"/>
        <w:rPr>
          <w:sz w:val="32"/>
        </w:rPr>
      </w:pPr>
      <w:r>
        <w:rPr>
          <w:sz w:val="32"/>
        </w:rPr>
        <w:t>在所需固定的桩点附近设置保护桩。</w:t>
      </w:r>
    </w:p>
    <w:p>
      <w:pPr>
        <w:pStyle w:val="BodyText"/>
        <w:ind w:left="536"/>
      </w:pPr>
      <w:r>
        <w:t>（二）水准点的校核</w:t>
      </w:r>
    </w:p>
    <w:p>
      <w:pPr>
        <w:pStyle w:val="BodyText"/>
        <w:ind w:left="536"/>
      </w:pPr>
      <w:r>
        <w:t>1、目的：是为了判断水准点高程成果的可靠性。</w:t>
      </w:r>
    </w:p>
    <w:p>
      <w:pPr>
        <w:pStyle w:val="BodyText"/>
        <w:spacing w:line="364" w:lineRule="auto"/>
        <w:ind w:right="1795" w:firstLine="320"/>
        <w:jc w:val="both"/>
      </w:pPr>
      <w:r>
        <w:t>2</w:t>
      </w:r>
      <w:r>
        <w:rPr>
          <w:spacing w:val="5"/>
        </w:rPr>
        <w:t>、方法：用水准仪对作业段内第壹个水准点进行高程复</w:t>
      </w:r>
      <w:r>
        <w:rPr>
          <w:spacing w:val="-2"/>
        </w:rPr>
        <w:t>测，得到各个点的偏差值，如果符合规范要求便能够作为高</w:t>
      </w:r>
      <w:r>
        <w:t>程控制点使用，同时将成果报送监理。</w:t>
      </w:r>
    </w:p>
    <w:p>
      <w:pPr>
        <w:pStyle w:val="BodyText"/>
        <w:spacing w:before="2"/>
        <w:ind w:left="536"/>
      </w:pPr>
      <w:r>
        <w:t>3、过程：</w:t>
      </w:r>
    </w:p>
    <w:p>
      <w:pPr>
        <w:pStyle w:val="BodyText"/>
        <w:spacing w:line="364" w:lineRule="auto"/>
        <w:ind w:right="1795"/>
        <w:jc w:val="both"/>
      </w:pPr>
      <w:r>
        <w:rPr>
          <w:spacing w:val="-3"/>
        </w:rPr>
        <w:t>中线恢复后，对沿线的水准点作复核性水准测量，以复核水</w:t>
      </w:r>
      <w:r>
        <w:rPr>
          <w:spacing w:val="-2"/>
        </w:rPr>
        <w:t>准点壹览表中各点的水准基点高程和中桩的地面高程，且加</w:t>
      </w:r>
      <w:r>
        <w:t>设临时水准点。</w:t>
      </w:r>
    </w:p>
    <w:p>
      <w:pPr>
        <w:spacing w:after="0" w:line="364" w:lineRule="auto"/>
        <w:jc w:val="both"/>
        <w:sectPr>
          <w:pgSz w:w="11910" w:h="16840"/>
          <w:pgMar w:top="1480" w:right="0" w:bottom="280" w:left="1580" w:header="708" w:footer="708"/>
          <w:pgNumType w:start="7"/>
          <w:cols w:space="708"/>
        </w:sectPr>
      </w:pPr>
    </w:p>
    <w:p>
      <w:pPr>
        <w:pStyle w:val="BodyText"/>
        <w:spacing w:before="65"/>
        <w:ind w:left="694"/>
      </w:pPr>
      <w:r>
        <w:t>三、施工中的测量</w:t>
      </w:r>
    </w:p>
    <w:p>
      <w:pPr>
        <w:pStyle w:val="BodyText"/>
        <w:ind w:left="694"/>
      </w:pPr>
      <w:r>
        <w:t>1、道路控制</w:t>
      </w:r>
    </w:p>
    <w:p>
      <w:pPr>
        <w:pStyle w:val="ListParagraph"/>
        <w:numPr>
          <w:ilvl w:val="1"/>
          <w:numId w:val="19"/>
        </w:numPr>
        <w:tabs>
          <w:tab w:val="left" w:pos="1176"/>
        </w:tabs>
        <w:spacing w:before="214" w:after="0" w:line="364" w:lineRule="auto"/>
        <w:ind w:left="216" w:right="1795" w:firstLine="478"/>
        <w:jc w:val="both"/>
        <w:rPr>
          <w:sz w:val="32"/>
        </w:rPr>
      </w:pPr>
      <w:r>
        <w:rPr>
          <w:spacing w:val="-1"/>
          <w:sz w:val="32"/>
        </w:rPr>
        <w:t>、采用高程控制点直接对道路进行控制，如较远可适</w:t>
      </w:r>
      <w:r>
        <w:rPr>
          <w:spacing w:val="-3"/>
          <w:sz w:val="32"/>
        </w:rPr>
        <w:t>当加密，加密水准点时采用附合导线，用水准仪往返观测各</w:t>
      </w:r>
      <w:r>
        <w:rPr>
          <w:spacing w:val="2"/>
          <w:sz w:val="32"/>
        </w:rPr>
        <w:t>壹次，往返误差不得大于±</w:t>
      </w:r>
      <w:r>
        <w:rPr>
          <w:sz w:val="32"/>
        </w:rPr>
        <w:t>12L1</w:t>
      </w:r>
      <w:r>
        <w:rPr>
          <w:spacing w:val="-73"/>
          <w:sz w:val="32"/>
        </w:rPr>
        <w:t xml:space="preserve"> 及 </w:t>
      </w:r>
      <w:r>
        <w:rPr>
          <w:sz w:val="32"/>
        </w:rPr>
        <w:t>2mm（L</w:t>
      </w:r>
      <w:r>
        <w:rPr>
          <w:spacing w:val="-27"/>
          <w:sz w:val="32"/>
        </w:rPr>
        <w:t xml:space="preserve"> 为路线长，以 </w:t>
      </w:r>
      <w:r>
        <w:rPr>
          <w:sz w:val="32"/>
        </w:rPr>
        <w:t>km 计）。精度合格后，作为线路高程控制点。</w:t>
      </w:r>
    </w:p>
    <w:p>
      <w:pPr>
        <w:pStyle w:val="ListParagraph"/>
        <w:numPr>
          <w:ilvl w:val="1"/>
          <w:numId w:val="19"/>
        </w:numPr>
        <w:tabs>
          <w:tab w:val="left" w:pos="1176"/>
        </w:tabs>
        <w:spacing w:before="3" w:after="0" w:line="364" w:lineRule="auto"/>
        <w:ind w:left="216" w:right="1795" w:firstLine="478"/>
        <w:jc w:val="both"/>
        <w:rPr>
          <w:sz w:val="32"/>
        </w:rPr>
      </w:pPr>
      <w:r>
        <w:rPr>
          <w:spacing w:val="-1"/>
          <w:sz w:val="32"/>
        </w:rPr>
        <w:t>、路基施工时，用线路高程控制点在路基外侧实测高</w:t>
      </w:r>
      <w:r>
        <w:rPr>
          <w:spacing w:val="-11"/>
          <w:sz w:val="32"/>
        </w:rPr>
        <w:t xml:space="preserve">程控制木桩，每 </w:t>
      </w:r>
      <w:r>
        <w:rPr>
          <w:sz w:val="32"/>
        </w:rPr>
        <w:t>20m</w:t>
      </w:r>
      <w:r>
        <w:rPr>
          <w:spacing w:val="-11"/>
          <w:sz w:val="32"/>
        </w:rPr>
        <w:t xml:space="preserve"> 设置壹桩，路基的填、挖及各层结构施</w:t>
      </w:r>
      <w:r>
        <w:rPr>
          <w:spacing w:val="-4"/>
          <w:sz w:val="32"/>
        </w:rPr>
        <w:t>工时，以高程控制木桩为依据，复杂地段进行加密。高程控</w:t>
      </w:r>
      <w:r>
        <w:rPr>
          <w:sz w:val="32"/>
        </w:rPr>
        <w:t>制木桩定时复测。</w:t>
      </w:r>
    </w:p>
    <w:p>
      <w:pPr>
        <w:pStyle w:val="BodyText"/>
        <w:spacing w:before="3"/>
        <w:ind w:left="694"/>
      </w:pPr>
      <w:r>
        <w:t>2、道路中线控制</w:t>
      </w:r>
    </w:p>
    <w:p>
      <w:pPr>
        <w:pStyle w:val="ListParagraph"/>
        <w:numPr>
          <w:ilvl w:val="0"/>
          <w:numId w:val="18"/>
        </w:numPr>
        <w:tabs>
          <w:tab w:val="left" w:pos="1176"/>
        </w:tabs>
        <w:spacing w:before="214" w:after="0" w:line="364" w:lineRule="auto"/>
        <w:ind w:left="216" w:right="1795" w:firstLine="478"/>
        <w:jc w:val="both"/>
        <w:rPr>
          <w:sz w:val="32"/>
        </w:rPr>
      </w:pPr>
      <w:r>
        <w:rPr>
          <w:spacing w:val="-1"/>
          <w:sz w:val="32"/>
        </w:rPr>
        <w:t>、道路中线控制点，从平面控制点直接放样。如平面</w:t>
      </w:r>
      <w:r>
        <w:rPr>
          <w:spacing w:val="-3"/>
          <w:sz w:val="32"/>
        </w:rPr>
        <w:t>控制点间距较长时，在中间适当位置加放支点，加放支点时应用双极坐标串测。所加支点，每站测角时应采用全圆观测</w:t>
      </w:r>
      <w:r>
        <w:rPr>
          <w:spacing w:val="-4"/>
          <w:sz w:val="32"/>
        </w:rPr>
        <w:t>法，内外角各观测俩测回，结果取中数，距离在同壹站上观</w:t>
      </w:r>
      <w:r>
        <w:rPr>
          <w:sz w:val="32"/>
        </w:rPr>
        <w:t>测四次取平均数。</w:t>
      </w:r>
    </w:p>
    <w:p>
      <w:pPr>
        <w:pStyle w:val="ListParagraph"/>
        <w:numPr>
          <w:ilvl w:val="0"/>
          <w:numId w:val="18"/>
        </w:numPr>
        <w:tabs>
          <w:tab w:val="left" w:pos="1176"/>
        </w:tabs>
        <w:spacing w:before="4" w:after="0" w:line="364" w:lineRule="auto"/>
        <w:ind w:left="216" w:right="1635" w:firstLine="478"/>
        <w:jc w:val="left"/>
        <w:rPr>
          <w:sz w:val="32"/>
        </w:rPr>
      </w:pPr>
      <w:r>
        <w:rPr>
          <w:sz w:val="32"/>
        </w:rPr>
        <w:t>、道路中线控制点壹般控制线路的整桩号，桩号间距</w:t>
      </w:r>
      <w:r>
        <w:rPr>
          <w:spacing w:val="-10"/>
          <w:sz w:val="32"/>
        </w:rPr>
        <w:t xml:space="preserve">直线上不大于 </w:t>
      </w:r>
      <w:r>
        <w:rPr>
          <w:sz w:val="32"/>
        </w:rPr>
        <w:t>10m。中线控制点采用极坐标法放样，测设完</w:t>
      </w:r>
      <w:r>
        <w:rPr>
          <w:spacing w:val="-3"/>
          <w:sz w:val="32"/>
        </w:rPr>
        <w:t>毕后，将其中联成附合导线形式的线路中线，且进行线路中</w:t>
      </w:r>
      <w:r>
        <w:rPr>
          <w:spacing w:val="-16"/>
          <w:sz w:val="32"/>
        </w:rPr>
        <w:t xml:space="preserve">线测量。线路中线用全站仪施测，左右角各观测俩测回，左、右角平均之和和 </w:t>
      </w:r>
      <w:r>
        <w:rPr>
          <w:sz w:val="32"/>
        </w:rPr>
        <w:t>360°</w:t>
      </w:r>
      <w:r>
        <w:rPr>
          <w:spacing w:val="-20"/>
          <w:sz w:val="32"/>
        </w:rPr>
        <w:t xml:space="preserve">较差应小于 </w:t>
      </w:r>
      <w:r>
        <w:rPr>
          <w:sz w:val="32"/>
        </w:rPr>
        <w:t xml:space="preserve">5，在不具备通视的地段， </w:t>
      </w:r>
      <w:r>
        <w:rPr>
          <w:spacing w:val="-2"/>
          <w:sz w:val="32"/>
        </w:rPr>
        <w:t>按上述办法分段测设，但在恢复通视后，按上述操作过程将</w:t>
      </w:r>
    </w:p>
    <w:p>
      <w:pPr>
        <w:spacing w:after="0" w:line="364" w:lineRule="auto"/>
        <w:jc w:val="left"/>
        <w:rPr>
          <w:sz w:val="32"/>
        </w:rPr>
        <w:sectPr>
          <w:pgSz w:w="11910" w:h="16840"/>
          <w:pgMar w:top="1480" w:right="0" w:bottom="280" w:left="1580" w:header="708" w:footer="708"/>
          <w:pgNumType w:start="8"/>
          <w:cols w:space="708"/>
        </w:sectPr>
      </w:pPr>
    </w:p>
    <w:p>
      <w:pPr>
        <w:pStyle w:val="BodyText"/>
        <w:spacing w:before="65" w:line="364" w:lineRule="auto"/>
        <w:ind w:right="1795"/>
        <w:jc w:val="both"/>
      </w:pPr>
      <w:r>
        <w:rPr>
          <w:spacing w:val="-3"/>
        </w:rPr>
        <w:t>分段线路联测，以确保全线贯通的准确性。线路中线联测完</w:t>
      </w:r>
      <w:r>
        <w:rPr>
          <w:spacing w:val="-2"/>
        </w:rPr>
        <w:t>毕后对中线控制点采用严密平差，各相邻点间纵横向中点差</w:t>
      </w:r>
      <w:r>
        <w:t>不超过：</w:t>
      </w:r>
    </w:p>
    <w:p>
      <w:pPr>
        <w:pStyle w:val="BodyText"/>
        <w:spacing w:before="2"/>
        <w:ind w:left="694"/>
      </w:pPr>
      <w:r>
        <w:t>直线：纵向为±10mm，横向为±5mm。</w:t>
      </w:r>
    </w:p>
    <w:p>
      <w:pPr>
        <w:pStyle w:val="BodyText"/>
        <w:spacing w:line="364" w:lineRule="auto"/>
        <w:ind w:right="1795" w:firstLine="478"/>
        <w:jc w:val="both"/>
      </w:pPr>
      <w:r>
        <w:rPr>
          <w:w w:val="95"/>
        </w:rPr>
        <w:t>曲线：纵向为±5mm，曲线段小于 10m 时横向为±3mm，大</w:t>
      </w:r>
      <w:r>
        <w:t>于 10m 时横向±5mm。</w:t>
      </w:r>
    </w:p>
    <w:p>
      <w:pPr>
        <w:pStyle w:val="BodyText"/>
        <w:spacing w:before="2" w:line="364" w:lineRule="auto"/>
        <w:ind w:right="1795" w:firstLine="478"/>
        <w:jc w:val="both"/>
      </w:pPr>
      <w:r>
        <w:rPr>
          <w:spacing w:val="5"/>
        </w:rPr>
        <w:t>道路施工时，测设出中线桩，根据路床坡度定出路床高</w:t>
      </w:r>
      <w:r>
        <w:rPr>
          <w:spacing w:val="-8"/>
        </w:rPr>
        <w:t xml:space="preserve">程桩，高程桩间距为 </w:t>
      </w:r>
      <w:r>
        <w:t>10m</w:t>
      </w:r>
      <w:r>
        <w:rPr>
          <w:spacing w:val="-11"/>
        </w:rPr>
        <w:t xml:space="preserve"> 壹对。在路基及路面施工时亦采用</w:t>
      </w:r>
      <w:r>
        <w:rPr>
          <w:spacing w:val="-3"/>
        </w:rPr>
        <w:t>同样的方法。在水泥稳定层施工完毕后，测设出路缘石的位置线和高程，随后根据路缘石及各层油面的高程确定出摊铺</w:t>
      </w:r>
      <w:r>
        <w:t>机的准绳或高程杠的参照数据。</w:t>
      </w:r>
    </w:p>
    <w:p>
      <w:pPr>
        <w:pStyle w:val="BodyText"/>
        <w:spacing w:before="4" w:line="364" w:lineRule="auto"/>
        <w:ind w:right="1795" w:firstLine="478"/>
        <w:jc w:val="both"/>
      </w:pPr>
      <w:r>
        <w:rPr>
          <w:spacing w:val="5"/>
        </w:rPr>
        <w:t>路面施工测量是路面质量保证的关键，尤其是路口的施</w:t>
      </w:r>
      <w:r>
        <w:rPr>
          <w:spacing w:val="-3"/>
        </w:rPr>
        <w:t>工测量。施测前壹定要熟悉图纸，推算好各断面、结构层的</w:t>
      </w:r>
      <w:r>
        <w:t>标高。</w:t>
      </w:r>
    </w:p>
    <w:p>
      <w:pPr>
        <w:pStyle w:val="BodyText"/>
        <w:spacing w:before="2"/>
        <w:ind w:left="844"/>
      </w:pPr>
      <w:r>
        <w:t>3、保证施工测量精度的技术措施及资料管理</w:t>
      </w:r>
    </w:p>
    <w:p>
      <w:pPr>
        <w:pStyle w:val="BodyText"/>
        <w:spacing w:line="364" w:lineRule="auto"/>
        <w:ind w:right="1795" w:firstLine="478"/>
        <w:jc w:val="both"/>
      </w:pPr>
      <w:r>
        <w:rPr>
          <w:spacing w:val="5"/>
        </w:rPr>
        <w:t>为了确保工程顺利进行，确保道路顺利贯通，坚持测量</w:t>
      </w:r>
      <w:r>
        <w:rPr>
          <w:spacing w:val="-2"/>
        </w:rPr>
        <w:t>复核制度。测量放线、验线按照贯标的相关文件做好相应的</w:t>
      </w:r>
      <w:r>
        <w:rPr>
          <w:spacing w:val="-4"/>
        </w:rPr>
        <w:t>资料，同时，保存好测量原始资料，以保证工程竣工时测量</w:t>
      </w:r>
      <w:r>
        <w:t>资料齐全。</w:t>
      </w:r>
    </w:p>
    <w:p>
      <w:pPr>
        <w:pStyle w:val="BodyText"/>
        <w:spacing w:before="4"/>
        <w:ind w:left="3253"/>
      </w:pPr>
      <w:r>
        <w:t>二、路基土石方施工</w:t>
      </w:r>
    </w:p>
    <w:p>
      <w:pPr>
        <w:pStyle w:val="BodyText"/>
        <w:ind w:left="856"/>
      </w:pPr>
      <w:r>
        <w:t>壹、施工依据：</w:t>
      </w:r>
    </w:p>
    <w:p>
      <w:pPr>
        <w:pStyle w:val="BodyText"/>
        <w:spacing w:before="7"/>
        <w:ind w:left="0"/>
        <w:rPr>
          <w:sz w:val="9"/>
        </w:rPr>
      </w:pPr>
    </w:p>
    <w:p>
      <w:pPr>
        <w:pStyle w:val="BodyText"/>
        <w:spacing w:before="91"/>
        <w:ind w:left="774"/>
      </w:pPr>
      <w:r>
        <w:t>CJJ44-91《城市道路路基工程施工及验收规范》；</w:t>
      </w:r>
    </w:p>
    <w:p>
      <w:pPr>
        <w:spacing w:after="0"/>
        <w:sectPr>
          <w:pgSz w:w="11910" w:h="16840"/>
          <w:pgMar w:top="1480" w:right="0" w:bottom="280" w:left="1580" w:header="708" w:footer="708"/>
          <w:pgNumType w:start="9"/>
          <w:cols w:space="708"/>
        </w:sectPr>
      </w:pPr>
    </w:p>
    <w:p>
      <w:pPr>
        <w:pStyle w:val="BodyText"/>
        <w:spacing w:before="65" w:line="364" w:lineRule="auto"/>
        <w:ind w:left="696" w:right="2909" w:firstLine="160"/>
      </w:pPr>
      <w:r>
        <w:t>CJJ1-90《城市道路工程质量检验评定标准》； GB50026-93《工程测量规范》。</w:t>
      </w:r>
    </w:p>
    <w:p>
      <w:pPr>
        <w:pStyle w:val="BodyText"/>
        <w:spacing w:before="2"/>
        <w:ind w:left="856"/>
      </w:pPr>
      <w:r>
        <w:t>二、施工方案</w:t>
      </w:r>
    </w:p>
    <w:p>
      <w:pPr>
        <w:pStyle w:val="BodyText"/>
        <w:spacing w:line="364" w:lineRule="auto"/>
        <w:ind w:right="1795" w:firstLine="640"/>
        <w:jc w:val="both"/>
      </w:pPr>
      <w:r>
        <w:rPr>
          <w:spacing w:val="-2"/>
        </w:rPr>
        <w:t>由于本工程工期紧，施工时按分段施工方法组织同时进</w:t>
      </w:r>
      <w:r>
        <w:rPr>
          <w:spacing w:val="-1"/>
        </w:rPr>
        <w:t>行施工，为了加快施工进度，拟采用多工作面、多工种，立</w:t>
      </w:r>
      <w:r>
        <w:t>体交叉循环的施工方法。</w:t>
      </w:r>
    </w:p>
    <w:p>
      <w:pPr>
        <w:pStyle w:val="ListParagraph"/>
        <w:numPr>
          <w:ilvl w:val="0"/>
          <w:numId w:val="17"/>
        </w:numPr>
        <w:tabs>
          <w:tab w:val="left" w:pos="1178"/>
        </w:tabs>
        <w:spacing w:before="2" w:after="0" w:line="364" w:lineRule="auto"/>
        <w:ind w:left="216" w:right="1795" w:firstLine="640"/>
        <w:jc w:val="left"/>
        <w:rPr>
          <w:sz w:val="32"/>
        </w:rPr>
      </w:pPr>
      <w:r>
        <w:rPr>
          <w:spacing w:val="-2"/>
          <w:sz w:val="32"/>
        </w:rPr>
        <w:t>根据现场情况土石方拟采用机械化施工，边坡采用人</w:t>
      </w:r>
      <w:r>
        <w:rPr>
          <w:sz w:val="32"/>
        </w:rPr>
        <w:t>工配合机械施工。</w:t>
      </w:r>
    </w:p>
    <w:p>
      <w:pPr>
        <w:pStyle w:val="ListParagraph"/>
        <w:numPr>
          <w:ilvl w:val="0"/>
          <w:numId w:val="17"/>
        </w:numPr>
        <w:tabs>
          <w:tab w:val="left" w:pos="1178"/>
        </w:tabs>
        <w:spacing w:before="2" w:after="0" w:line="240" w:lineRule="auto"/>
        <w:ind w:left="1178" w:right="0" w:hanging="322"/>
        <w:jc w:val="left"/>
        <w:rPr>
          <w:sz w:val="32"/>
        </w:rPr>
      </w:pPr>
      <w:r>
        <w:rPr>
          <w:sz w:val="32"/>
        </w:rPr>
        <w:t>施工机械的选择</w:t>
      </w:r>
    </w:p>
    <w:p>
      <w:pPr>
        <w:pStyle w:val="BodyText"/>
        <w:spacing w:line="364" w:lineRule="auto"/>
        <w:ind w:right="1789" w:firstLine="640"/>
        <w:jc w:val="both"/>
      </w:pPr>
      <w:r>
        <w:rPr>
          <w:spacing w:val="-3"/>
        </w:rPr>
        <w:t>根据施工现场土石方调配情况，按照经济合理、可行的</w:t>
      </w:r>
      <w:r>
        <w:rPr>
          <w:spacing w:val="-12"/>
        </w:rPr>
        <w:t xml:space="preserve">原则，运距在 </w:t>
      </w:r>
      <w:r>
        <w:t>70m</w:t>
      </w:r>
      <w:r>
        <w:rPr>
          <w:spacing w:val="-11"/>
        </w:rPr>
        <w:t xml:space="preserve"> 以内的土石方量，采用推土机直接施工， </w:t>
      </w:r>
      <w:r>
        <w:rPr>
          <w:spacing w:val="-20"/>
        </w:rPr>
        <w:t xml:space="preserve">运距在 </w:t>
      </w:r>
      <w:r>
        <w:t>70m</w:t>
      </w:r>
      <w:r>
        <w:rPr>
          <w:spacing w:val="-10"/>
        </w:rPr>
        <w:t xml:space="preserve"> 之上的土石方采用挖土机配自卸汽车运输；压实</w:t>
      </w:r>
      <w:r>
        <w:rPr>
          <w:spacing w:val="-27"/>
        </w:rPr>
        <w:t xml:space="preserve">采用 </w:t>
      </w:r>
      <w:r>
        <w:t>YZ18</w:t>
      </w:r>
      <w:r>
        <w:rPr>
          <w:spacing w:val="-13"/>
        </w:rPr>
        <w:t xml:space="preserve"> 振动碾压机。</w:t>
      </w:r>
    </w:p>
    <w:p>
      <w:pPr>
        <w:pStyle w:val="BodyText"/>
        <w:spacing w:before="3"/>
        <w:ind w:left="856"/>
      </w:pPr>
      <w:r>
        <w:t>三、施工方法</w:t>
      </w:r>
    </w:p>
    <w:p>
      <w:pPr>
        <w:pStyle w:val="ListParagraph"/>
        <w:numPr>
          <w:ilvl w:val="0"/>
          <w:numId w:val="16"/>
        </w:numPr>
        <w:tabs>
          <w:tab w:val="left" w:pos="1018"/>
        </w:tabs>
        <w:spacing w:before="214" w:after="0" w:line="240" w:lineRule="auto"/>
        <w:ind w:left="1018" w:right="0" w:hanging="322"/>
        <w:jc w:val="left"/>
        <w:rPr>
          <w:sz w:val="32"/>
        </w:rPr>
      </w:pPr>
      <w:r>
        <w:rPr>
          <w:sz w:val="32"/>
        </w:rPr>
        <w:t>土石方施工工艺流程：</w:t>
      </w:r>
    </w:p>
    <w:p>
      <w:pPr>
        <w:pStyle w:val="BodyText"/>
        <w:spacing w:line="364" w:lineRule="auto"/>
        <w:ind w:right="1795" w:firstLine="480"/>
        <w:jc w:val="both"/>
      </w:pPr>
      <w:r>
        <w:t>测量放线→清除草皮、树根→土石方开挖及运输→分层回填→碾压成型→压实度检测→第二层回填→路基成型至设计标高。</w:t>
      </w:r>
    </w:p>
    <w:p>
      <w:pPr>
        <w:pStyle w:val="ListParagraph"/>
        <w:numPr>
          <w:ilvl w:val="0"/>
          <w:numId w:val="16"/>
        </w:numPr>
        <w:tabs>
          <w:tab w:val="left" w:pos="1018"/>
        </w:tabs>
        <w:spacing w:before="2" w:after="0" w:line="364" w:lineRule="auto"/>
        <w:ind w:left="856" w:right="6109" w:hanging="160"/>
        <w:jc w:val="left"/>
        <w:rPr>
          <w:sz w:val="32"/>
        </w:rPr>
      </w:pPr>
      <w:r>
        <w:rPr>
          <w:spacing w:val="-2"/>
          <w:sz w:val="32"/>
        </w:rPr>
        <w:t xml:space="preserve">路基土石方施工方法： </w:t>
      </w:r>
      <w:r>
        <w:rPr>
          <w:sz w:val="32"/>
        </w:rPr>
        <w:t>A.施工测量</w:t>
      </w:r>
    </w:p>
    <w:p>
      <w:pPr>
        <w:pStyle w:val="BodyText"/>
        <w:spacing w:before="2"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1</w:t>
      </w:r>
      <w:r>
        <w:rPr>
          <w:spacing w:val="-80"/>
          <w:position w:val="-6"/>
        </w:rPr>
        <w:t xml:space="preserve"> </w:t>
      </w:r>
      <w:r>
        <w:rPr>
          <w:spacing w:val="12"/>
        </w:rPr>
        <w:t>开工前对业主所提供的坐标控制桩点进行现场测量</w:t>
      </w:r>
      <w:r>
        <w:rPr>
          <w:spacing w:val="-2"/>
        </w:rPr>
        <w:t>复核</w:t>
      </w:r>
      <w:r>
        <w:t>（</w:t>
      </w:r>
      <w:r>
        <w:rPr>
          <w:spacing w:val="-3"/>
        </w:rPr>
        <w:t>其内容包括导线点坐标、标高的复测，水准点的复测</w:t>
      </w:r>
    </w:p>
    <w:p>
      <w:pPr>
        <w:spacing w:after="0" w:line="324" w:lineRule="auto"/>
        <w:sectPr>
          <w:pgSz w:w="11910" w:h="16840"/>
          <w:pgMar w:top="1480" w:right="0" w:bottom="280" w:left="1580" w:header="708" w:footer="708"/>
          <w:pgNumType w:start="10"/>
          <w:cols w:space="708"/>
        </w:sectPr>
      </w:pPr>
    </w:p>
    <w:p>
      <w:pPr>
        <w:pStyle w:val="BodyText"/>
        <w:spacing w:before="65"/>
      </w:pPr>
      <w:r>
        <w:t>和增设），无误后才能进行施工放线。</w:t>
      </w:r>
    </w:p>
    <w:p>
      <w:pPr>
        <w:pStyle w:val="BodyText"/>
        <w:spacing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2</w:t>
      </w:r>
      <w:r>
        <w:rPr>
          <w:spacing w:val="-80"/>
          <w:position w:val="-6"/>
        </w:rPr>
        <w:t xml:space="preserve"> </w:t>
      </w:r>
      <w:r>
        <w:rPr>
          <w:spacing w:val="-3"/>
        </w:rPr>
        <w:t>施工放线：根据业主所提供的坐标控制桩点准确放出</w:t>
      </w:r>
      <w:r>
        <w:t>线路的中线和边线。</w:t>
      </w:r>
    </w:p>
    <w:p>
      <w:pPr>
        <w:pStyle w:val="BodyText"/>
        <w:spacing w:before="71"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3</w:t>
      </w:r>
      <w:r>
        <w:rPr>
          <w:spacing w:val="-80"/>
          <w:position w:val="-6"/>
        </w:rPr>
        <w:t xml:space="preserve"> </w:t>
      </w:r>
      <w:r>
        <w:rPr>
          <w:spacing w:val="25"/>
        </w:rPr>
        <w:t xml:space="preserve">施工测量的精度应符合 </w:t>
      </w:r>
      <w:r>
        <w:rPr>
          <w:w w:val="99"/>
        </w:rPr>
        <w:t>GB50026-93</w:t>
      </w:r>
      <w:r>
        <w:rPr>
          <w:spacing w:val="30"/>
        </w:rPr>
        <w:t>《工程测量规范》。</w:t>
      </w:r>
    </w:p>
    <w:p>
      <w:pPr>
        <w:pStyle w:val="BodyText"/>
        <w:spacing w:before="71"/>
        <w:ind w:left="856"/>
      </w:pPr>
      <w:r>
        <w:t>B.挖方路基施工</w:t>
      </w:r>
    </w:p>
    <w:p>
      <w:pPr>
        <w:pStyle w:val="BodyText"/>
        <w:spacing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1</w:t>
      </w:r>
      <w:r>
        <w:rPr>
          <w:spacing w:val="-80"/>
          <w:position w:val="-6"/>
        </w:rPr>
        <w:t xml:space="preserve"> </w:t>
      </w:r>
      <w:r>
        <w:rPr>
          <w:spacing w:val="-2"/>
        </w:rPr>
        <w:t>路基开挖按设计断面自上而下进行开挖，土路基开挖</w:t>
      </w:r>
      <w:r>
        <w:t>至路基顶面时按设计预留碾压沉落高度。</w:t>
      </w:r>
    </w:p>
    <w:p>
      <w:pPr>
        <w:pStyle w:val="BodyText"/>
        <w:spacing w:before="71"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2</w:t>
      </w:r>
      <w:r>
        <w:rPr>
          <w:spacing w:val="-80"/>
          <w:position w:val="-6"/>
        </w:rPr>
        <w:t xml:space="preserve"> </w:t>
      </w:r>
      <w:r>
        <w:rPr>
          <w:spacing w:val="5"/>
        </w:rPr>
        <w:t>石方路基开挖的炮机施工作业,从而使路基保持稳定</w:t>
      </w:r>
      <w:r>
        <w:t>和整齐以满足设计要求。</w:t>
      </w:r>
    </w:p>
    <w:p>
      <w:pPr>
        <w:pStyle w:val="BodyText"/>
        <w:spacing w:before="71"/>
        <w:ind w:left="856"/>
      </w:pPr>
      <w:r>
        <w:t>C.填方路基施工</w:t>
      </w:r>
    </w:p>
    <w:p>
      <w:pPr>
        <w:pStyle w:val="BodyText"/>
        <w:spacing w:before="35" w:line="624" w:lineRule="exact"/>
        <w:ind w:right="1795" w:firstLine="640"/>
        <w:jc w:val="both"/>
      </w:pPr>
      <w:r>
        <w:rPr>
          <w:spacing w:val="-240"/>
          <w:position w:val="-6"/>
        </w:rPr>
        <w:t>○</w:t>
      </w:r>
      <w:r>
        <w:rPr>
          <w:position w:val="-6"/>
        </w:rPr>
        <w:t>1</w:t>
      </w:r>
      <w:r>
        <w:rPr>
          <w:spacing w:val="-80"/>
          <w:position w:val="-6"/>
        </w:rPr>
        <w:t xml:space="preserve"> </w:t>
      </w:r>
      <w:r>
        <w:rPr>
          <w:spacing w:val="-2"/>
        </w:rPr>
        <w:t>施工前应对路基回填施工进行现场试验，试验结果应进行到能有效地使所用的填料达到规定的压实度为止。试验</w:t>
      </w:r>
      <w:r>
        <w:rPr>
          <w:spacing w:val="-3"/>
        </w:rPr>
        <w:t>时应记录以下数据：压实设备的类型、最佳组合方式、每层</w:t>
      </w:r>
      <w:r>
        <w:rPr>
          <w:spacing w:val="-4"/>
        </w:rPr>
        <w:t>材料的松铺厚度、材料的含水量、碾压遍数及碾压速度、施</w:t>
      </w:r>
      <w:r>
        <w:rPr>
          <w:spacing w:val="-3"/>
        </w:rPr>
        <w:t>工顺序等；试验结果达到设计的质量标准后，报监理工程师</w:t>
      </w:r>
      <w:r>
        <w:t>批准后，即可作为该种填料施工控制的依据。</w:t>
      </w:r>
    </w:p>
    <w:p>
      <w:pPr>
        <w:pStyle w:val="BodyText"/>
        <w:spacing w:before="179"/>
        <w:ind w:left="856"/>
      </w:pPr>
      <w:r>
        <w:rPr>
          <w:spacing w:val="-240"/>
          <w:position w:val="-6"/>
        </w:rPr>
        <w:t>○</w:t>
      </w:r>
      <w:r>
        <w:rPr>
          <w:position w:val="-6"/>
        </w:rPr>
        <w:t>2</w:t>
      </w:r>
      <w:r>
        <w:rPr>
          <w:spacing w:val="-80"/>
          <w:position w:val="-6"/>
        </w:rPr>
        <w:t xml:space="preserve"> </w:t>
      </w:r>
      <w:r>
        <w:t>路基填料选择</w:t>
      </w:r>
    </w:p>
    <w:p>
      <w:pPr>
        <w:pStyle w:val="BodyText"/>
        <w:spacing w:before="144" w:line="364" w:lineRule="auto"/>
        <w:ind w:right="1795" w:firstLine="640"/>
        <w:jc w:val="both"/>
      </w:pPr>
      <w:r>
        <w:rPr>
          <w:spacing w:val="-4"/>
        </w:rPr>
        <w:t>路基填土不得使用腐殖土、生活垃圾土、淤泥、不能含</w:t>
      </w:r>
      <w:r>
        <w:rPr>
          <w:spacing w:val="-1"/>
        </w:rPr>
        <w:t>杂草、树根，填料优先选用级配较好的粗粒土、砾类土、砂</w:t>
      </w:r>
      <w:r>
        <w:t>类土。</w:t>
      </w:r>
    </w:p>
    <w:p>
      <w:pPr>
        <w:pStyle w:val="BodyText"/>
        <w:spacing w:before="2"/>
        <w:ind w:left="856"/>
      </w:pPr>
      <w:r>
        <w:t>当路基填方为土石混和料，石块的最大粒径不得大于压</w:t>
      </w:r>
    </w:p>
    <w:p>
      <w:pPr>
        <w:spacing w:after="0"/>
        <w:sectPr>
          <w:pgSz w:w="11910" w:h="16840"/>
          <w:pgMar w:top="1480" w:right="0" w:bottom="280" w:left="1580" w:header="708" w:footer="708"/>
          <w:pgNumType w:start="11"/>
          <w:cols w:space="708"/>
        </w:sectPr>
      </w:pPr>
    </w:p>
    <w:p>
      <w:pPr>
        <w:pStyle w:val="BodyText"/>
        <w:spacing w:before="65" w:line="364" w:lineRule="auto"/>
        <w:ind w:right="1795"/>
        <w:jc w:val="both"/>
      </w:pPr>
      <w:r>
        <w:rPr>
          <w:spacing w:val="-11"/>
        </w:rPr>
        <w:t xml:space="preserve">实层厚度的 </w:t>
      </w:r>
      <w:r>
        <w:t>2/3</w:t>
      </w:r>
      <w:r>
        <w:rPr>
          <w:spacing w:val="-1"/>
        </w:rPr>
        <w:t xml:space="preserve">，在料时，应尽量挖装粒径小的爆破石碴， </w:t>
      </w:r>
      <w:r>
        <w:rPr>
          <w:spacing w:val="-2"/>
        </w:rPr>
        <w:t>如填料粒径不能满足要求时，则用人工改小或用二次爆破方</w:t>
      </w:r>
      <w:r>
        <w:t>法进行改炮处理。选择填</w:t>
      </w:r>
    </w:p>
    <w:p>
      <w:pPr>
        <w:pStyle w:val="BodyText"/>
        <w:spacing w:before="2"/>
        <w:ind w:left="856"/>
      </w:pPr>
      <w:r>
        <w:rPr>
          <w:spacing w:val="-240"/>
          <w:position w:val="-6"/>
        </w:rPr>
        <w:t>○</w:t>
      </w:r>
      <w:r>
        <w:rPr>
          <w:position w:val="-6"/>
        </w:rPr>
        <w:t>3</w:t>
      </w:r>
      <w:r>
        <w:rPr>
          <w:spacing w:val="-80"/>
          <w:position w:val="-6"/>
        </w:rPr>
        <w:t xml:space="preserve"> </w:t>
      </w:r>
      <w:r>
        <w:t>填方路基基底处理方法</w:t>
      </w:r>
    </w:p>
    <w:p>
      <w:pPr>
        <w:pStyle w:val="BodyText"/>
        <w:spacing w:before="144" w:line="364" w:lineRule="auto"/>
        <w:ind w:right="1789" w:firstLine="640"/>
        <w:jc w:val="both"/>
      </w:pPr>
      <w:r>
        <w:rPr>
          <w:spacing w:val="-3"/>
        </w:rPr>
        <w:t>在路堤修筑范围内原地面如有坑、洞、墓穴等，用符合</w:t>
      </w:r>
      <w:r>
        <w:rPr>
          <w:spacing w:val="-5"/>
        </w:rPr>
        <w:t>填筑要求的土或砂性土回填，且进行压实；路堤基底为耕植</w:t>
      </w:r>
      <w:r>
        <w:rPr>
          <w:spacing w:val="-3"/>
        </w:rPr>
        <w:t>土或松土时，用机械配合人工先清除腐植土、树根、杂草后</w:t>
      </w:r>
      <w:r>
        <w:rPr>
          <w:spacing w:val="-4"/>
        </w:rPr>
        <w:t>压实；当路基穿过水塘或水田时，排出积水，清除淤泥、腐</w:t>
      </w:r>
      <w:r>
        <w:rPr>
          <w:spacing w:val="-3"/>
        </w:rPr>
        <w:t>植土，换填透水性较好的填料进行回填；当路基位于零开挖</w:t>
      </w:r>
      <w:r>
        <w:rPr>
          <w:spacing w:val="-1"/>
        </w:rPr>
        <w:t xml:space="preserve">断面时，先清除表面的耕植土、杂草、树根等再进行压实； </w:t>
      </w:r>
      <w:r>
        <w:rPr>
          <w:spacing w:val="-2"/>
        </w:rPr>
        <w:t>如路基压实度达不到要求时，则须进行换土或抛石等措施进</w:t>
      </w:r>
      <w:r>
        <w:rPr>
          <w:spacing w:val="-3"/>
        </w:rPr>
        <w:t>行处理，具体采用什么措施，视现场情况且报经监理工程师</w:t>
      </w:r>
      <w:r>
        <w:rPr>
          <w:spacing w:val="-6"/>
        </w:rPr>
        <w:t xml:space="preserve">同意后而定；当填方路段的地面自然横坡大于 </w:t>
      </w:r>
      <w:r>
        <w:t>1:5</w:t>
      </w:r>
      <w:r>
        <w:rPr>
          <w:spacing w:val="-19"/>
        </w:rPr>
        <w:t xml:space="preserve"> 时，应在</w:t>
      </w:r>
      <w:r>
        <w:rPr>
          <w:spacing w:val="-3"/>
        </w:rPr>
        <w:t>斜坡上将原地面挖成宽不小于１米，且向内倾斜的台阶，用</w:t>
      </w:r>
      <w:r>
        <w:t>小型夯实机或人工夯实后进行分层搭接回填碾压。</w:t>
      </w:r>
    </w:p>
    <w:p>
      <w:pPr>
        <w:pStyle w:val="BodyText"/>
        <w:spacing w:before="9"/>
        <w:ind w:left="664"/>
      </w:pPr>
      <w:r>
        <w:rPr>
          <w:spacing w:val="-240"/>
          <w:position w:val="-6"/>
        </w:rPr>
        <w:t>○</w:t>
      </w:r>
      <w:r>
        <w:rPr>
          <w:position w:val="-6"/>
        </w:rPr>
        <w:t>4</w:t>
      </w:r>
      <w:r>
        <w:rPr>
          <w:spacing w:val="-80"/>
          <w:position w:val="-6"/>
        </w:rPr>
        <w:t xml:space="preserve"> </w:t>
      </w:r>
      <w:r>
        <w:t>路基填筑</w:t>
      </w:r>
    </w:p>
    <w:p>
      <w:pPr>
        <w:pStyle w:val="BodyText"/>
        <w:spacing w:before="144"/>
        <w:ind w:left="610"/>
      </w:pPr>
      <w:r>
        <w:t>路基填筑工艺流程：</w:t>
      </w:r>
    </w:p>
    <w:p>
      <w:pPr>
        <w:pStyle w:val="BodyText"/>
        <w:spacing w:line="364" w:lineRule="auto"/>
        <w:ind w:right="1795" w:firstLine="419"/>
        <w:jc w:val="both"/>
      </w:pPr>
      <w:r>
        <w:rPr>
          <w:spacing w:val="-11"/>
        </w:rPr>
        <w:t>填方区基底处理→填方材料的现场压实试验→填料摊铺整</w:t>
      </w:r>
      <w:r>
        <w:rPr>
          <w:spacing w:val="-1"/>
        </w:rPr>
        <w:t>平→预压→振动碾压→现场压实度试验→办理隐蔽资料→第</w:t>
      </w:r>
      <w:r>
        <w:t>二层回填→路基成型→设计标高。</w:t>
      </w:r>
    </w:p>
    <w:p>
      <w:pPr>
        <w:pStyle w:val="BodyText"/>
        <w:spacing w:before="3" w:line="364" w:lineRule="auto"/>
        <w:ind w:right="1795" w:firstLine="393"/>
        <w:jc w:val="both"/>
      </w:pPr>
      <w:r>
        <w:rPr>
          <w:spacing w:val="-10"/>
        </w:rPr>
        <w:t>路基回填方法：分层回填碾压的最大松铺厚度根据设计规</w:t>
      </w:r>
      <w:r>
        <w:rPr>
          <w:spacing w:val="-12"/>
        </w:rPr>
        <w:t xml:space="preserve">范要求，土方填筑路堤不得大于 </w:t>
      </w:r>
      <w:r>
        <w:rPr>
          <w:spacing w:val="-9"/>
        </w:rPr>
        <w:t>40cm</w:t>
      </w:r>
      <w:r>
        <w:rPr>
          <w:spacing w:val="-5"/>
        </w:rPr>
        <w:t>，土石填筑路堤不大于</w:t>
      </w:r>
    </w:p>
    <w:p>
      <w:pPr>
        <w:spacing w:after="0" w:line="364" w:lineRule="auto"/>
        <w:jc w:val="both"/>
        <w:sectPr>
          <w:pgSz w:w="11910" w:h="16840"/>
          <w:pgMar w:top="1480" w:right="0" w:bottom="280" w:left="1580" w:header="708" w:footer="708"/>
          <w:pgNumType w:start="12"/>
          <w:cols w:space="708"/>
        </w:sectPr>
      </w:pPr>
    </w:p>
    <w:p>
      <w:pPr>
        <w:pStyle w:val="BodyText"/>
        <w:spacing w:before="65" w:line="364" w:lineRule="auto"/>
        <w:ind w:right="1635"/>
      </w:pPr>
      <w:r>
        <w:t>30cm</w:t>
      </w:r>
      <w:r>
        <w:rPr>
          <w:spacing w:val="-4"/>
        </w:rPr>
        <w:t xml:space="preserve">，填筑至路床顶面最后壹层的最小压实厚度不小于 </w:t>
      </w:r>
      <w:r>
        <w:rPr>
          <w:spacing w:val="-24"/>
        </w:rPr>
        <w:t xml:space="preserve">8cm； </w:t>
      </w:r>
      <w:r>
        <w:rPr>
          <w:spacing w:val="-1"/>
        </w:rPr>
        <w:t>不同种类的土进行分段分层填筑，松铺厚度控制由现场测量</w:t>
      </w:r>
      <w:r>
        <w:rPr>
          <w:spacing w:val="11"/>
        </w:rPr>
        <w:t>人员事先在填方区范围内的周边位置用竹杆或花杆作出每</w:t>
      </w:r>
      <w:r>
        <w:t>层松铺厚度的明显标记，使施工作业人员能准确掌握每层松</w:t>
      </w:r>
      <w:r>
        <w:rPr>
          <w:spacing w:val="-2"/>
        </w:rPr>
        <w:t>铺的厚度；路基碾压采用振动压路机进行碾压，回填料的含水量控制在最佳含水量±2％左右。</w:t>
      </w:r>
    </w:p>
    <w:p>
      <w:pPr>
        <w:pStyle w:val="BodyText"/>
        <w:spacing w:before="5" w:line="364" w:lineRule="auto"/>
        <w:ind w:right="1754" w:firstLine="640"/>
      </w:pPr>
      <w:r>
        <w:t>碾压施工：碾压时，应遵循先轻后重、先静后振、先慢后快以及轮迹重叠的原则，碾压遍数由现场试验确定。</w:t>
      </w:r>
    </w:p>
    <w:p>
      <w:pPr>
        <w:pStyle w:val="BodyText"/>
        <w:spacing w:before="1"/>
        <w:ind w:left="856"/>
      </w:pPr>
      <w:r>
        <w:t>四、施工要点</w:t>
      </w:r>
    </w:p>
    <w:p>
      <w:pPr>
        <w:pStyle w:val="ListParagraph"/>
        <w:numPr>
          <w:ilvl w:val="0"/>
          <w:numId w:val="15"/>
        </w:numPr>
        <w:tabs>
          <w:tab w:val="left" w:pos="1178"/>
        </w:tabs>
        <w:spacing w:before="214" w:after="0" w:line="240" w:lineRule="auto"/>
        <w:ind w:left="1178" w:right="0" w:hanging="322"/>
        <w:jc w:val="left"/>
        <w:rPr>
          <w:sz w:val="32"/>
        </w:rPr>
      </w:pPr>
      <w:r>
        <w:rPr>
          <w:sz w:val="32"/>
        </w:rPr>
        <w:t>测量放线时，高程系统应和设计的高程系统壹致。</w:t>
      </w:r>
    </w:p>
    <w:p>
      <w:pPr>
        <w:pStyle w:val="ListParagraph"/>
        <w:numPr>
          <w:ilvl w:val="0"/>
          <w:numId w:val="15"/>
        </w:numPr>
        <w:tabs>
          <w:tab w:val="left" w:pos="1178"/>
        </w:tabs>
        <w:spacing w:before="214" w:after="0" w:line="364" w:lineRule="auto"/>
        <w:ind w:left="216" w:right="1795" w:firstLine="640"/>
        <w:jc w:val="left"/>
        <w:rPr>
          <w:sz w:val="32"/>
        </w:rPr>
      </w:pPr>
      <w:r>
        <w:rPr>
          <w:spacing w:val="-1"/>
          <w:sz w:val="32"/>
        </w:rPr>
        <w:t>施工时，路基应保持干燥</w:t>
      </w:r>
      <w:r>
        <w:rPr>
          <w:sz w:val="32"/>
        </w:rPr>
        <w:t>～</w:t>
      </w:r>
      <w:r>
        <w:rPr>
          <w:spacing w:val="-3"/>
          <w:sz w:val="32"/>
        </w:rPr>
        <w:t>中湿状态，严格控制填料</w:t>
      </w:r>
      <w:r>
        <w:rPr>
          <w:sz w:val="32"/>
        </w:rPr>
        <w:t>的含水量。</w:t>
      </w:r>
    </w:p>
    <w:p>
      <w:pPr>
        <w:pStyle w:val="ListParagraph"/>
        <w:numPr>
          <w:ilvl w:val="0"/>
          <w:numId w:val="15"/>
        </w:numPr>
        <w:tabs>
          <w:tab w:val="left" w:pos="1178"/>
        </w:tabs>
        <w:spacing w:before="2" w:after="0" w:line="364" w:lineRule="auto"/>
        <w:ind w:left="216" w:right="1795" w:firstLine="640"/>
        <w:jc w:val="left"/>
        <w:rPr>
          <w:sz w:val="32"/>
        </w:rPr>
      </w:pPr>
      <w:r>
        <w:rPr>
          <w:spacing w:val="-4"/>
          <w:sz w:val="32"/>
        </w:rPr>
        <w:t>施工前，应将杂草、树根及腐殖土清除干净，禁止将</w:t>
      </w:r>
      <w:r>
        <w:rPr>
          <w:sz w:val="32"/>
        </w:rPr>
        <w:t>杂草、树根及腐植土混入填料中使用。</w:t>
      </w:r>
    </w:p>
    <w:p>
      <w:pPr>
        <w:pStyle w:val="ListParagraph"/>
        <w:numPr>
          <w:ilvl w:val="0"/>
          <w:numId w:val="15"/>
        </w:numPr>
        <w:tabs>
          <w:tab w:val="left" w:pos="1178"/>
        </w:tabs>
        <w:spacing w:before="2" w:after="0" w:line="240" w:lineRule="auto"/>
        <w:ind w:left="1178" w:right="0" w:hanging="322"/>
        <w:jc w:val="left"/>
        <w:rPr>
          <w:sz w:val="32"/>
        </w:rPr>
      </w:pPr>
      <w:r>
        <w:rPr>
          <w:sz w:val="32"/>
        </w:rPr>
        <w:t>路基回填施工要点：</w:t>
      </w:r>
    </w:p>
    <w:p>
      <w:pPr>
        <w:pStyle w:val="BodyText"/>
        <w:spacing w:line="345" w:lineRule="auto"/>
        <w:ind w:right="163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1</w:t>
      </w:r>
      <w:r>
        <w:rPr>
          <w:spacing w:val="-80"/>
          <w:position w:val="-6"/>
        </w:rPr>
        <w:t xml:space="preserve"> </w:t>
      </w:r>
      <w:r>
        <w:rPr>
          <w:spacing w:val="-2"/>
        </w:rPr>
        <w:t>路堤填筑前应清除地表耕植土、淤泥、植物根茎等杂</w:t>
      </w:r>
      <w:r>
        <w:rPr>
          <w:spacing w:val="-15"/>
        </w:rPr>
        <w:t xml:space="preserve">物，将积水排干晾晒，且在四周布置好排水系统将积水排干， </w:t>
      </w:r>
      <w:r>
        <w:t>待含水量适度，经碾压密实后方可进行填筑。</w:t>
      </w:r>
    </w:p>
    <w:p>
      <w:pPr>
        <w:pStyle w:val="BodyText"/>
        <w:spacing w:before="30"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2</w:t>
      </w:r>
      <w:r>
        <w:rPr>
          <w:spacing w:val="-80"/>
          <w:position w:val="-6"/>
        </w:rPr>
        <w:t xml:space="preserve"> </w:t>
      </w:r>
      <w:r>
        <w:rPr>
          <w:spacing w:val="-3"/>
        </w:rPr>
        <w:t>路堤应分层填筑、分层压实，分层厚度根据现场试验</w:t>
      </w:r>
      <w:r>
        <w:t>确定。</w:t>
      </w:r>
    </w:p>
    <w:p>
      <w:pPr>
        <w:pStyle w:val="BodyText"/>
        <w:spacing w:before="71"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3</w:t>
      </w:r>
      <w:r>
        <w:rPr>
          <w:spacing w:val="-80"/>
          <w:position w:val="-6"/>
        </w:rPr>
        <w:t xml:space="preserve"> </w:t>
      </w:r>
      <w:r>
        <w:rPr>
          <w:spacing w:val="4"/>
        </w:rPr>
        <w:t>填料的选择,严格控制填料粒径，填料的最大粒径不</w:t>
      </w:r>
      <w:r>
        <w:rPr>
          <w:spacing w:val="-10"/>
        </w:rPr>
        <w:t xml:space="preserve">能大于层厚的 </w:t>
      </w:r>
      <w:r>
        <w:t>2/3</w:t>
      </w:r>
      <w:r>
        <w:rPr>
          <w:spacing w:val="-1"/>
        </w:rPr>
        <w:t>，对于大粒径的填料采用人工二次破碎改</w:t>
      </w:r>
    </w:p>
    <w:p>
      <w:pPr>
        <w:spacing w:after="0" w:line="324" w:lineRule="auto"/>
        <w:sectPr>
          <w:pgSz w:w="11910" w:h="16840"/>
          <w:pgMar w:top="1480" w:right="0" w:bottom="280" w:left="1580" w:header="708" w:footer="708"/>
          <w:pgNumType w:start="13"/>
          <w:cols w:space="708"/>
        </w:sectPr>
      </w:pPr>
    </w:p>
    <w:p>
      <w:pPr>
        <w:pStyle w:val="BodyText"/>
        <w:spacing w:before="65"/>
      </w:pPr>
      <w:r>
        <w:t>小，以达到设计及规范要求。</w:t>
      </w:r>
    </w:p>
    <w:p>
      <w:pPr>
        <w:pStyle w:val="BodyText"/>
        <w:spacing w:before="35" w:line="624" w:lineRule="exact"/>
        <w:ind w:right="1795" w:firstLine="640"/>
        <w:jc w:val="both"/>
      </w:pPr>
      <w:r>
        <w:rPr>
          <w:spacing w:val="-240"/>
          <w:position w:val="-6"/>
        </w:rPr>
        <w:t>○</w:t>
      </w:r>
      <w:r>
        <w:rPr>
          <w:position w:val="-6"/>
        </w:rPr>
        <w:t>4</w:t>
      </w:r>
      <w:r>
        <w:rPr>
          <w:spacing w:val="-80"/>
          <w:position w:val="-6"/>
        </w:rPr>
        <w:t xml:space="preserve"> </w:t>
      </w:r>
      <w:r>
        <w:rPr>
          <w:spacing w:val="-3"/>
        </w:rPr>
        <w:t>含水量的控制，对于部分含水量小于压实最佳含水量</w:t>
      </w:r>
      <w:r>
        <w:rPr>
          <w:spacing w:val="-4"/>
        </w:rPr>
        <w:t>的填料，采用水车均匀洒水或采取集料洒水、闷料，将土摊</w:t>
      </w:r>
      <w:r>
        <w:rPr>
          <w:spacing w:val="-3"/>
        </w:rPr>
        <w:t>晾干后用于回填；对于含水量高于最佳含水量的填料采用晾</w:t>
      </w:r>
      <w:r>
        <w:t>晒方法，达到最佳含水量±２％以内后进行回填。</w:t>
      </w:r>
    </w:p>
    <w:p>
      <w:pPr>
        <w:pStyle w:val="BodyText"/>
        <w:spacing w:before="179" w:line="324" w:lineRule="auto"/>
        <w:ind w:right="1635" w:firstLine="640"/>
        <w:jc w:val="both"/>
      </w:pPr>
      <w:r>
        <w:rPr>
          <w:spacing w:val="-240"/>
          <w:position w:val="-6"/>
        </w:rPr>
        <w:t>○</w:t>
      </w:r>
      <w:r>
        <w:rPr>
          <w:position w:val="-6"/>
        </w:rPr>
        <w:t>5</w:t>
      </w:r>
      <w:r>
        <w:rPr>
          <w:spacing w:val="-80"/>
          <w:position w:val="-6"/>
        </w:rPr>
        <w:t xml:space="preserve"> </w:t>
      </w:r>
      <w:r>
        <w:rPr>
          <w:spacing w:val="2"/>
        </w:rPr>
        <w:t xml:space="preserve">控制松铺厚度，松铺厚度严格控制在 </w:t>
      </w:r>
      <w:r>
        <w:t>40cm</w:t>
      </w:r>
      <w:r>
        <w:rPr>
          <w:spacing w:val="-12"/>
        </w:rPr>
        <w:t xml:space="preserve"> 左右，大</w:t>
      </w:r>
      <w:r>
        <w:rPr>
          <w:spacing w:val="-17"/>
        </w:rPr>
        <w:t>型推土机摊铺平整，个别不平处，用人工配合以细石屑找平。</w:t>
      </w:r>
    </w:p>
    <w:p>
      <w:pPr>
        <w:pStyle w:val="BodyText"/>
        <w:spacing w:before="71" w:line="345" w:lineRule="auto"/>
        <w:ind w:right="1795" w:firstLine="400"/>
        <w:jc w:val="both"/>
      </w:pPr>
      <w:r>
        <w:rPr>
          <w:spacing w:val="-240"/>
          <w:position w:val="-6"/>
        </w:rPr>
        <w:t>○</w:t>
      </w:r>
      <w:r>
        <w:rPr>
          <w:w w:val="99"/>
          <w:position w:val="-6"/>
        </w:rPr>
        <w:t>6</w:t>
      </w:r>
      <w:r>
        <w:rPr>
          <w:spacing w:val="-80"/>
          <w:position w:val="-6"/>
        </w:rPr>
        <w:t xml:space="preserve"> </w:t>
      </w:r>
      <w:r>
        <w:rPr>
          <w:spacing w:val="-11"/>
        </w:rPr>
        <w:t>碾压遍数，碾压前对填土层的松铺厚度、平整度和含水</w:t>
      </w:r>
      <w:r>
        <w:rPr>
          <w:spacing w:val="-3"/>
        </w:rPr>
        <w:t>量进行检查；碾压时轮迹必须重叠，前后相邻俩区段纵向重</w:t>
      </w:r>
      <w:r>
        <w:rPr>
          <w:spacing w:val="-36"/>
        </w:rPr>
        <w:t xml:space="preserve">叠 </w:t>
      </w:r>
      <w:r>
        <w:t>1.0～1.5m，碾压时做到无漏压，无死角，碾压均匀。根</w:t>
      </w:r>
    </w:p>
    <w:p>
      <w:pPr>
        <w:pStyle w:val="BodyText"/>
        <w:spacing w:before="31" w:line="364" w:lineRule="auto"/>
        <w:ind w:right="1795"/>
        <w:jc w:val="both"/>
      </w:pPr>
      <w:r>
        <w:rPr>
          <w:spacing w:val="-9"/>
        </w:rPr>
        <w:t xml:space="preserve">据经验碾压遍数在 </w:t>
      </w:r>
      <w:r>
        <w:t>6~8</w:t>
      </w:r>
      <w:r>
        <w:rPr>
          <w:spacing w:val="-11"/>
        </w:rPr>
        <w:t xml:space="preserve"> 遍时，可达到设计及规范要求，故碾</w:t>
      </w:r>
      <w:r>
        <w:rPr>
          <w:spacing w:val="-9"/>
        </w:rPr>
        <w:t xml:space="preserve">压遍数壹般控制在 </w:t>
      </w:r>
      <w:r>
        <w:t>6~8</w:t>
      </w:r>
      <w:r>
        <w:rPr>
          <w:spacing w:val="-11"/>
        </w:rPr>
        <w:t xml:space="preserve"> 遍，亦可根据现场试验结果确定碾压</w:t>
      </w:r>
      <w:r>
        <w:t>遍数。</w:t>
      </w:r>
    </w:p>
    <w:p>
      <w:pPr>
        <w:pStyle w:val="BodyText"/>
        <w:spacing w:before="2" w:line="345" w:lineRule="auto"/>
        <w:ind w:right="1789" w:firstLine="640"/>
        <w:jc w:val="both"/>
      </w:pPr>
      <w:r>
        <w:rPr>
          <w:spacing w:val="-240"/>
          <w:position w:val="-6"/>
        </w:rPr>
        <w:t>○</w:t>
      </w:r>
      <w:r>
        <w:rPr>
          <w:position w:val="-6"/>
        </w:rPr>
        <w:t>7</w:t>
      </w:r>
      <w:r>
        <w:rPr>
          <w:spacing w:val="-80"/>
          <w:position w:val="-6"/>
        </w:rPr>
        <w:t xml:space="preserve"> </w:t>
      </w:r>
      <w:r>
        <w:rPr>
          <w:spacing w:val="-2"/>
        </w:rPr>
        <w:t>填挖交界处的填土处理，填挖交界处应按规定挖好横</w:t>
      </w:r>
      <w:r>
        <w:rPr>
          <w:spacing w:val="-1"/>
        </w:rPr>
        <w:t xml:space="preserve">向台阶，在填方时，应严格按照规范的规定分层碾压密实， </w:t>
      </w:r>
      <w:r>
        <w:rPr>
          <w:spacing w:val="-3"/>
        </w:rPr>
        <w:t>其密实度达到规范规定的要求，且作好施工记录，防止交界</w:t>
      </w:r>
    </w:p>
    <w:p>
      <w:pPr>
        <w:pStyle w:val="BodyText"/>
        <w:spacing w:before="31"/>
      </w:pPr>
      <w:r>
        <w:t>处出现沉降、错台和开裂等病害。</w:t>
      </w:r>
    </w:p>
    <w:p>
      <w:pPr>
        <w:pStyle w:val="BodyText"/>
        <w:spacing w:line="345" w:lineRule="auto"/>
        <w:ind w:right="1795" w:firstLine="640"/>
        <w:jc w:val="both"/>
      </w:pPr>
      <w:r>
        <w:rPr>
          <w:spacing w:val="-240"/>
          <w:position w:val="-6"/>
        </w:rPr>
        <w:t>○</w:t>
      </w:r>
      <w:r>
        <w:rPr>
          <w:position w:val="-6"/>
        </w:rPr>
        <w:t>8</w:t>
      </w:r>
      <w:r>
        <w:rPr>
          <w:spacing w:val="-80"/>
          <w:position w:val="-6"/>
        </w:rPr>
        <w:t xml:space="preserve"> </w:t>
      </w:r>
      <w:r>
        <w:rPr>
          <w:spacing w:val="-2"/>
        </w:rPr>
        <w:t>填方路基在每层回填压实后要进行压实度检测，其压</w:t>
      </w:r>
      <w:r>
        <w:rPr>
          <w:spacing w:val="11"/>
        </w:rPr>
        <w:t>实度符合设计和规范要求且报监理工程师验收后才能进行</w:t>
      </w:r>
      <w:r>
        <w:t>下壹层回填。</w:t>
      </w:r>
    </w:p>
    <w:p>
      <w:pPr>
        <w:pStyle w:val="BodyText"/>
        <w:spacing w:before="31" w:line="324" w:lineRule="auto"/>
        <w:ind w:right="1795" w:firstLine="640"/>
      </w:pPr>
      <w:r>
        <w:rPr>
          <w:spacing w:val="-240"/>
          <w:position w:val="-6"/>
        </w:rPr>
        <w:t>○</w:t>
      </w:r>
      <w:r>
        <w:rPr>
          <w:position w:val="-6"/>
        </w:rPr>
        <w:t>9</w:t>
      </w:r>
      <w:r>
        <w:rPr>
          <w:spacing w:val="-80"/>
          <w:position w:val="-6"/>
        </w:rPr>
        <w:t xml:space="preserve"> </w:t>
      </w:r>
      <w:r>
        <w:rPr>
          <w:spacing w:val="12"/>
        </w:rPr>
        <w:t>路基在填筑施工中其工作面应作成双面横坡以利排</w:t>
      </w:r>
      <w:r>
        <w:t>水，路基成型后应平整、密实，具有规定的路拱。</w:t>
      </w:r>
    </w:p>
    <w:p>
      <w:pPr>
        <w:spacing w:after="0" w:line="32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https://d.book118.com/957003125061006051</w:t>
        </w:r>
      </w:hyperlink>
    </w:p>
    <w:p>
      <w:pPr>
        <w:spacing w:after="0" w:line="324" w:lineRule="auto"/>
      </w:pPr>
    </w:p>
    <w:sectPr>
      <w:pgSz w:w="11910" w:h="16840"/>
      <w:pgMar w:top="1480" w:right="0" w:bottom="280" w:left="1580" w:header="708" w:footer="708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Lucida Sans Unicode">
    <w:altName w:val="Lucida Sans Unicode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8A49"/>
    <w:multiLevelType w:val="hybridMultilevel"/>
    <w:tmpl w:val="00000000"/>
    <w:lvl w:ilvl="0">
      <w:start w:val="1"/>
      <w:numFmt w:val="decimal"/>
      <w:lvlText w:val="(%1)"/>
      <w:lvlJc w:val="left"/>
      <w:pPr>
        <w:ind w:left="1176" w:hanging="48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0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24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5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68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8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97" w:hanging="481"/>
      </w:pPr>
      <w:rPr>
        <w:rFonts w:hint="default"/>
        <w:lang w:val="en-US" w:eastAsia="zh-CN" w:bidi="ar-SA"/>
      </w:rPr>
    </w:lvl>
  </w:abstractNum>
  <w:abstractNum w:abstractNumId="1">
    <w:nsid w:val="0153B6F7"/>
    <w:multiLevelType w:val="hybridMultilevel"/>
    <w:tmpl w:val="00000000"/>
    <w:lvl w:ilvl="0">
      <w:start w:val="1"/>
      <w:numFmt w:val="decimal"/>
      <w:lvlText w:val="%1."/>
      <w:lvlJc w:val="left"/>
      <w:pPr>
        <w:ind w:left="1018" w:hanging="32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80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6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2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29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5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61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78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94" w:hanging="321"/>
      </w:pPr>
      <w:rPr>
        <w:rFonts w:hint="default"/>
        <w:lang w:val="en-US" w:eastAsia="zh-CN" w:bidi="ar-SA"/>
      </w:rPr>
    </w:lvl>
  </w:abstractNum>
  <w:abstractNum w:abstractNumId="2">
    <w:nsid w:val="0305250B"/>
    <w:multiLevelType w:val="hybridMultilevel"/>
    <w:tmpl w:val="00000000"/>
    <w:lvl w:ilvl="0">
      <w:start w:val="1"/>
      <w:numFmt w:val="decimal"/>
      <w:lvlText w:val="（%1）"/>
      <w:lvlJc w:val="left"/>
      <w:pPr>
        <w:ind w:left="1338" w:hanging="80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1"/>
      <w:numFmt w:val="decimal"/>
      <w:lvlText w:val="%2"/>
      <w:lvlJc w:val="left"/>
      <w:pPr>
        <w:ind w:left="217" w:hanging="240"/>
        <w:jc w:val="left"/>
      </w:pPr>
      <w:rPr>
        <w:rFonts w:ascii="宋体" w:eastAsia="宋体" w:hAnsi="宋体" w:cs="宋体" w:hint="default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8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37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35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34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32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31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29" w:hanging="240"/>
      </w:pPr>
      <w:rPr>
        <w:rFonts w:hint="default"/>
        <w:lang w:val="en-US" w:eastAsia="zh-CN" w:bidi="ar-SA"/>
      </w:rPr>
    </w:lvl>
  </w:abstractNum>
  <w:abstractNum w:abstractNumId="3">
    <w:nsid w:val="0476E2FF"/>
    <w:multiLevelType w:val="hybridMultilevel"/>
    <w:tmpl w:val="00000000"/>
    <w:lvl w:ilvl="0">
      <w:start w:val="1"/>
      <w:numFmt w:val="lowerLetter"/>
      <w:lvlText w:val="%1."/>
      <w:lvlJc w:val="left"/>
      <w:pPr>
        <w:ind w:left="217" w:hanging="482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4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4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4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4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4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482"/>
      </w:pPr>
      <w:rPr>
        <w:rFonts w:hint="default"/>
        <w:lang w:val="en-US" w:eastAsia="zh-CN" w:bidi="ar-SA"/>
      </w:rPr>
    </w:lvl>
  </w:abstractNum>
  <w:abstractNum w:abstractNumId="4">
    <w:nsid w:val="07936528"/>
    <w:multiLevelType w:val="hybridMultilevel"/>
    <w:tmpl w:val="00000000"/>
    <w:lvl w:ilvl="0">
      <w:start w:val="1"/>
      <w:numFmt w:val="decimal"/>
      <w:lvlText w:val="(%1)"/>
      <w:lvlJc w:val="left"/>
      <w:pPr>
        <w:ind w:left="217" w:hanging="48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481"/>
      </w:pPr>
      <w:rPr>
        <w:rFonts w:hint="default"/>
        <w:lang w:val="en-US" w:eastAsia="zh-CN" w:bidi="ar-SA"/>
      </w:rPr>
    </w:lvl>
  </w:abstractNum>
  <w:abstractNum w:abstractNumId="5">
    <w:nsid w:val="08AB954E"/>
    <w:multiLevelType w:val="hybridMultilevel"/>
    <w:tmpl w:val="00000000"/>
    <w:lvl w:ilvl="0">
      <w:start w:val="1"/>
      <w:numFmt w:val="decimal"/>
      <w:lvlText w:val="%1"/>
      <w:lvlJc w:val="left"/>
      <w:pPr>
        <w:ind w:left="885" w:hanging="240"/>
        <w:jc w:val="left"/>
      </w:pPr>
      <w:rPr>
        <w:rFonts w:ascii="宋体" w:eastAsia="宋体" w:hAnsi="宋体" w:cs="宋体" w:hint="default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268" w:hanging="48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7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74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82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89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97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04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12" w:hanging="481"/>
      </w:pPr>
      <w:rPr>
        <w:rFonts w:hint="default"/>
        <w:lang w:val="en-US" w:eastAsia="zh-CN" w:bidi="ar-SA"/>
      </w:rPr>
    </w:lvl>
  </w:abstractNum>
  <w:abstractNum w:abstractNumId="6">
    <w:nsid w:val="0BABBA57"/>
    <w:multiLevelType w:val="hybridMultilevel"/>
    <w:tmpl w:val="00000000"/>
    <w:lvl w:ilvl="0">
      <w:start w:val="1"/>
      <w:numFmt w:val="decimal"/>
      <w:lvlText w:val="%1."/>
      <w:lvlJc w:val="left"/>
      <w:pPr>
        <w:ind w:left="1178" w:hanging="32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0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24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5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68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8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97" w:hanging="321"/>
      </w:pPr>
      <w:rPr>
        <w:rFonts w:hint="default"/>
        <w:lang w:val="en-US" w:eastAsia="zh-CN" w:bidi="ar-SA"/>
      </w:rPr>
    </w:lvl>
  </w:abstractNum>
  <w:abstractNum w:abstractNumId="7">
    <w:nsid w:val="0C4913E0"/>
    <w:multiLevelType w:val="hybridMultilevel"/>
    <w:tmpl w:val="00000000"/>
    <w:lvl w:ilvl="0">
      <w:start w:val="1"/>
      <w:numFmt w:val="decimal"/>
      <w:lvlText w:val="（%1）"/>
      <w:lvlJc w:val="left"/>
      <w:pPr>
        <w:ind w:left="217" w:hanging="801"/>
        <w:jc w:val="left"/>
      </w:pPr>
      <w:rPr>
        <w:rFonts w:ascii="宋体" w:eastAsia="宋体" w:hAnsi="宋体" w:cs="宋体" w:hint="default"/>
        <w:spacing w:val="-3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8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8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8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8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8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8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8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801"/>
      </w:pPr>
      <w:rPr>
        <w:rFonts w:hint="default"/>
        <w:lang w:val="en-US" w:eastAsia="zh-CN" w:bidi="ar-SA"/>
      </w:rPr>
    </w:lvl>
  </w:abstractNum>
  <w:abstractNum w:abstractNumId="8">
    <w:nsid w:val="13571408"/>
    <w:multiLevelType w:val="hybridMultilevel"/>
    <w:tmpl w:val="00000000"/>
    <w:lvl w:ilvl="0">
      <w:start w:val="1"/>
      <w:numFmt w:val="decimal"/>
      <w:lvlText w:val="（%1）"/>
      <w:lvlJc w:val="left"/>
      <w:pPr>
        <w:ind w:left="217" w:hanging="814"/>
        <w:jc w:val="left"/>
      </w:pPr>
      <w:rPr>
        <w:rFonts w:ascii="宋体" w:eastAsia="宋体" w:hAnsi="宋体" w:cs="宋体" w:hint="default"/>
        <w:spacing w:val="0"/>
        <w:w w:val="100"/>
        <w:sz w:val="30"/>
        <w:szCs w:val="30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217" w:hanging="481"/>
        <w:jc w:val="left"/>
      </w:pPr>
      <w:rPr>
        <w:rFonts w:ascii="宋体" w:eastAsia="宋体" w:hAnsi="宋体" w:cs="宋体" w:hint="default"/>
        <w:spacing w:val="-6"/>
        <w:w w:val="100"/>
        <w:sz w:val="30"/>
        <w:szCs w:val="3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481"/>
      </w:pPr>
      <w:rPr>
        <w:rFonts w:hint="default"/>
        <w:lang w:val="en-US" w:eastAsia="zh-CN" w:bidi="ar-SA"/>
      </w:rPr>
    </w:lvl>
  </w:abstractNum>
  <w:abstractNum w:abstractNumId="9">
    <w:nsid w:val="155CB2A4"/>
    <w:multiLevelType w:val="hybridMultilevel"/>
    <w:tmpl w:val="00000000"/>
    <w:lvl w:ilvl="0">
      <w:start w:val="1"/>
      <w:numFmt w:val="decimal"/>
      <w:lvlText w:val="%1"/>
      <w:lvlJc w:val="left"/>
      <w:pPr>
        <w:ind w:left="217" w:hanging="240"/>
        <w:jc w:val="left"/>
      </w:pPr>
      <w:rPr>
        <w:rFonts w:ascii="宋体" w:eastAsia="宋体" w:hAnsi="宋体" w:cs="宋体" w:hint="default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2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240"/>
      </w:pPr>
      <w:rPr>
        <w:rFonts w:hint="default"/>
        <w:lang w:val="en-US" w:eastAsia="zh-CN" w:bidi="ar-SA"/>
      </w:rPr>
    </w:lvl>
  </w:abstractNum>
  <w:abstractNum w:abstractNumId="10">
    <w:nsid w:val="1AFA0729"/>
    <w:multiLevelType w:val="hybridMultilevel"/>
    <w:tmpl w:val="00000000"/>
    <w:lvl w:ilvl="0">
      <w:start w:val="1"/>
      <w:numFmt w:val="decimal"/>
      <w:lvlText w:val="（%1）"/>
      <w:lvlJc w:val="left"/>
      <w:pPr>
        <w:ind w:left="217" w:hanging="80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8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8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8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8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8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8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8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801"/>
      </w:pPr>
      <w:rPr>
        <w:rFonts w:hint="default"/>
        <w:lang w:val="en-US" w:eastAsia="zh-CN" w:bidi="ar-SA"/>
      </w:rPr>
    </w:lvl>
  </w:abstractNum>
  <w:abstractNum w:abstractNumId="11">
    <w:nsid w:val="233089F0"/>
    <w:multiLevelType w:val="hybridMultilevel"/>
    <w:tmpl w:val="00000000"/>
    <w:lvl w:ilvl="0">
      <w:start w:val="1"/>
      <w:numFmt w:val="decimal"/>
      <w:lvlText w:val="（%1）"/>
      <w:lvlJc w:val="left"/>
      <w:pPr>
        <w:ind w:left="217" w:hanging="801"/>
        <w:jc w:val="left"/>
      </w:pPr>
      <w:rPr>
        <w:rFonts w:ascii="宋体" w:eastAsia="宋体" w:hAnsi="宋体" w:cs="宋体" w:hint="default"/>
        <w:spacing w:val="-1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8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8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8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8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8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8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8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801"/>
      </w:pPr>
      <w:rPr>
        <w:rFonts w:hint="default"/>
        <w:lang w:val="en-US" w:eastAsia="zh-CN" w:bidi="ar-SA"/>
      </w:rPr>
    </w:lvl>
  </w:abstractNum>
  <w:abstractNum w:abstractNumId="12">
    <w:nsid w:val="3B419F61"/>
    <w:multiLevelType w:val="hybridMultilevel"/>
    <w:tmpl w:val="00000000"/>
    <w:lvl w:ilvl="0">
      <w:start w:val="1"/>
      <w:numFmt w:val="decimal"/>
      <w:lvlText w:val="（%1）"/>
      <w:lvlJc w:val="left"/>
      <w:pPr>
        <w:ind w:left="217" w:hanging="801"/>
        <w:jc w:val="right"/>
      </w:pPr>
      <w:rPr>
        <w:rFonts w:ascii="宋体" w:eastAsia="宋体" w:hAnsi="宋体" w:cs="宋体" w:hint="default"/>
        <w:spacing w:val="-56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8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8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8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8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8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8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8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801"/>
      </w:pPr>
      <w:rPr>
        <w:rFonts w:hint="default"/>
        <w:lang w:val="en-US" w:eastAsia="zh-CN" w:bidi="ar-SA"/>
      </w:rPr>
    </w:lvl>
  </w:abstractNum>
  <w:abstractNum w:abstractNumId="13">
    <w:nsid w:val="3E04B480"/>
    <w:multiLevelType w:val="hybridMultilevel"/>
    <w:tmpl w:val="00000000"/>
    <w:lvl w:ilvl="0">
      <w:start w:val="1"/>
      <w:numFmt w:val="decimal"/>
      <w:lvlText w:val="(%1)"/>
      <w:lvlJc w:val="left"/>
      <w:pPr>
        <w:ind w:left="1176" w:hanging="48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0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24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5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68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8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97" w:hanging="481"/>
      </w:pPr>
      <w:rPr>
        <w:rFonts w:hint="default"/>
        <w:lang w:val="en-US" w:eastAsia="zh-CN" w:bidi="ar-SA"/>
      </w:rPr>
    </w:lvl>
  </w:abstractNum>
  <w:abstractNum w:abstractNumId="14">
    <w:nsid w:val="4661D7EC"/>
    <w:multiLevelType w:val="hybridMultilevel"/>
    <w:tmpl w:val="00000000"/>
    <w:lvl w:ilvl="0">
      <w:start w:val="1"/>
      <w:numFmt w:val="decimal"/>
      <w:lvlText w:val="%1."/>
      <w:lvlJc w:val="left"/>
      <w:pPr>
        <w:ind w:left="538" w:hanging="321"/>
        <w:jc w:val="righ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8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97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76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54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3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12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90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69" w:hanging="321"/>
      </w:pPr>
      <w:rPr>
        <w:rFonts w:hint="default"/>
        <w:lang w:val="en-US" w:eastAsia="zh-CN" w:bidi="ar-SA"/>
      </w:rPr>
    </w:lvl>
  </w:abstractNum>
  <w:abstractNum w:abstractNumId="15">
    <w:nsid w:val="477B5B05"/>
    <w:multiLevelType w:val="hybridMultilevel"/>
    <w:tmpl w:val="00000000"/>
    <w:lvl w:ilvl="0">
      <w:start w:val="1"/>
      <w:numFmt w:val="decimal"/>
      <w:lvlText w:val="（%1）"/>
      <w:lvlJc w:val="left"/>
      <w:pPr>
        <w:ind w:left="217" w:hanging="802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80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80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80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80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8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8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8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802"/>
      </w:pPr>
      <w:rPr>
        <w:rFonts w:hint="default"/>
        <w:lang w:val="en-US" w:eastAsia="zh-CN" w:bidi="ar-SA"/>
      </w:rPr>
    </w:lvl>
  </w:abstractNum>
  <w:abstractNum w:abstractNumId="16">
    <w:nsid w:val="4C7E9C04"/>
    <w:multiLevelType w:val="hybridMultilevel"/>
    <w:tmpl w:val="00000000"/>
    <w:lvl w:ilvl="0">
      <w:start w:val="1"/>
      <w:numFmt w:val="decimal"/>
      <w:lvlText w:val="%1."/>
      <w:lvlJc w:val="left"/>
      <w:pPr>
        <w:ind w:left="217" w:hanging="481"/>
        <w:jc w:val="left"/>
      </w:pPr>
      <w:rPr>
        <w:rFonts w:ascii="宋体" w:eastAsia="宋体" w:hAnsi="宋体" w:cs="宋体" w:hint="default"/>
        <w:spacing w:val="-129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481"/>
      </w:pPr>
      <w:rPr>
        <w:rFonts w:hint="default"/>
        <w:lang w:val="en-US" w:eastAsia="zh-CN" w:bidi="ar-SA"/>
      </w:rPr>
    </w:lvl>
  </w:abstractNum>
  <w:abstractNum w:abstractNumId="17">
    <w:nsid w:val="4F65BBCB"/>
    <w:multiLevelType w:val="hybridMultilevel"/>
    <w:tmpl w:val="00000000"/>
    <w:lvl w:ilvl="0">
      <w:start w:val="1"/>
      <w:numFmt w:val="decimal"/>
      <w:lvlText w:val="%1."/>
      <w:lvlJc w:val="left"/>
      <w:pPr>
        <w:ind w:left="217" w:hanging="32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321"/>
      </w:pPr>
      <w:rPr>
        <w:rFonts w:hint="default"/>
        <w:lang w:val="en-US" w:eastAsia="zh-CN" w:bidi="ar-SA"/>
      </w:rPr>
    </w:lvl>
  </w:abstractNum>
  <w:abstractNum w:abstractNumId="18">
    <w:nsid w:val="5E710D6E"/>
    <w:multiLevelType w:val="hybridMultilevel"/>
    <w:tmpl w:val="00000000"/>
    <w:lvl w:ilvl="0">
      <w:start w:val="1"/>
      <w:numFmt w:val="decimal"/>
      <w:lvlText w:val="%1"/>
      <w:lvlJc w:val="left"/>
      <w:pPr>
        <w:ind w:left="217" w:hanging="190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1"/>
      <w:numFmt w:val="decimal"/>
      <w:lvlText w:val="(%2)"/>
      <w:lvlJc w:val="left"/>
      <w:pPr>
        <w:ind w:left="217" w:hanging="48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481"/>
      </w:pPr>
      <w:rPr>
        <w:rFonts w:hint="default"/>
        <w:lang w:val="en-US" w:eastAsia="zh-CN" w:bidi="ar-SA"/>
      </w:rPr>
    </w:lvl>
  </w:abstractNum>
  <w:abstractNum w:abstractNumId="19">
    <w:nsid w:val="5F540136"/>
    <w:multiLevelType w:val="hybridMultilevel"/>
    <w:tmpl w:val="00000000"/>
    <w:lvl w:ilvl="0">
      <w:start w:val="1"/>
      <w:numFmt w:val="decimal"/>
      <w:lvlText w:val="%1."/>
      <w:lvlJc w:val="left"/>
      <w:pPr>
        <w:ind w:left="217" w:hanging="321"/>
        <w:jc w:val="lef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321"/>
      </w:pPr>
      <w:rPr>
        <w:rFonts w:hint="default"/>
        <w:lang w:val="en-US" w:eastAsia="zh-CN" w:bidi="ar-SA"/>
      </w:rPr>
    </w:lvl>
  </w:abstractNum>
  <w:abstractNum w:abstractNumId="20">
    <w:nsid w:val="63637938"/>
    <w:multiLevelType w:val="hybridMultilevel"/>
    <w:tmpl w:val="00000000"/>
    <w:lvl w:ilvl="0">
      <w:start w:val="1"/>
      <w:numFmt w:val="decimal"/>
      <w:lvlText w:val="%1."/>
      <w:lvlJc w:val="left"/>
      <w:pPr>
        <w:ind w:left="217" w:hanging="321"/>
        <w:jc w:val="right"/>
      </w:pPr>
      <w:rPr>
        <w:rFonts w:ascii="宋体" w:eastAsia="宋体" w:hAnsi="宋体" w:cs="宋体" w:hint="default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321"/>
      </w:pPr>
      <w:rPr>
        <w:rFonts w:hint="default"/>
        <w:lang w:val="en-US" w:eastAsia="zh-CN" w:bidi="ar-SA"/>
      </w:rPr>
    </w:lvl>
  </w:abstractNum>
  <w:abstractNum w:abstractNumId="21">
    <w:nsid w:val="6A5047C9"/>
    <w:multiLevelType w:val="hybridMultilevel"/>
    <w:tmpl w:val="00000000"/>
    <w:lvl w:ilvl="0">
      <w:start w:val="4"/>
      <w:numFmt w:val="decimal"/>
      <w:lvlText w:val="%1"/>
      <w:lvlJc w:val="left"/>
      <w:pPr>
        <w:ind w:left="217" w:hanging="240"/>
        <w:jc w:val="left"/>
      </w:pPr>
      <w:rPr>
        <w:rFonts w:ascii="宋体" w:eastAsia="宋体" w:hAnsi="宋体" w:cs="宋体" w:hint="default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2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240"/>
      </w:pPr>
      <w:rPr>
        <w:rFonts w:hint="default"/>
        <w:lang w:val="en-US" w:eastAsia="zh-CN" w:bidi="ar-SA"/>
      </w:rPr>
    </w:lvl>
  </w:abstractNum>
  <w:abstractNum w:abstractNumId="22">
    <w:nsid w:val="752B50C5"/>
    <w:multiLevelType w:val="hybridMultilevel"/>
    <w:tmpl w:val="00000000"/>
    <w:lvl w:ilvl="0">
      <w:start w:val="1"/>
      <w:numFmt w:val="decimal"/>
      <w:lvlText w:val="%1）"/>
      <w:lvlJc w:val="left"/>
      <w:pPr>
        <w:ind w:left="217" w:hanging="481"/>
        <w:jc w:val="left"/>
      </w:pPr>
      <w:rPr>
        <w:rFonts w:ascii="宋体" w:eastAsia="宋体" w:hAnsi="宋体" w:cs="宋体" w:hint="default"/>
        <w:spacing w:val="-6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0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2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84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94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05" w:hanging="481"/>
      </w:pPr>
      <w:rPr>
        <w:rFonts w:hint="default"/>
        <w:lang w:val="en-US" w:eastAsia="zh-CN" w:bidi="ar-SA"/>
      </w:rPr>
    </w:lvl>
  </w:abstractNum>
  <w:num w:numId="1">
    <w:abstractNumId w:val="11"/>
  </w:num>
  <w:num w:numId="2">
    <w:abstractNumId w:val="7"/>
  </w:num>
  <w:num w:numId="3">
    <w:abstractNumId w:val="16"/>
  </w:num>
  <w:num w:numId="4">
    <w:abstractNumId w:val="5"/>
  </w:num>
  <w:num w:numId="5">
    <w:abstractNumId w:val="9"/>
  </w:num>
  <w:num w:numId="6">
    <w:abstractNumId w:val="3"/>
  </w:num>
  <w:num w:numId="7">
    <w:abstractNumId w:val="21"/>
  </w:num>
  <w:num w:numId="8">
    <w:abstractNumId w:val="2"/>
  </w:num>
  <w:num w:numId="9">
    <w:abstractNumId w:val="10"/>
  </w:num>
  <w:num w:numId="10">
    <w:abstractNumId w:val="12"/>
  </w:num>
  <w:num w:numId="11">
    <w:abstractNumId w:val="15"/>
  </w:num>
  <w:num w:numId="12">
    <w:abstractNumId w:val="14"/>
  </w:num>
  <w:num w:numId="13">
    <w:abstractNumId w:val="20"/>
  </w:num>
  <w:num w:numId="14">
    <w:abstractNumId w:val="17"/>
  </w:num>
  <w:num w:numId="15">
    <w:abstractNumId w:val="6"/>
  </w:num>
  <w:num w:numId="16">
    <w:abstractNumId w:val="1"/>
  </w:num>
  <w:num w:numId="17">
    <w:abstractNumId w:val="19"/>
  </w:num>
  <w:num w:numId="18">
    <w:abstractNumId w:val="22"/>
  </w:num>
  <w:num w:numId="19">
    <w:abstractNumId w:val="8"/>
  </w:num>
  <w:num w:numId="20">
    <w:abstractNumId w:val="4"/>
  </w:num>
  <w:num w:numId="21">
    <w:abstractNumId w:val="13"/>
  </w:num>
  <w:num w:numId="22">
    <w:abstractNumId w:val="18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935"/>
      <w:outlineLvl w:val="0"/>
    </w:pPr>
    <w:rPr>
      <w:rFonts w:ascii="Microsoft JhengHei" w:eastAsia="Microsoft JhengHei" w:hAnsi="Microsoft JhengHei" w:cs="Microsoft JhengHei"/>
      <w:b/>
      <w:bCs/>
      <w:sz w:val="44"/>
      <w:szCs w:val="4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14"/>
      <w:ind w:left="216"/>
    </w:pPr>
    <w:rPr>
      <w:rFonts w:ascii="宋体" w:eastAsia="宋体" w:hAnsi="宋体" w:cs="宋体"/>
      <w:sz w:val="32"/>
      <w:szCs w:val="32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45"/>
      <w:ind w:left="237" w:right="2014"/>
    </w:pPr>
    <w:rPr>
      <w:rFonts w:ascii="Microsoft JhengHei" w:eastAsia="Microsoft JhengHei" w:hAnsi="Microsoft JhengHei" w:cs="Microsoft JhengHei"/>
      <w:b/>
      <w:bCs/>
      <w:sz w:val="72"/>
      <w:szCs w:val="7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2"/>
      <w:ind w:left="216" w:right="1795" w:firstLine="4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957003125061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2024-01-16T16:04:31Z</dcterms:created>
  <dcterms:modified xsi:type="dcterms:W3CDTF">2024-01-16T16:04:31Z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2007-05-23T00:00:00Z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2024-01-16T00:00:00Z</vt:filetime>
  </property>
</Properties>
</file>