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2018-2023年上海出版印刷高等专科学校高职单招（数学／语文／英语）历年常考试题库含答案解析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在思想内容和艺术成就方面都堪称中国古代长篇小说高峰的作品是（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A.《三国演义》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B.《红楼梦》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C.《水浒传》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D.《儒林外史》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鲁迅短篇小说《风波》的结构线索是（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B.九斤老太的唠叨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C.七斤的苦闷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下列选项中，加点的字“于”表示被动的一项是（）。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A.夫祸患常积于忽微，而智勇多困于所溺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B.王知如此，则无望民之多于邻国也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C.此其自多也，不似尔向之自多于水乎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D.邦分崩离析而不能守也，而谋动干戈于邦内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辛弃疾在《水龙吟》（登建康赏心亭）中自称（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D.桓温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《种树郭橐驼传》一文中“故不我若也”一句从语法上看属于（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A.被动句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B.判断句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C.宾语前置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D.双宾语句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下列关于《礼记·大同》的表述，不正确的一项是（）。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A.论述了“大同”与“小康”的不同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B.为增强说理气势，多处使用夸张、比喻等修辞手法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C.间接反映了对现实的不满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D.表达了孔子对原始共产主义社会的向往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810400" cy="294353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400" cy="29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下列句中加点的词属意动用法的是（　　）.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562494" cy="1409848"/>
            <wp:effectExtent l="0" t="0" r="0" b="0"/>
            <wp:docPr id="20807233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2339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2494" cy="1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代表沈从文艺术创作高峰的一部中篇小说是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A.《萧萧》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B.《湘西》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C.《边城》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D.《长河》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北宋第一个大量写作慢词的是（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说“今日一天，当明日两天”的哲人是（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A.亚里士多德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C.爱默生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D.斯宾诺莎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https://d.book118.com/957045112156006044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57045112156006044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