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42" w:line="265" w:lineRule="exact"/>
        <w:ind w:left="6104"/>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spacing w:line="254" w:lineRule="auto"/>
        <w:rPr>
          <w:rFonts w:ascii="Arial"/>
          <w:sz w:val="21"/>
        </w:rPr>
      </w:pPr>
    </w:p>
    <w:p>
      <w:pPr>
        <w:spacing w:line="254" w:lineRule="auto"/>
        <w:rPr>
          <w:rFonts w:ascii="Arial"/>
          <w:sz w:val="21"/>
        </w:rPr>
      </w:pPr>
    </w:p>
    <w:p>
      <w:pPr>
        <w:spacing w:before="101" w:line="227" w:lineRule="auto"/>
        <w:ind w:left="1973"/>
        <w:outlineLvl w:val="0"/>
        <w:rPr>
          <w:rFonts w:ascii="SimHei" w:eastAsia="SimHei" w:hAnsi="SimHei" w:cs="SimHei"/>
          <w:sz w:val="31"/>
          <w:szCs w:val="31"/>
        </w:rPr>
      </w:pPr>
      <w:r>
        <w:rPr>
          <w:rFonts w:ascii="SimHei" w:eastAsia="SimHei" w:hAnsi="SimHei" w:cs="SimHei"/>
          <w:spacing w:val="8"/>
          <w:sz w:val="31"/>
          <w:szCs w:val="31"/>
        </w:rPr>
        <w:t>气体分析</w:t>
      </w:r>
      <w:r>
        <w:rPr>
          <w:rFonts w:ascii="SimHei" w:eastAsia="SimHei" w:hAnsi="SimHei" w:cs="SimHei"/>
          <w:spacing w:val="8"/>
          <w:sz w:val="31"/>
          <w:szCs w:val="31"/>
        </w:rPr>
        <w:t xml:space="preserve">  </w:t>
      </w:r>
      <w:r>
        <w:rPr>
          <w:rFonts w:ascii="SimHei" w:eastAsia="SimHei" w:hAnsi="SimHei" w:cs="SimHei"/>
          <w:spacing w:val="8"/>
          <w:sz w:val="31"/>
          <w:szCs w:val="31"/>
        </w:rPr>
        <w:t>纯度分析及纯度数据的处理</w:t>
      </w:r>
    </w:p>
    <w:p>
      <w:pPr>
        <w:spacing w:line="320" w:lineRule="auto"/>
        <w:rPr>
          <w:rFonts w:ascii="Arial"/>
          <w:sz w:val="21"/>
        </w:rPr>
      </w:pPr>
    </w:p>
    <w:p>
      <w:pPr>
        <w:spacing w:line="320" w:lineRule="auto"/>
        <w:rPr>
          <w:rFonts w:ascii="Arial"/>
          <w:sz w:val="21"/>
        </w:rPr>
      </w:pPr>
    </w:p>
    <w:p>
      <w:pPr>
        <w:spacing w:before="65" w:line="231" w:lineRule="auto"/>
        <w:ind w:left="17"/>
        <w:outlineLvl w:val="0"/>
        <w:rPr>
          <w:rFonts w:ascii="SimHei" w:eastAsia="SimHei" w:hAnsi="SimHei" w:cs="SimHei"/>
          <w:sz w:val="20"/>
          <w:szCs w:val="20"/>
        </w:rPr>
      </w:pPr>
      <w:r>
        <w:rPr>
          <w:rFonts w:ascii="SimHei" w:eastAsia="SimHei" w:hAnsi="SimHei" w:cs="SimHei"/>
          <w:spacing w:val="-3"/>
          <w:sz w:val="20"/>
          <w:szCs w:val="20"/>
        </w:rPr>
        <w:t>1</w:t>
      </w:r>
      <w:r>
        <w:rPr>
          <w:rFonts w:ascii="SimHei" w:eastAsia="SimHei" w:hAnsi="SimHei" w:cs="SimHei"/>
          <w:spacing w:val="10"/>
          <w:sz w:val="20"/>
          <w:szCs w:val="20"/>
        </w:rPr>
        <w:t xml:space="preserve">  </w:t>
      </w:r>
      <w:r>
        <w:rPr>
          <w:rFonts w:ascii="SimHei" w:eastAsia="SimHei" w:hAnsi="SimHei" w:cs="SimHei"/>
          <w:spacing w:val="-3"/>
          <w:sz w:val="20"/>
          <w:szCs w:val="20"/>
        </w:rPr>
        <w:t>范围</w:t>
      </w:r>
    </w:p>
    <w:p>
      <w:pPr>
        <w:spacing w:line="305" w:lineRule="auto"/>
        <w:rPr>
          <w:rFonts w:ascii="Arial"/>
          <w:sz w:val="21"/>
        </w:rPr>
      </w:pPr>
    </w:p>
    <w:p>
      <w:pPr>
        <w:spacing w:before="65" w:line="258" w:lineRule="auto"/>
        <w:ind w:left="6" w:right="56" w:firstLine="420"/>
        <w:rPr>
          <w:rFonts w:ascii="SimSun" w:eastAsia="SimSun" w:hAnsi="SimSun" w:cs="SimSun"/>
          <w:sz w:val="20"/>
          <w:szCs w:val="20"/>
        </w:rPr>
      </w:pPr>
      <w:r>
        <w:rPr>
          <w:rFonts w:ascii="SimSun" w:eastAsia="SimSun" w:hAnsi="SimSun" w:cs="SimSun"/>
          <w:spacing w:val="8"/>
          <w:sz w:val="20"/>
          <w:szCs w:val="20"/>
        </w:rPr>
        <w:t>本文件规定了制备校准混合气体所用原料的</w:t>
      </w:r>
      <w:r>
        <w:rPr>
          <w:rFonts w:ascii="SimSun" w:eastAsia="SimSun" w:hAnsi="SimSun" w:cs="SimSun"/>
          <w:spacing w:val="7"/>
          <w:sz w:val="20"/>
          <w:szCs w:val="20"/>
        </w:rPr>
        <w:t>纯度分析要求，以及纯度数据在所制备的混合气体组成</w:t>
      </w:r>
      <w:r>
        <w:rPr>
          <w:rFonts w:ascii="SimSun" w:eastAsia="SimSun" w:hAnsi="SimSun" w:cs="SimSun"/>
          <w:sz w:val="20"/>
          <w:szCs w:val="20"/>
        </w:rPr>
        <w:t xml:space="preserve"> </w:t>
      </w:r>
      <w:r>
        <w:rPr>
          <w:rFonts w:ascii="SimSun" w:eastAsia="SimSun" w:hAnsi="SimSun" w:cs="SimSun"/>
          <w:spacing w:val="7"/>
          <w:sz w:val="20"/>
          <w:szCs w:val="20"/>
        </w:rPr>
        <w:t>计算中的应用。</w:t>
      </w:r>
    </w:p>
    <w:p>
      <w:pPr>
        <w:spacing w:line="310" w:lineRule="auto"/>
        <w:rPr>
          <w:rFonts w:ascii="Arial"/>
          <w:sz w:val="21"/>
        </w:rPr>
      </w:pPr>
    </w:p>
    <w:p>
      <w:pPr>
        <w:spacing w:before="66" w:line="230" w:lineRule="auto"/>
        <w:ind w:left="4"/>
        <w:outlineLvl w:val="0"/>
        <w:rPr>
          <w:rFonts w:ascii="SimHei" w:eastAsia="SimHei" w:hAnsi="SimHei" w:cs="SimHei"/>
          <w:sz w:val="20"/>
          <w:szCs w:val="20"/>
        </w:rPr>
      </w:pPr>
      <w:r>
        <w:rPr>
          <w:rFonts w:ascii="SimHei" w:eastAsia="SimHei" w:hAnsi="SimHei" w:cs="SimHei"/>
          <w:spacing w:val="7"/>
          <w:sz w:val="20"/>
          <w:szCs w:val="20"/>
        </w:rPr>
        <w:t>2</w:t>
      </w:r>
      <w:r>
        <w:rPr>
          <w:rFonts w:ascii="SimHei" w:eastAsia="SimHei" w:hAnsi="SimHei" w:cs="SimHei"/>
          <w:spacing w:val="7"/>
          <w:sz w:val="20"/>
          <w:szCs w:val="20"/>
        </w:rPr>
        <w:t xml:space="preserve">  </w:t>
      </w:r>
      <w:r>
        <w:rPr>
          <w:rFonts w:ascii="SimHei" w:eastAsia="SimHei" w:hAnsi="SimHei" w:cs="SimHei"/>
          <w:spacing w:val="7"/>
          <w:sz w:val="20"/>
          <w:szCs w:val="20"/>
        </w:rPr>
        <w:t>规范性引用文件</w:t>
      </w:r>
    </w:p>
    <w:p>
      <w:pPr>
        <w:spacing w:line="307" w:lineRule="auto"/>
        <w:rPr>
          <w:rFonts w:ascii="Arial"/>
          <w:sz w:val="21"/>
        </w:rPr>
      </w:pPr>
    </w:p>
    <w:p>
      <w:pPr>
        <w:spacing w:before="65" w:line="268" w:lineRule="auto"/>
        <w:ind w:left="4" w:firstLine="428"/>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w:t>
      </w:r>
      <w:r>
        <w:rPr>
          <w:rFonts w:ascii="SimSun" w:eastAsia="SimSun" w:hAnsi="SimSun" w:cs="SimSun"/>
          <w:spacing w:val="3"/>
          <w:sz w:val="20"/>
          <w:szCs w:val="20"/>
        </w:rPr>
        <w:t>引用文件，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pStyle w:val="BodyText"/>
        <w:spacing w:before="65" w:line="263" w:lineRule="auto"/>
        <w:ind w:right="33" w:firstLine="423"/>
      </w:pPr>
      <w:r>
        <w:t>ISO</w:t>
      </w:r>
      <w:r>
        <w:rPr>
          <w:spacing w:val="7"/>
        </w:rPr>
        <w:t>/</w:t>
      </w:r>
      <w:r>
        <w:t>IEC</w:t>
      </w:r>
      <w:r>
        <w:rPr>
          <w:spacing w:val="7"/>
        </w:rPr>
        <w:t xml:space="preserve"> </w:t>
      </w:r>
      <w:r>
        <w:t>Guide</w:t>
      </w:r>
      <w:r>
        <w:rPr>
          <w:spacing w:val="7"/>
        </w:rPr>
        <w:t xml:space="preserve"> 98-3  </w:t>
      </w:r>
      <w:r>
        <w:rPr>
          <w:rFonts w:ascii="SimSun" w:eastAsia="SimSun" w:hAnsi="SimSun" w:cs="SimSun"/>
          <w:spacing w:val="7"/>
        </w:rPr>
        <w:t>测量不确定度 第</w:t>
      </w:r>
      <w:r>
        <w:rPr>
          <w:rFonts w:ascii="SimSun" w:eastAsia="SimSun" w:hAnsi="SimSun" w:cs="SimSun"/>
          <w:spacing w:val="-36"/>
        </w:rPr>
        <w:t xml:space="preserve"> </w:t>
      </w:r>
      <w:r>
        <w:rPr>
          <w:spacing w:val="7"/>
        </w:rPr>
        <w:t>3</w:t>
      </w:r>
      <w:r>
        <w:rPr>
          <w:spacing w:val="12"/>
        </w:rPr>
        <w:t xml:space="preserve"> </w:t>
      </w:r>
      <w:r>
        <w:rPr>
          <w:rFonts w:ascii="SimSun" w:eastAsia="SimSun" w:hAnsi="SimSun" w:cs="SimSun"/>
          <w:spacing w:val="7"/>
        </w:rPr>
        <w:t>部分：测量不确定度表示指南（</w:t>
      </w:r>
      <w:r>
        <w:t>GUM</w:t>
      </w:r>
      <w:r>
        <w:rPr>
          <w:spacing w:val="7"/>
        </w:rPr>
        <w:t>-</w:t>
      </w:r>
      <w:r>
        <w:rPr>
          <w:spacing w:val="-26"/>
        </w:rPr>
        <w:t xml:space="preserve"> </w:t>
      </w:r>
      <w:r>
        <w:rPr>
          <w:spacing w:val="7"/>
        </w:rPr>
        <w:t>199</w:t>
      </w:r>
      <w:r>
        <w:rPr>
          <w:spacing w:val="6"/>
        </w:rPr>
        <w:t>5</w:t>
      </w:r>
      <w:r>
        <w:rPr>
          <w:rFonts w:ascii="SimSun" w:eastAsia="SimSun" w:hAnsi="SimSun" w:cs="SimSun"/>
          <w:spacing w:val="6"/>
        </w:rPr>
        <w:t>）</w:t>
      </w:r>
      <w:r>
        <w:rPr>
          <w:spacing w:val="6"/>
        </w:rPr>
        <w:t>[</w:t>
      </w:r>
      <w:r>
        <w:t>Uncertainty</w:t>
      </w:r>
      <w:r>
        <w:rPr>
          <w:spacing w:val="11"/>
        </w:rPr>
        <w:t xml:space="preserve"> </w:t>
      </w:r>
      <w:r>
        <w:t xml:space="preserve">of </w:t>
      </w:r>
      <w:r>
        <w:t>measurement</w:t>
      </w:r>
      <w:r>
        <w:rPr>
          <w:spacing w:val="20"/>
        </w:rPr>
        <w:t>—</w:t>
      </w:r>
      <w:r>
        <w:t>Part</w:t>
      </w:r>
      <w:r>
        <w:rPr>
          <w:spacing w:val="20"/>
        </w:rPr>
        <w:t xml:space="preserve"> 3: </w:t>
      </w:r>
      <w:r>
        <w:t>Guide</w:t>
      </w:r>
      <w:r>
        <w:rPr>
          <w:spacing w:val="20"/>
        </w:rPr>
        <w:t xml:space="preserve"> </w:t>
      </w:r>
      <w:r>
        <w:t>to</w:t>
      </w:r>
      <w:r>
        <w:rPr>
          <w:spacing w:val="20"/>
        </w:rPr>
        <w:t xml:space="preserve"> </w:t>
      </w:r>
      <w:r>
        <w:t>the</w:t>
      </w:r>
      <w:r>
        <w:rPr>
          <w:spacing w:val="20"/>
        </w:rPr>
        <w:t xml:space="preserve"> </w:t>
      </w:r>
      <w:r>
        <w:t>expression</w:t>
      </w:r>
      <w:r>
        <w:rPr>
          <w:spacing w:val="20"/>
        </w:rPr>
        <w:t xml:space="preserve"> </w:t>
      </w:r>
      <w:r>
        <w:t>of</w:t>
      </w:r>
      <w:r>
        <w:rPr>
          <w:spacing w:val="-6"/>
        </w:rPr>
        <w:t xml:space="preserve"> </w:t>
      </w:r>
      <w:r>
        <w:t>uncertainty</w:t>
      </w:r>
      <w:r>
        <w:rPr>
          <w:spacing w:val="20"/>
        </w:rPr>
        <w:t xml:space="preserve"> </w:t>
      </w:r>
      <w:r>
        <w:t>in</w:t>
      </w:r>
      <w:r>
        <w:rPr>
          <w:spacing w:val="5"/>
        </w:rPr>
        <w:t xml:space="preserve"> </w:t>
      </w:r>
      <w:r>
        <w:t>measurement</w:t>
      </w:r>
      <w:r>
        <w:rPr>
          <w:spacing w:val="11"/>
        </w:rPr>
        <w:t xml:space="preserve"> </w:t>
      </w:r>
      <w:r>
        <w:rPr>
          <w:spacing w:val="20"/>
        </w:rPr>
        <w:t>(</w:t>
      </w:r>
      <w:r>
        <w:t>GUM</w:t>
      </w:r>
      <w:r>
        <w:rPr>
          <w:spacing w:val="20"/>
        </w:rPr>
        <w:t>:1995)]</w:t>
      </w:r>
    </w:p>
    <w:p>
      <w:pPr>
        <w:pStyle w:val="BodyText"/>
        <w:spacing w:before="103" w:line="222" w:lineRule="auto"/>
        <w:ind w:left="367"/>
        <w:rPr>
          <w:rFonts w:ascii="SimSun" w:eastAsia="SimSun" w:hAnsi="SimSun" w:cs="SimSun"/>
          <w:sz w:val="18"/>
          <w:szCs w:val="18"/>
        </w:rPr>
      </w:pPr>
      <w:r>
        <w:rPr>
          <w:rFonts w:ascii="SimHei" w:eastAsia="SimHei" w:hAnsi="SimHei" w:cs="SimHei"/>
          <w:sz w:val="18"/>
          <w:szCs w:val="18"/>
        </w:rPr>
        <w:t>注：</w:t>
      </w:r>
      <w:r>
        <w:rPr>
          <w:sz w:val="18"/>
          <w:szCs w:val="18"/>
        </w:rPr>
        <w:t xml:space="preserve">GB/T 27418—2017  </w:t>
      </w:r>
      <w:r>
        <w:rPr>
          <w:rFonts w:ascii="SimSun" w:eastAsia="SimSun" w:hAnsi="SimSun" w:cs="SimSun"/>
          <w:sz w:val="18"/>
          <w:szCs w:val="18"/>
        </w:rPr>
        <w:t>测量不确</w:t>
      </w:r>
      <w:r>
        <w:rPr>
          <w:rFonts w:ascii="SimSun" w:eastAsia="SimSun" w:hAnsi="SimSun" w:cs="SimSun"/>
          <w:spacing w:val="-1"/>
          <w:sz w:val="18"/>
          <w:szCs w:val="18"/>
        </w:rPr>
        <w:t>定度评定和表示（</w:t>
      </w:r>
      <w:r>
        <w:rPr>
          <w:spacing w:val="-1"/>
          <w:sz w:val="18"/>
          <w:szCs w:val="18"/>
        </w:rPr>
        <w:t>ISO/IEC Guide 98-3:2008</w:t>
      </w:r>
      <w:r>
        <w:rPr>
          <w:spacing w:val="-25"/>
          <w:sz w:val="18"/>
          <w:szCs w:val="18"/>
        </w:rPr>
        <w:t xml:space="preserve"> </w:t>
      </w:r>
      <w:r>
        <w:rPr>
          <w:rFonts w:ascii="SimSun" w:eastAsia="SimSun" w:hAnsi="SimSun" w:cs="SimSun"/>
          <w:spacing w:val="-1"/>
          <w:sz w:val="18"/>
          <w:szCs w:val="18"/>
        </w:rPr>
        <w:t>，</w:t>
      </w:r>
      <w:r>
        <w:rPr>
          <w:spacing w:val="-1"/>
          <w:sz w:val="18"/>
          <w:szCs w:val="18"/>
        </w:rPr>
        <w:t>MOD</w:t>
      </w:r>
      <w:r>
        <w:rPr>
          <w:rFonts w:ascii="SimSun" w:eastAsia="SimSun" w:hAnsi="SimSun" w:cs="SimSun"/>
          <w:spacing w:val="-1"/>
          <w:sz w:val="18"/>
          <w:szCs w:val="18"/>
        </w:rPr>
        <w:t>）</w:t>
      </w:r>
    </w:p>
    <w:p>
      <w:pPr>
        <w:pStyle w:val="BodyText"/>
        <w:spacing w:before="79" w:line="255" w:lineRule="auto"/>
        <w:ind w:left="4" w:right="55" w:firstLine="418"/>
        <w:rPr>
          <w:rFonts w:ascii="SimSun" w:eastAsia="SimSun" w:hAnsi="SimSun" w:cs="SimSun"/>
        </w:rPr>
      </w:pPr>
      <w:r>
        <w:t>ISO</w:t>
      </w:r>
      <w:r>
        <w:rPr>
          <w:spacing w:val="18"/>
          <w:w w:val="101"/>
        </w:rPr>
        <w:t xml:space="preserve"> </w:t>
      </w:r>
      <w:r>
        <w:rPr>
          <w:spacing w:val="18"/>
        </w:rPr>
        <w:t xml:space="preserve">6141  </w:t>
      </w:r>
      <w:r>
        <w:rPr>
          <w:rFonts w:ascii="SimSun" w:eastAsia="SimSun" w:hAnsi="SimSun" w:cs="SimSun"/>
          <w:spacing w:val="18"/>
        </w:rPr>
        <w:t>气体分析 校准用混合气体证书内容（</w:t>
      </w:r>
      <w:r>
        <w:t>Gas</w:t>
      </w:r>
      <w:r>
        <w:rPr>
          <w:spacing w:val="18"/>
        </w:rPr>
        <w:t xml:space="preserve"> </w:t>
      </w:r>
      <w:r>
        <w:t>analysis</w:t>
      </w:r>
      <w:r>
        <w:rPr>
          <w:spacing w:val="18"/>
        </w:rPr>
        <w:t>—</w:t>
      </w:r>
      <w:r>
        <w:t>Contents</w:t>
      </w:r>
      <w:r>
        <w:rPr>
          <w:spacing w:val="15"/>
        </w:rPr>
        <w:t xml:space="preserve"> </w:t>
      </w:r>
      <w:r>
        <w:t>of</w:t>
      </w:r>
      <w:r>
        <w:rPr>
          <w:spacing w:val="-9"/>
        </w:rPr>
        <w:t xml:space="preserve"> </w:t>
      </w:r>
      <w:r>
        <w:t>certificates</w:t>
      </w:r>
      <w:r>
        <w:rPr>
          <w:spacing w:val="16"/>
          <w:w w:val="101"/>
        </w:rPr>
        <w:t xml:space="preserve"> </w:t>
      </w:r>
      <w:r>
        <w:t>for</w:t>
      </w:r>
      <w:r>
        <w:rPr>
          <w:spacing w:val="13"/>
          <w:w w:val="101"/>
        </w:rPr>
        <w:t xml:space="preserve"> </w:t>
      </w:r>
      <w:r>
        <w:t xml:space="preserve">calibration </w:t>
      </w:r>
      <w:r>
        <w:t>gas</w:t>
      </w:r>
      <w:r>
        <w:rPr>
          <w:spacing w:val="21"/>
        </w:rPr>
        <w:t xml:space="preserve"> </w:t>
      </w:r>
      <w:r>
        <w:t>mixtures</w:t>
      </w:r>
      <w:r>
        <w:rPr>
          <w:rFonts w:ascii="SimSun" w:eastAsia="SimSun" w:hAnsi="SimSun" w:cs="SimSun"/>
          <w:spacing w:val="21"/>
        </w:rPr>
        <w:t>）</w:t>
      </w:r>
    </w:p>
    <w:p>
      <w:pPr>
        <w:pStyle w:val="BodyText"/>
        <w:spacing w:before="88" w:line="222" w:lineRule="auto"/>
        <w:ind w:left="367"/>
        <w:rPr>
          <w:rFonts w:ascii="SimHei" w:eastAsia="SimHei" w:hAnsi="SimHei" w:cs="SimHei"/>
          <w:sz w:val="18"/>
          <w:szCs w:val="18"/>
        </w:rPr>
      </w:pPr>
      <w:r>
        <w:rPr>
          <w:rFonts w:ascii="SimHei" w:eastAsia="SimHei" w:hAnsi="SimHei" w:cs="SimHei"/>
          <w:sz w:val="18"/>
          <w:szCs w:val="18"/>
        </w:rPr>
        <w:t>注：</w:t>
      </w:r>
      <w:r>
        <w:rPr>
          <w:sz w:val="18"/>
          <w:szCs w:val="18"/>
        </w:rPr>
        <w:t xml:space="preserve">GB/T 35860-2018  </w:t>
      </w:r>
      <w:r>
        <w:rPr>
          <w:rFonts w:ascii="SimSun" w:eastAsia="SimSun" w:hAnsi="SimSun" w:cs="SimSun"/>
          <w:spacing w:val="-1"/>
          <w:sz w:val="18"/>
          <w:szCs w:val="18"/>
        </w:rPr>
        <w:t>气体分析 校准用混合气体证书内容</w:t>
      </w:r>
      <w:r>
        <w:rPr>
          <w:rFonts w:ascii="SimHei" w:eastAsia="SimHei" w:hAnsi="SimHei" w:cs="SimHei"/>
          <w:spacing w:val="-1"/>
          <w:sz w:val="18"/>
          <w:szCs w:val="18"/>
        </w:rPr>
        <w:t>（</w:t>
      </w:r>
      <w:r>
        <w:rPr>
          <w:spacing w:val="-1"/>
          <w:sz w:val="18"/>
          <w:szCs w:val="18"/>
        </w:rPr>
        <w:t>ISO 6141:2015</w:t>
      </w:r>
      <w:r>
        <w:rPr>
          <w:spacing w:val="-25"/>
          <w:sz w:val="18"/>
          <w:szCs w:val="18"/>
        </w:rPr>
        <w:t xml:space="preserve"> </w:t>
      </w:r>
      <w:r>
        <w:rPr>
          <w:rFonts w:ascii="SimSun" w:eastAsia="SimSun" w:hAnsi="SimSun" w:cs="SimSun"/>
          <w:spacing w:val="-1"/>
          <w:sz w:val="18"/>
          <w:szCs w:val="18"/>
        </w:rPr>
        <w:t>，</w:t>
      </w:r>
      <w:r>
        <w:rPr>
          <w:spacing w:val="-1"/>
          <w:sz w:val="18"/>
          <w:szCs w:val="18"/>
        </w:rPr>
        <w:t>IDT</w:t>
      </w:r>
      <w:r>
        <w:rPr>
          <w:rFonts w:ascii="SimHei" w:eastAsia="SimHei" w:hAnsi="SimHei" w:cs="SimHei"/>
          <w:spacing w:val="-1"/>
          <w:sz w:val="18"/>
          <w:szCs w:val="18"/>
        </w:rPr>
        <w:t>）</w:t>
      </w:r>
    </w:p>
    <w:p>
      <w:pPr>
        <w:pStyle w:val="BodyText"/>
        <w:spacing w:before="79" w:line="255" w:lineRule="auto"/>
        <w:ind w:left="6" w:right="55" w:firstLine="417"/>
        <w:rPr>
          <w:rFonts w:ascii="SimSun" w:eastAsia="SimSun" w:hAnsi="SimSun" w:cs="SimSun"/>
        </w:rPr>
      </w:pPr>
      <w:r>
        <w:t>ISO</w:t>
      </w:r>
      <w:r>
        <w:rPr>
          <w:spacing w:val="10"/>
        </w:rPr>
        <w:t xml:space="preserve"> 6143    </w:t>
      </w:r>
      <w:r>
        <w:rPr>
          <w:rFonts w:ascii="SimSun" w:eastAsia="SimSun" w:hAnsi="SimSun" w:cs="SimSun"/>
          <w:spacing w:val="10"/>
        </w:rPr>
        <w:t>气体分析 测定和检验</w:t>
      </w:r>
      <w:r>
        <w:rPr>
          <w:rFonts w:ascii="SimSun" w:eastAsia="SimSun" w:hAnsi="SimSun" w:cs="SimSun"/>
          <w:spacing w:val="9"/>
        </w:rPr>
        <w:t>校准气体混合物成分用比较法（</w:t>
      </w:r>
      <w:r>
        <w:t>Gas</w:t>
      </w:r>
      <w:r>
        <w:rPr>
          <w:spacing w:val="9"/>
        </w:rPr>
        <w:t xml:space="preserve"> </w:t>
      </w:r>
      <w:r>
        <w:t>analysis</w:t>
      </w:r>
      <w:r>
        <w:rPr>
          <w:rFonts w:ascii="SimSun" w:eastAsia="SimSun" w:hAnsi="SimSun" w:cs="SimSun"/>
          <w:spacing w:val="9"/>
        </w:rPr>
        <w:t>—</w:t>
      </w:r>
      <w:r>
        <w:t>Comparison</w:t>
      </w:r>
      <w:r>
        <w:rPr>
          <w:spacing w:val="9"/>
        </w:rPr>
        <w:t xml:space="preserve"> </w:t>
      </w:r>
      <w:r>
        <w:t xml:space="preserve">methods </w:t>
      </w:r>
      <w:r>
        <w:rPr>
          <w:spacing w:val="4"/>
        </w:rPr>
        <w:t>for determining and checking the composition of</w:t>
      </w:r>
      <w:r>
        <w:rPr>
          <w:spacing w:val="-11"/>
        </w:rPr>
        <w:t xml:space="preserve"> </w:t>
      </w:r>
      <w:r>
        <w:rPr>
          <w:spacing w:val="4"/>
        </w:rPr>
        <w:t>calibration</w:t>
      </w:r>
      <w:r>
        <w:rPr>
          <w:spacing w:val="10"/>
        </w:rPr>
        <w:t xml:space="preserve"> </w:t>
      </w:r>
      <w:r>
        <w:rPr>
          <w:spacing w:val="4"/>
        </w:rPr>
        <w:t>gas mixture</w:t>
      </w:r>
      <w:r>
        <w:rPr>
          <w:spacing w:val="3"/>
        </w:rPr>
        <w:t>s</w:t>
      </w:r>
      <w:r>
        <w:rPr>
          <w:rFonts w:ascii="SimSun" w:eastAsia="SimSun" w:hAnsi="SimSun" w:cs="SimSun"/>
          <w:spacing w:val="3"/>
        </w:rPr>
        <w:t>）</w:t>
      </w:r>
    </w:p>
    <w:p>
      <w:pPr>
        <w:pStyle w:val="BodyText"/>
        <w:spacing w:before="88" w:line="222" w:lineRule="auto"/>
        <w:ind w:left="369"/>
        <w:rPr>
          <w:rFonts w:ascii="SimSun" w:eastAsia="SimSun" w:hAnsi="SimSun" w:cs="SimSun"/>
          <w:sz w:val="18"/>
          <w:szCs w:val="18"/>
        </w:rPr>
      </w:pPr>
      <w:r>
        <w:rPr>
          <w:rFonts w:ascii="SimHei" w:eastAsia="SimHei" w:hAnsi="SimHei" w:cs="SimHei"/>
          <w:spacing w:val="-1"/>
          <w:sz w:val="18"/>
          <w:szCs w:val="18"/>
        </w:rPr>
        <w:t>注：</w:t>
      </w:r>
      <w:r>
        <w:rPr>
          <w:spacing w:val="-1"/>
          <w:sz w:val="18"/>
          <w:szCs w:val="18"/>
        </w:rPr>
        <w:t>GB/T</w:t>
      </w:r>
      <w:r>
        <w:rPr>
          <w:spacing w:val="19"/>
          <w:w w:val="102"/>
          <w:sz w:val="18"/>
          <w:szCs w:val="18"/>
        </w:rPr>
        <w:t xml:space="preserve"> </w:t>
      </w:r>
      <w:r>
        <w:rPr>
          <w:spacing w:val="-1"/>
          <w:sz w:val="18"/>
          <w:szCs w:val="18"/>
        </w:rPr>
        <w:t xml:space="preserve">10628—2008    </w:t>
      </w:r>
      <w:r>
        <w:rPr>
          <w:rFonts w:ascii="SimSun" w:eastAsia="SimSun" w:hAnsi="SimSun" w:cs="SimSun"/>
          <w:spacing w:val="-1"/>
          <w:sz w:val="18"/>
          <w:szCs w:val="18"/>
        </w:rPr>
        <w:t>气体分析 校准混合气体组成的测定和校验</w:t>
      </w:r>
      <w:r>
        <w:rPr>
          <w:rFonts w:ascii="SimSun" w:eastAsia="SimSun" w:hAnsi="SimSun" w:cs="SimSun"/>
          <w:spacing w:val="27"/>
          <w:w w:val="101"/>
          <w:sz w:val="18"/>
          <w:szCs w:val="18"/>
        </w:rPr>
        <w:t xml:space="preserve"> </w:t>
      </w:r>
      <w:r>
        <w:rPr>
          <w:rFonts w:ascii="SimSun" w:eastAsia="SimSun" w:hAnsi="SimSun" w:cs="SimSun"/>
          <w:spacing w:val="-1"/>
          <w:sz w:val="18"/>
          <w:szCs w:val="18"/>
        </w:rPr>
        <w:t>比较法（</w:t>
      </w:r>
      <w:r>
        <w:rPr>
          <w:spacing w:val="-1"/>
          <w:sz w:val="18"/>
          <w:szCs w:val="18"/>
        </w:rPr>
        <w:t>ISO 6143:2001</w:t>
      </w:r>
      <w:r>
        <w:rPr>
          <w:spacing w:val="-25"/>
          <w:sz w:val="18"/>
          <w:szCs w:val="18"/>
        </w:rPr>
        <w:t xml:space="preserve"> </w:t>
      </w:r>
      <w:r>
        <w:rPr>
          <w:rFonts w:ascii="SimSun" w:eastAsia="SimSun" w:hAnsi="SimSun" w:cs="SimSun"/>
          <w:spacing w:val="-2"/>
          <w:sz w:val="18"/>
          <w:szCs w:val="18"/>
        </w:rPr>
        <w:t>，</w:t>
      </w:r>
      <w:r>
        <w:rPr>
          <w:spacing w:val="-2"/>
          <w:sz w:val="18"/>
          <w:szCs w:val="18"/>
        </w:rPr>
        <w:t>IDT</w:t>
      </w:r>
      <w:r>
        <w:rPr>
          <w:rFonts w:ascii="SimSun" w:eastAsia="SimSun" w:hAnsi="SimSun" w:cs="SimSun"/>
          <w:spacing w:val="-2"/>
          <w:sz w:val="18"/>
          <w:szCs w:val="18"/>
        </w:rPr>
        <w:t>）</w:t>
      </w:r>
    </w:p>
    <w:p>
      <w:pPr>
        <w:pStyle w:val="BodyText"/>
        <w:spacing w:before="80" w:line="221" w:lineRule="auto"/>
        <w:ind w:left="423"/>
        <w:rPr>
          <w:rFonts w:ascii="SimSun" w:eastAsia="SimSun" w:hAnsi="SimSun" w:cs="SimSun"/>
        </w:rPr>
      </w:pPr>
      <w:r>
        <w:t>ISO</w:t>
      </w:r>
      <w:r>
        <w:rPr>
          <w:spacing w:val="11"/>
        </w:rPr>
        <w:t xml:space="preserve"> 7504    </w:t>
      </w:r>
      <w:r>
        <w:rPr>
          <w:rFonts w:ascii="SimSun" w:eastAsia="SimSun" w:hAnsi="SimSun" w:cs="SimSun"/>
          <w:spacing w:val="11"/>
        </w:rPr>
        <w:t>气体分析 词汇（</w:t>
      </w:r>
      <w:r>
        <w:t>Gas</w:t>
      </w:r>
      <w:r>
        <w:rPr>
          <w:spacing w:val="11"/>
        </w:rPr>
        <w:t xml:space="preserve"> </w:t>
      </w:r>
      <w:r>
        <w:t>analysis</w:t>
      </w:r>
      <w:r>
        <w:rPr>
          <w:rFonts w:ascii="SimSun" w:eastAsia="SimSun" w:hAnsi="SimSun" w:cs="SimSun"/>
          <w:spacing w:val="11"/>
        </w:rPr>
        <w:t>—</w:t>
      </w:r>
      <w:r>
        <w:t>Vocabulary</w:t>
      </w:r>
      <w:r>
        <w:rPr>
          <w:rFonts w:ascii="SimSun" w:eastAsia="SimSun" w:hAnsi="SimSun" w:cs="SimSun"/>
          <w:spacing w:val="11"/>
        </w:rPr>
        <w:t>）</w:t>
      </w:r>
    </w:p>
    <w:p>
      <w:pPr>
        <w:pStyle w:val="BodyText"/>
        <w:spacing w:before="88" w:line="222" w:lineRule="auto"/>
        <w:ind w:left="369"/>
        <w:rPr>
          <w:rFonts w:ascii="SimSun" w:eastAsia="SimSun" w:hAnsi="SimSun" w:cs="SimSun"/>
          <w:sz w:val="18"/>
          <w:szCs w:val="18"/>
        </w:rPr>
      </w:pPr>
      <w:r>
        <w:rPr>
          <w:rFonts w:ascii="SimHei" w:eastAsia="SimHei" w:hAnsi="SimHei" w:cs="SimHei"/>
          <w:spacing w:val="-1"/>
          <w:sz w:val="18"/>
          <w:szCs w:val="18"/>
        </w:rPr>
        <w:t>注：</w:t>
      </w:r>
      <w:r>
        <w:rPr>
          <w:spacing w:val="-1"/>
          <w:sz w:val="18"/>
          <w:szCs w:val="18"/>
        </w:rPr>
        <w:t>GB/T</w:t>
      </w:r>
      <w:r>
        <w:rPr>
          <w:spacing w:val="29"/>
          <w:sz w:val="18"/>
          <w:szCs w:val="18"/>
        </w:rPr>
        <w:t xml:space="preserve"> </w:t>
      </w:r>
      <w:r>
        <w:rPr>
          <w:spacing w:val="-1"/>
          <w:sz w:val="18"/>
          <w:szCs w:val="18"/>
        </w:rPr>
        <w:t xml:space="preserve">14850—2020    </w:t>
      </w:r>
      <w:r>
        <w:rPr>
          <w:rFonts w:ascii="SimSun" w:eastAsia="SimSun" w:hAnsi="SimSun" w:cs="SimSun"/>
          <w:spacing w:val="-1"/>
          <w:sz w:val="18"/>
          <w:szCs w:val="18"/>
        </w:rPr>
        <w:t>气体分析 词汇（</w:t>
      </w:r>
      <w:r>
        <w:rPr>
          <w:spacing w:val="-1"/>
          <w:sz w:val="18"/>
          <w:szCs w:val="18"/>
        </w:rPr>
        <w:t>ISO 7504:2015</w:t>
      </w:r>
      <w:r>
        <w:rPr>
          <w:spacing w:val="-25"/>
          <w:sz w:val="18"/>
          <w:szCs w:val="18"/>
        </w:rPr>
        <w:t xml:space="preserve"> </w:t>
      </w:r>
      <w:r>
        <w:rPr>
          <w:rFonts w:ascii="SimSun" w:eastAsia="SimSun" w:hAnsi="SimSun" w:cs="SimSun"/>
          <w:spacing w:val="-1"/>
          <w:sz w:val="18"/>
          <w:szCs w:val="18"/>
        </w:rPr>
        <w:t>，</w:t>
      </w:r>
      <w:r>
        <w:rPr>
          <w:spacing w:val="-1"/>
          <w:sz w:val="18"/>
          <w:szCs w:val="18"/>
        </w:rPr>
        <w:t>IDT</w:t>
      </w:r>
      <w:r>
        <w:rPr>
          <w:rFonts w:ascii="SimSun" w:eastAsia="SimSun" w:hAnsi="SimSun" w:cs="SimSun"/>
          <w:spacing w:val="-1"/>
          <w:sz w:val="18"/>
          <w:szCs w:val="18"/>
        </w:rPr>
        <w:t>）</w:t>
      </w:r>
    </w:p>
    <w:p>
      <w:pPr>
        <w:pStyle w:val="BodyText"/>
        <w:spacing w:before="81" w:line="276" w:lineRule="auto"/>
        <w:ind w:right="55" w:firstLine="423"/>
        <w:rPr>
          <w:rFonts w:ascii="SimSun" w:eastAsia="SimSun" w:hAnsi="SimSun" w:cs="SimSun"/>
        </w:rPr>
      </w:pPr>
      <w:r>
        <w:t>ISO</w:t>
      </w:r>
      <w:r>
        <w:rPr>
          <w:spacing w:val="20"/>
        </w:rPr>
        <w:t xml:space="preserve">  </w:t>
      </w:r>
      <w:r>
        <w:rPr>
          <w:spacing w:val="1"/>
        </w:rPr>
        <w:t xml:space="preserve">12963   </w:t>
      </w:r>
      <w:r>
        <w:rPr>
          <w:rFonts w:ascii="SimSun" w:eastAsia="SimSun" w:hAnsi="SimSun" w:cs="SimSun"/>
          <w:spacing w:val="1"/>
        </w:rPr>
        <w:t>气</w:t>
      </w:r>
      <w:r>
        <w:rPr>
          <w:rFonts w:ascii="SimSun" w:eastAsia="SimSun" w:hAnsi="SimSun" w:cs="SimSun"/>
          <w:spacing w:val="-29"/>
        </w:rPr>
        <w:t xml:space="preserve"> </w:t>
      </w:r>
      <w:r>
        <w:rPr>
          <w:rFonts w:ascii="SimSun" w:eastAsia="SimSun" w:hAnsi="SimSun" w:cs="SimSun"/>
          <w:spacing w:val="1"/>
        </w:rPr>
        <w:t>体</w:t>
      </w:r>
      <w:r>
        <w:rPr>
          <w:rFonts w:ascii="SimSun" w:eastAsia="SimSun" w:hAnsi="SimSun" w:cs="SimSun"/>
          <w:spacing w:val="-30"/>
        </w:rPr>
        <w:t xml:space="preserve"> </w:t>
      </w:r>
      <w:r>
        <w:rPr>
          <w:rFonts w:ascii="SimSun" w:eastAsia="SimSun" w:hAnsi="SimSun" w:cs="SimSun"/>
          <w:spacing w:val="1"/>
        </w:rPr>
        <w:t>分</w:t>
      </w:r>
      <w:r>
        <w:rPr>
          <w:rFonts w:ascii="SimSun" w:eastAsia="SimSun" w:hAnsi="SimSun" w:cs="SimSun"/>
          <w:spacing w:val="-28"/>
        </w:rPr>
        <w:t xml:space="preserve"> </w:t>
      </w:r>
      <w:r>
        <w:rPr>
          <w:rFonts w:ascii="SimSun" w:eastAsia="SimSun" w:hAnsi="SimSun" w:cs="SimSun"/>
          <w:spacing w:val="1"/>
        </w:rPr>
        <w:t>析  基</w:t>
      </w:r>
      <w:r>
        <w:rPr>
          <w:rFonts w:ascii="SimSun" w:eastAsia="SimSun" w:hAnsi="SimSun" w:cs="SimSun"/>
          <w:spacing w:val="-26"/>
        </w:rPr>
        <w:t xml:space="preserve"> </w:t>
      </w:r>
      <w:r>
        <w:rPr>
          <w:rFonts w:ascii="SimSun" w:eastAsia="SimSun" w:hAnsi="SimSun" w:cs="SimSun"/>
          <w:spacing w:val="1"/>
        </w:rPr>
        <w:t>于</w:t>
      </w:r>
      <w:r>
        <w:rPr>
          <w:rFonts w:ascii="SimSun" w:eastAsia="SimSun" w:hAnsi="SimSun" w:cs="SimSun"/>
          <w:spacing w:val="-31"/>
        </w:rPr>
        <w:t xml:space="preserve"> </w:t>
      </w:r>
      <w:r>
        <w:rPr>
          <w:rFonts w:ascii="SimSun" w:eastAsia="SimSun" w:hAnsi="SimSun" w:cs="SimSun"/>
          <w:spacing w:val="1"/>
        </w:rPr>
        <w:t>单</w:t>
      </w:r>
      <w:r>
        <w:rPr>
          <w:rFonts w:ascii="SimSun" w:eastAsia="SimSun" w:hAnsi="SimSun" w:cs="SimSun"/>
          <w:spacing w:val="-19"/>
        </w:rPr>
        <w:t xml:space="preserve"> </w:t>
      </w:r>
      <w:r>
        <w:rPr>
          <w:rFonts w:ascii="SimSun" w:eastAsia="SimSun" w:hAnsi="SimSun" w:cs="SimSun"/>
          <w:spacing w:val="1"/>
        </w:rPr>
        <w:t>点</w:t>
      </w:r>
      <w:r>
        <w:rPr>
          <w:rFonts w:ascii="SimSun" w:eastAsia="SimSun" w:hAnsi="SimSun" w:cs="SimSun"/>
          <w:spacing w:val="-28"/>
        </w:rPr>
        <w:t xml:space="preserve"> </w:t>
      </w:r>
      <w:r>
        <w:rPr>
          <w:rFonts w:ascii="SimSun" w:eastAsia="SimSun" w:hAnsi="SimSun" w:cs="SimSun"/>
          <w:spacing w:val="1"/>
        </w:rPr>
        <w:t>和</w:t>
      </w:r>
      <w:r>
        <w:rPr>
          <w:rFonts w:ascii="SimSun" w:eastAsia="SimSun" w:hAnsi="SimSun" w:cs="SimSun"/>
          <w:spacing w:val="-32"/>
        </w:rPr>
        <w:t xml:space="preserve"> </w:t>
      </w:r>
      <w:r>
        <w:rPr>
          <w:rFonts w:ascii="SimSun" w:eastAsia="SimSun" w:hAnsi="SimSun" w:cs="SimSun"/>
          <w:spacing w:val="1"/>
        </w:rPr>
        <w:t>两</w:t>
      </w:r>
      <w:r>
        <w:rPr>
          <w:rFonts w:ascii="SimSun" w:eastAsia="SimSun" w:hAnsi="SimSun" w:cs="SimSun"/>
          <w:spacing w:val="-19"/>
        </w:rPr>
        <w:t xml:space="preserve"> </w:t>
      </w:r>
      <w:r>
        <w:rPr>
          <w:rFonts w:ascii="SimSun" w:eastAsia="SimSun" w:hAnsi="SimSun" w:cs="SimSun"/>
          <w:spacing w:val="1"/>
        </w:rPr>
        <w:t>点</w:t>
      </w:r>
      <w:r>
        <w:rPr>
          <w:rFonts w:ascii="SimSun" w:eastAsia="SimSun" w:hAnsi="SimSun" w:cs="SimSun"/>
          <w:spacing w:val="-28"/>
        </w:rPr>
        <w:t xml:space="preserve"> </w:t>
      </w:r>
      <w:r>
        <w:rPr>
          <w:rFonts w:ascii="SimSun" w:eastAsia="SimSun" w:hAnsi="SimSun" w:cs="SimSun"/>
          <w:spacing w:val="1"/>
        </w:rPr>
        <w:t>校</w:t>
      </w:r>
      <w:r>
        <w:rPr>
          <w:rFonts w:ascii="SimSun" w:eastAsia="SimSun" w:hAnsi="SimSun" w:cs="SimSun"/>
          <w:spacing w:val="-31"/>
        </w:rPr>
        <w:t xml:space="preserve"> </w:t>
      </w:r>
      <w:r>
        <w:rPr>
          <w:rFonts w:ascii="SimSun" w:eastAsia="SimSun" w:hAnsi="SimSun" w:cs="SimSun"/>
          <w:spacing w:val="1"/>
        </w:rPr>
        <w:t>准</w:t>
      </w:r>
      <w:r>
        <w:rPr>
          <w:rFonts w:ascii="SimSun" w:eastAsia="SimSun" w:hAnsi="SimSun" w:cs="SimSun"/>
          <w:spacing w:val="-29"/>
        </w:rPr>
        <w:t xml:space="preserve"> </w:t>
      </w:r>
      <w:r>
        <w:rPr>
          <w:rFonts w:ascii="SimSun" w:eastAsia="SimSun" w:hAnsi="SimSun" w:cs="SimSun"/>
          <w:spacing w:val="1"/>
        </w:rPr>
        <w:t>测</w:t>
      </w:r>
      <w:r>
        <w:rPr>
          <w:rFonts w:ascii="SimSun" w:eastAsia="SimSun" w:hAnsi="SimSun" w:cs="SimSun"/>
          <w:spacing w:val="-24"/>
        </w:rPr>
        <w:t xml:space="preserve"> </w:t>
      </w:r>
      <w:r>
        <w:rPr>
          <w:rFonts w:ascii="SimSun" w:eastAsia="SimSun" w:hAnsi="SimSun" w:cs="SimSun"/>
          <w:spacing w:val="1"/>
        </w:rPr>
        <w:t>定</w:t>
      </w:r>
      <w:r>
        <w:rPr>
          <w:rFonts w:ascii="SimSun" w:eastAsia="SimSun" w:hAnsi="SimSun" w:cs="SimSun"/>
          <w:spacing w:val="-30"/>
        </w:rPr>
        <w:t xml:space="preserve"> </w:t>
      </w:r>
      <w:r>
        <w:rPr>
          <w:rFonts w:ascii="SimSun" w:eastAsia="SimSun" w:hAnsi="SimSun" w:cs="SimSun"/>
          <w:spacing w:val="1"/>
        </w:rPr>
        <w:t>混</w:t>
      </w:r>
      <w:r>
        <w:rPr>
          <w:rFonts w:ascii="SimSun" w:eastAsia="SimSun" w:hAnsi="SimSun" w:cs="SimSun"/>
          <w:spacing w:val="-29"/>
        </w:rPr>
        <w:t xml:space="preserve"> </w:t>
      </w:r>
      <w:r>
        <w:rPr>
          <w:rFonts w:ascii="SimSun" w:eastAsia="SimSun" w:hAnsi="SimSun" w:cs="SimSun"/>
          <w:spacing w:val="1"/>
        </w:rPr>
        <w:t>合</w:t>
      </w:r>
      <w:r>
        <w:rPr>
          <w:rFonts w:ascii="SimSun" w:eastAsia="SimSun" w:hAnsi="SimSun" w:cs="SimSun"/>
          <w:spacing w:val="-28"/>
        </w:rPr>
        <w:t xml:space="preserve"> </w:t>
      </w:r>
      <w:r>
        <w:rPr>
          <w:rFonts w:ascii="SimSun" w:eastAsia="SimSun" w:hAnsi="SimSun" w:cs="SimSun"/>
        </w:rPr>
        <w:t>气</w:t>
      </w:r>
      <w:r>
        <w:rPr>
          <w:rFonts w:ascii="SimSun" w:eastAsia="SimSun" w:hAnsi="SimSun" w:cs="SimSun"/>
          <w:spacing w:val="-33"/>
        </w:rPr>
        <w:t xml:space="preserve"> </w:t>
      </w:r>
      <w:r>
        <w:rPr>
          <w:rFonts w:ascii="SimSun" w:eastAsia="SimSun" w:hAnsi="SimSun" w:cs="SimSun"/>
        </w:rPr>
        <w:t>体 的</w:t>
      </w:r>
      <w:r>
        <w:rPr>
          <w:rFonts w:ascii="SimSun" w:eastAsia="SimSun" w:hAnsi="SimSun" w:cs="SimSun"/>
          <w:spacing w:val="-27"/>
        </w:rPr>
        <w:t xml:space="preserve"> </w:t>
      </w:r>
      <w:r>
        <w:rPr>
          <w:rFonts w:ascii="SimSun" w:eastAsia="SimSun" w:hAnsi="SimSun" w:cs="SimSun"/>
        </w:rPr>
        <w:t>组</w:t>
      </w:r>
      <w:r>
        <w:rPr>
          <w:rFonts w:ascii="SimSun" w:eastAsia="SimSun" w:hAnsi="SimSun" w:cs="SimSun"/>
          <w:spacing w:val="-30"/>
        </w:rPr>
        <w:t xml:space="preserve"> </w:t>
      </w:r>
      <w:r>
        <w:rPr>
          <w:rFonts w:ascii="SimSun" w:eastAsia="SimSun" w:hAnsi="SimSun" w:cs="SimSun"/>
        </w:rPr>
        <w:t>成 的 比</w:t>
      </w:r>
      <w:r>
        <w:rPr>
          <w:rFonts w:ascii="SimSun" w:eastAsia="SimSun" w:hAnsi="SimSun" w:cs="SimSun"/>
          <w:spacing w:val="-32"/>
        </w:rPr>
        <w:t xml:space="preserve"> </w:t>
      </w:r>
      <w:r>
        <w:rPr>
          <w:rFonts w:ascii="SimSun" w:eastAsia="SimSun" w:hAnsi="SimSun" w:cs="SimSun"/>
        </w:rPr>
        <w:t>较</w:t>
      </w:r>
      <w:r>
        <w:rPr>
          <w:rFonts w:ascii="SimSun" w:eastAsia="SimSun" w:hAnsi="SimSun" w:cs="SimSun"/>
          <w:spacing w:val="-29"/>
        </w:rPr>
        <w:t xml:space="preserve"> </w:t>
      </w:r>
      <w:r>
        <w:rPr>
          <w:rFonts w:ascii="SimSun" w:eastAsia="SimSun" w:hAnsi="SimSun" w:cs="SimSun"/>
        </w:rPr>
        <w:t>法</w:t>
      </w:r>
      <w:r>
        <w:rPr>
          <w:rFonts w:ascii="SimSun" w:eastAsia="SimSun" w:hAnsi="SimSun" w:cs="SimSun"/>
          <w:spacing w:val="-33"/>
        </w:rPr>
        <w:t xml:space="preserve"> </w:t>
      </w:r>
      <w:r>
        <w:rPr>
          <w:rFonts w:ascii="SimSun" w:eastAsia="SimSun" w:hAnsi="SimSun" w:cs="SimSun"/>
        </w:rPr>
        <w:t>（</w:t>
      </w:r>
      <w:r>
        <w:t xml:space="preserve">Gas </w:t>
      </w:r>
      <w:r>
        <w:rPr>
          <w:spacing w:val="5"/>
        </w:rPr>
        <w:t>analysis—Comparison</w:t>
      </w:r>
      <w:r>
        <w:rPr>
          <w:spacing w:val="32"/>
        </w:rPr>
        <w:t xml:space="preserve"> </w:t>
      </w:r>
      <w:r>
        <w:rPr>
          <w:spacing w:val="5"/>
        </w:rPr>
        <w:t>methods</w:t>
      </w:r>
      <w:r>
        <w:rPr>
          <w:spacing w:val="38"/>
        </w:rPr>
        <w:t xml:space="preserve"> </w:t>
      </w:r>
      <w:r>
        <w:rPr>
          <w:spacing w:val="5"/>
        </w:rPr>
        <w:t>for</w:t>
      </w:r>
      <w:r>
        <w:rPr>
          <w:spacing w:val="30"/>
        </w:rPr>
        <w:t xml:space="preserve"> </w:t>
      </w:r>
      <w:r>
        <w:rPr>
          <w:spacing w:val="5"/>
        </w:rPr>
        <w:t>the</w:t>
      </w:r>
      <w:r>
        <w:rPr>
          <w:spacing w:val="37"/>
        </w:rPr>
        <w:t xml:space="preserve"> </w:t>
      </w:r>
      <w:r>
        <w:rPr>
          <w:spacing w:val="5"/>
        </w:rPr>
        <w:t>de</w:t>
      </w:r>
      <w:r>
        <w:rPr>
          <w:spacing w:val="4"/>
        </w:rPr>
        <w:t>termination</w:t>
      </w:r>
      <w:r>
        <w:rPr>
          <w:spacing w:val="37"/>
          <w:w w:val="101"/>
        </w:rPr>
        <w:t xml:space="preserve"> </w:t>
      </w:r>
      <w:r>
        <w:rPr>
          <w:spacing w:val="4"/>
        </w:rPr>
        <w:t>of the</w:t>
      </w:r>
      <w:r>
        <w:rPr>
          <w:spacing w:val="37"/>
          <w:w w:val="101"/>
        </w:rPr>
        <w:t xml:space="preserve"> </w:t>
      </w:r>
      <w:r>
        <w:rPr>
          <w:spacing w:val="4"/>
        </w:rPr>
        <w:t>composition</w:t>
      </w:r>
      <w:r>
        <w:rPr>
          <w:spacing w:val="37"/>
          <w:w w:val="101"/>
        </w:rPr>
        <w:t xml:space="preserve"> </w:t>
      </w:r>
      <w:r>
        <w:rPr>
          <w:spacing w:val="4"/>
        </w:rPr>
        <w:t>of gas</w:t>
      </w:r>
      <w:r>
        <w:rPr>
          <w:spacing w:val="33"/>
          <w:w w:val="101"/>
        </w:rPr>
        <w:t xml:space="preserve"> </w:t>
      </w:r>
      <w:r>
        <w:rPr>
          <w:spacing w:val="4"/>
        </w:rPr>
        <w:t>mixtures</w:t>
      </w:r>
      <w:r>
        <w:rPr>
          <w:spacing w:val="29"/>
        </w:rPr>
        <w:t xml:space="preserve"> </w:t>
      </w:r>
      <w:r>
        <w:rPr>
          <w:spacing w:val="4"/>
        </w:rPr>
        <w:t>based</w:t>
      </w:r>
      <w:r>
        <w:rPr>
          <w:spacing w:val="37"/>
        </w:rPr>
        <w:t xml:space="preserve"> </w:t>
      </w:r>
      <w:r>
        <w:rPr>
          <w:spacing w:val="4"/>
        </w:rPr>
        <w:t>on</w:t>
      </w:r>
      <w:r>
        <w:rPr>
          <w:spacing w:val="35"/>
        </w:rPr>
        <w:t xml:space="preserve"> </w:t>
      </w:r>
      <w:r>
        <w:rPr>
          <w:spacing w:val="4"/>
        </w:rPr>
        <w:t>one-and</w:t>
      </w:r>
      <w:r>
        <w:t xml:space="preserve"> </w:t>
      </w:r>
      <w:r>
        <w:t>two</w:t>
      </w:r>
      <w:r>
        <w:rPr>
          <w:spacing w:val="26"/>
        </w:rPr>
        <w:t>-</w:t>
      </w:r>
      <w:r>
        <w:t>point</w:t>
      </w:r>
      <w:r>
        <w:rPr>
          <w:spacing w:val="26"/>
        </w:rPr>
        <w:t xml:space="preserve"> </w:t>
      </w:r>
      <w:r>
        <w:t>calibration</w:t>
      </w:r>
      <w:r>
        <w:rPr>
          <w:rFonts w:ascii="SimSun" w:eastAsia="SimSun" w:hAnsi="SimSun" w:cs="SimSun"/>
          <w:spacing w:val="26"/>
        </w:rPr>
        <w:t>）</w:t>
      </w:r>
    </w:p>
    <w:p>
      <w:pPr>
        <w:pStyle w:val="BodyText"/>
        <w:spacing w:before="88" w:line="222" w:lineRule="auto"/>
        <w:ind w:left="367"/>
        <w:rPr>
          <w:rFonts w:ascii="SimSun" w:eastAsia="SimSun" w:hAnsi="SimSun" w:cs="SimSun"/>
          <w:sz w:val="18"/>
          <w:szCs w:val="18"/>
        </w:rPr>
      </w:pPr>
      <w:r>
        <w:rPr>
          <w:rFonts w:ascii="SimHei" w:eastAsia="SimHei" w:hAnsi="SimHei" w:cs="SimHei"/>
          <w:spacing w:val="-1"/>
          <w:sz w:val="18"/>
          <w:szCs w:val="18"/>
        </w:rPr>
        <w:t>注：</w:t>
      </w:r>
      <w:r>
        <w:rPr>
          <w:spacing w:val="-1"/>
          <w:sz w:val="18"/>
          <w:szCs w:val="18"/>
        </w:rPr>
        <w:t xml:space="preserve">GB/T XXXXX—XXXX  </w:t>
      </w:r>
      <w:r>
        <w:rPr>
          <w:rFonts w:ascii="SimSun" w:eastAsia="SimSun" w:hAnsi="SimSun" w:cs="SimSun"/>
          <w:spacing w:val="-1"/>
          <w:sz w:val="18"/>
          <w:szCs w:val="18"/>
        </w:rPr>
        <w:t>气体分析 混合气体组成数据的换算（</w:t>
      </w:r>
      <w:r>
        <w:rPr>
          <w:spacing w:val="-1"/>
          <w:sz w:val="18"/>
          <w:szCs w:val="18"/>
        </w:rPr>
        <w:t>ISO</w:t>
      </w:r>
      <w:r>
        <w:rPr>
          <w:spacing w:val="21"/>
          <w:w w:val="102"/>
          <w:sz w:val="18"/>
          <w:szCs w:val="18"/>
        </w:rPr>
        <w:t xml:space="preserve"> </w:t>
      </w:r>
      <w:r>
        <w:rPr>
          <w:spacing w:val="-1"/>
          <w:sz w:val="18"/>
          <w:szCs w:val="18"/>
        </w:rPr>
        <w:t>12963:2017</w:t>
      </w:r>
      <w:r>
        <w:rPr>
          <w:spacing w:val="-25"/>
          <w:sz w:val="18"/>
          <w:szCs w:val="18"/>
        </w:rPr>
        <w:t xml:space="preserve"> </w:t>
      </w:r>
      <w:r>
        <w:rPr>
          <w:rFonts w:ascii="SimSun" w:eastAsia="SimSun" w:hAnsi="SimSun" w:cs="SimSun"/>
          <w:spacing w:val="-1"/>
          <w:sz w:val="18"/>
          <w:szCs w:val="18"/>
        </w:rPr>
        <w:t>，</w:t>
      </w:r>
      <w:r>
        <w:rPr>
          <w:spacing w:val="-2"/>
          <w:sz w:val="18"/>
          <w:szCs w:val="18"/>
        </w:rPr>
        <w:t>IDT</w:t>
      </w:r>
      <w:r>
        <w:rPr>
          <w:rFonts w:ascii="SimSun" w:eastAsia="SimSun" w:hAnsi="SimSun" w:cs="SimSun"/>
          <w:spacing w:val="-2"/>
          <w:sz w:val="18"/>
          <w:szCs w:val="18"/>
        </w:rPr>
        <w:t>）</w:t>
      </w:r>
    </w:p>
    <w:p>
      <w:pPr>
        <w:pStyle w:val="BodyText"/>
        <w:spacing w:before="82" w:line="254" w:lineRule="auto"/>
        <w:ind w:left="5" w:right="55" w:firstLine="418"/>
        <w:rPr>
          <w:rFonts w:ascii="SimSun" w:eastAsia="SimSun" w:hAnsi="SimSun" w:cs="SimSun"/>
        </w:rPr>
      </w:pPr>
      <w:r>
        <w:t>ISO</w:t>
      </w:r>
      <w:r>
        <w:rPr>
          <w:spacing w:val="6"/>
        </w:rPr>
        <w:t xml:space="preserve">  14912   </w:t>
      </w:r>
      <w:r>
        <w:rPr>
          <w:rFonts w:ascii="SimSun" w:eastAsia="SimSun" w:hAnsi="SimSun" w:cs="SimSun"/>
          <w:spacing w:val="6"/>
        </w:rPr>
        <w:t>气</w:t>
      </w:r>
      <w:r>
        <w:rPr>
          <w:rFonts w:ascii="SimSun" w:eastAsia="SimSun" w:hAnsi="SimSun" w:cs="SimSun"/>
          <w:spacing w:val="-47"/>
        </w:rPr>
        <w:t xml:space="preserve"> </w:t>
      </w:r>
      <w:r>
        <w:rPr>
          <w:rFonts w:ascii="SimSun" w:eastAsia="SimSun" w:hAnsi="SimSun" w:cs="SimSun"/>
          <w:spacing w:val="6"/>
        </w:rPr>
        <w:t>体</w:t>
      </w:r>
      <w:r>
        <w:rPr>
          <w:rFonts w:ascii="SimSun" w:eastAsia="SimSun" w:hAnsi="SimSun" w:cs="SimSun"/>
          <w:spacing w:val="-49"/>
        </w:rPr>
        <w:t xml:space="preserve"> </w:t>
      </w:r>
      <w:r>
        <w:rPr>
          <w:rFonts w:ascii="SimSun" w:eastAsia="SimSun" w:hAnsi="SimSun" w:cs="SimSun"/>
          <w:spacing w:val="6"/>
        </w:rPr>
        <w:t>分</w:t>
      </w:r>
      <w:r>
        <w:rPr>
          <w:rFonts w:ascii="SimSun" w:eastAsia="SimSun" w:hAnsi="SimSun" w:cs="SimSun"/>
          <w:spacing w:val="-47"/>
        </w:rPr>
        <w:t xml:space="preserve"> </w:t>
      </w:r>
      <w:r>
        <w:rPr>
          <w:rFonts w:ascii="SimSun" w:eastAsia="SimSun" w:hAnsi="SimSun" w:cs="SimSun"/>
          <w:spacing w:val="6"/>
        </w:rPr>
        <w:t>析  混</w:t>
      </w:r>
      <w:r>
        <w:rPr>
          <w:rFonts w:ascii="SimSun" w:eastAsia="SimSun" w:hAnsi="SimSun" w:cs="SimSun"/>
          <w:spacing w:val="-48"/>
        </w:rPr>
        <w:t xml:space="preserve"> </w:t>
      </w:r>
      <w:r>
        <w:rPr>
          <w:rFonts w:ascii="SimSun" w:eastAsia="SimSun" w:hAnsi="SimSun" w:cs="SimSun"/>
          <w:spacing w:val="6"/>
        </w:rPr>
        <w:t>合</w:t>
      </w:r>
      <w:r>
        <w:rPr>
          <w:rFonts w:ascii="SimSun" w:eastAsia="SimSun" w:hAnsi="SimSun" w:cs="SimSun"/>
          <w:spacing w:val="-51"/>
        </w:rPr>
        <w:t xml:space="preserve"> </w:t>
      </w:r>
      <w:r>
        <w:rPr>
          <w:rFonts w:ascii="SimSun" w:eastAsia="SimSun" w:hAnsi="SimSun" w:cs="SimSun"/>
          <w:spacing w:val="6"/>
        </w:rPr>
        <w:t>气</w:t>
      </w:r>
      <w:r>
        <w:rPr>
          <w:rFonts w:ascii="SimSun" w:eastAsia="SimSun" w:hAnsi="SimSun" w:cs="SimSun"/>
          <w:spacing w:val="-49"/>
        </w:rPr>
        <w:t xml:space="preserve"> </w:t>
      </w:r>
      <w:r>
        <w:rPr>
          <w:rFonts w:ascii="SimSun" w:eastAsia="SimSun" w:hAnsi="SimSun" w:cs="SimSun"/>
          <w:spacing w:val="6"/>
        </w:rPr>
        <w:t>体</w:t>
      </w:r>
      <w:r>
        <w:rPr>
          <w:rFonts w:ascii="SimSun" w:eastAsia="SimSun" w:hAnsi="SimSun" w:cs="SimSun"/>
          <w:spacing w:val="-46"/>
        </w:rPr>
        <w:t xml:space="preserve"> </w:t>
      </w:r>
      <w:r>
        <w:rPr>
          <w:rFonts w:ascii="SimSun" w:eastAsia="SimSun" w:hAnsi="SimSun" w:cs="SimSun"/>
          <w:spacing w:val="6"/>
        </w:rPr>
        <w:t>组</w:t>
      </w:r>
      <w:r>
        <w:rPr>
          <w:rFonts w:ascii="SimSun" w:eastAsia="SimSun" w:hAnsi="SimSun" w:cs="SimSun"/>
          <w:spacing w:val="-50"/>
        </w:rPr>
        <w:t xml:space="preserve"> </w:t>
      </w:r>
      <w:r>
        <w:rPr>
          <w:rFonts w:ascii="SimSun" w:eastAsia="SimSun" w:hAnsi="SimSun" w:cs="SimSun"/>
          <w:spacing w:val="6"/>
        </w:rPr>
        <w:t>成</w:t>
      </w:r>
      <w:r>
        <w:rPr>
          <w:rFonts w:ascii="SimSun" w:eastAsia="SimSun" w:hAnsi="SimSun" w:cs="SimSun"/>
          <w:spacing w:val="-47"/>
        </w:rPr>
        <w:t xml:space="preserve"> </w:t>
      </w:r>
      <w:r>
        <w:rPr>
          <w:rFonts w:ascii="SimSun" w:eastAsia="SimSun" w:hAnsi="SimSun" w:cs="SimSun"/>
          <w:spacing w:val="6"/>
        </w:rPr>
        <w:t>数</w:t>
      </w:r>
      <w:r>
        <w:rPr>
          <w:rFonts w:ascii="SimSun" w:eastAsia="SimSun" w:hAnsi="SimSun" w:cs="SimSun"/>
          <w:spacing w:val="-52"/>
        </w:rPr>
        <w:t xml:space="preserve"> </w:t>
      </w:r>
      <w:r>
        <w:rPr>
          <w:rFonts w:ascii="SimSun" w:eastAsia="SimSun" w:hAnsi="SimSun" w:cs="SimSun"/>
          <w:spacing w:val="6"/>
        </w:rPr>
        <w:t>据</w:t>
      </w:r>
      <w:r>
        <w:rPr>
          <w:rFonts w:ascii="SimSun" w:eastAsia="SimSun" w:hAnsi="SimSun" w:cs="SimSun"/>
          <w:spacing w:val="-32"/>
        </w:rPr>
        <w:t xml:space="preserve"> </w:t>
      </w:r>
      <w:r>
        <w:rPr>
          <w:rFonts w:ascii="SimSun" w:eastAsia="SimSun" w:hAnsi="SimSun" w:cs="SimSun"/>
          <w:spacing w:val="6"/>
        </w:rPr>
        <w:t>的</w:t>
      </w:r>
      <w:r>
        <w:rPr>
          <w:rFonts w:ascii="SimSun" w:eastAsia="SimSun" w:hAnsi="SimSun" w:cs="SimSun"/>
          <w:spacing w:val="-47"/>
        </w:rPr>
        <w:t xml:space="preserve"> </w:t>
      </w:r>
      <w:r>
        <w:rPr>
          <w:rFonts w:ascii="SimSun" w:eastAsia="SimSun" w:hAnsi="SimSun" w:cs="SimSun"/>
          <w:spacing w:val="6"/>
        </w:rPr>
        <w:t>换</w:t>
      </w:r>
      <w:r>
        <w:rPr>
          <w:rFonts w:ascii="SimSun" w:eastAsia="SimSun" w:hAnsi="SimSun" w:cs="SimSun"/>
          <w:spacing w:val="-49"/>
        </w:rPr>
        <w:t xml:space="preserve"> </w:t>
      </w:r>
      <w:r>
        <w:rPr>
          <w:rFonts w:ascii="SimSun" w:eastAsia="SimSun" w:hAnsi="SimSun" w:cs="SimSun"/>
          <w:spacing w:val="6"/>
        </w:rPr>
        <w:t>算</w:t>
      </w:r>
      <w:r>
        <w:rPr>
          <w:rFonts w:ascii="SimSun" w:eastAsia="SimSun" w:hAnsi="SimSun" w:cs="SimSun"/>
          <w:spacing w:val="-52"/>
        </w:rPr>
        <w:t xml:space="preserve"> </w:t>
      </w:r>
      <w:r>
        <w:rPr>
          <w:rFonts w:ascii="SimSun" w:eastAsia="SimSun" w:hAnsi="SimSun" w:cs="SimSun"/>
          <w:spacing w:val="6"/>
        </w:rPr>
        <w:t>（</w:t>
      </w:r>
      <w:r>
        <w:t>Gas</w:t>
      </w:r>
      <w:r>
        <w:rPr>
          <w:spacing w:val="6"/>
        </w:rPr>
        <w:t xml:space="preserve">  </w:t>
      </w:r>
      <w:r>
        <w:t>analysis</w:t>
      </w:r>
      <w:r>
        <w:rPr>
          <w:spacing w:val="6"/>
        </w:rPr>
        <w:t>—</w:t>
      </w:r>
      <w:r>
        <w:t>Conversion</w:t>
      </w:r>
      <w:r>
        <w:rPr>
          <w:spacing w:val="6"/>
        </w:rPr>
        <w:t xml:space="preserve">  </w:t>
      </w:r>
      <w:r>
        <w:t>of</w:t>
      </w:r>
      <w:r>
        <w:rPr>
          <w:spacing w:val="26"/>
        </w:rPr>
        <w:t xml:space="preserve"> </w:t>
      </w:r>
      <w:r>
        <w:t>gas</w:t>
      </w:r>
      <w:r>
        <w:rPr>
          <w:spacing w:val="6"/>
        </w:rPr>
        <w:t xml:space="preserve">  </w:t>
      </w:r>
      <w:r>
        <w:t xml:space="preserve">mixture </w:t>
      </w:r>
      <w:r>
        <w:t>composition</w:t>
      </w:r>
      <w:r>
        <w:rPr>
          <w:spacing w:val="29"/>
        </w:rPr>
        <w:t xml:space="preserve"> </w:t>
      </w:r>
      <w:r>
        <w:t>data</w:t>
      </w:r>
      <w:r>
        <w:rPr>
          <w:rFonts w:ascii="SimSun" w:eastAsia="SimSun" w:hAnsi="SimSun" w:cs="SimSun"/>
          <w:spacing w:val="29"/>
        </w:rPr>
        <w:t>）</w:t>
      </w:r>
    </w:p>
    <w:p>
      <w:pPr>
        <w:pStyle w:val="BodyText"/>
        <w:spacing w:before="87" w:line="222" w:lineRule="auto"/>
        <w:ind w:left="367"/>
        <w:rPr>
          <w:rFonts w:ascii="SimSun" w:eastAsia="SimSun" w:hAnsi="SimSun" w:cs="SimSun"/>
          <w:sz w:val="18"/>
          <w:szCs w:val="18"/>
        </w:rPr>
      </w:pPr>
      <w:r>
        <w:rPr>
          <w:rFonts w:ascii="SimHei" w:eastAsia="SimHei" w:hAnsi="SimHei" w:cs="SimHei"/>
          <w:spacing w:val="-1"/>
          <w:sz w:val="18"/>
          <w:szCs w:val="18"/>
        </w:rPr>
        <w:t>注：</w:t>
      </w:r>
      <w:r>
        <w:rPr>
          <w:spacing w:val="-1"/>
          <w:sz w:val="18"/>
          <w:szCs w:val="18"/>
        </w:rPr>
        <w:t xml:space="preserve">GB/T 40870—2021  </w:t>
      </w:r>
      <w:r>
        <w:rPr>
          <w:rFonts w:ascii="SimSun" w:eastAsia="SimSun" w:hAnsi="SimSun" w:cs="SimSun"/>
          <w:spacing w:val="-1"/>
          <w:sz w:val="18"/>
          <w:szCs w:val="18"/>
        </w:rPr>
        <w:t>气体分析 混合气体组成数据的换算（</w:t>
      </w:r>
      <w:r>
        <w:rPr>
          <w:spacing w:val="-1"/>
          <w:sz w:val="18"/>
          <w:szCs w:val="18"/>
        </w:rPr>
        <w:t>ISO</w:t>
      </w:r>
      <w:r>
        <w:rPr>
          <w:spacing w:val="21"/>
          <w:w w:val="101"/>
          <w:sz w:val="18"/>
          <w:szCs w:val="18"/>
        </w:rPr>
        <w:t xml:space="preserve"> </w:t>
      </w:r>
      <w:r>
        <w:rPr>
          <w:spacing w:val="-1"/>
          <w:sz w:val="18"/>
          <w:szCs w:val="18"/>
        </w:rPr>
        <w:t>14912:2003</w:t>
      </w:r>
      <w:r>
        <w:rPr>
          <w:spacing w:val="-24"/>
          <w:sz w:val="18"/>
          <w:szCs w:val="18"/>
        </w:rPr>
        <w:t xml:space="preserve"> </w:t>
      </w:r>
      <w:r>
        <w:rPr>
          <w:rFonts w:ascii="SimSun" w:eastAsia="SimSun" w:hAnsi="SimSun" w:cs="SimSun"/>
          <w:spacing w:val="-1"/>
          <w:sz w:val="18"/>
          <w:szCs w:val="18"/>
        </w:rPr>
        <w:t>，</w:t>
      </w:r>
      <w:r>
        <w:rPr>
          <w:spacing w:val="-2"/>
          <w:sz w:val="18"/>
          <w:szCs w:val="18"/>
        </w:rPr>
        <w:t>IDT</w:t>
      </w:r>
      <w:r>
        <w:rPr>
          <w:rFonts w:ascii="SimSun" w:eastAsia="SimSun" w:hAnsi="SimSun" w:cs="SimSun"/>
          <w:spacing w:val="-2"/>
          <w:sz w:val="18"/>
          <w:szCs w:val="18"/>
        </w:rPr>
        <w:t>）</w:t>
      </w:r>
    </w:p>
    <w:p>
      <w:pPr>
        <w:spacing w:line="325" w:lineRule="auto"/>
        <w:rPr>
          <w:rFonts w:ascii="Arial"/>
          <w:sz w:val="21"/>
        </w:rPr>
        <w:sectPr>
          <w:footerReference w:type="default" r:id="rId4"/>
          <w:pgSz w:w="11906" w:h="16839"/>
          <w:pgMar w:top="1406" w:right="1080" w:bottom="1311" w:left="1420" w:header="0" w:footer="1134" w:gutter="0"/>
          <w:cols w:space="708"/>
        </w:sectPr>
      </w:pPr>
    </w:p>
    <w:p>
      <w:pPr>
        <w:spacing w:before="65" w:line="231" w:lineRule="auto"/>
        <w:ind w:left="6"/>
        <w:outlineLvl w:val="0"/>
        <w:rPr>
          <w:rFonts w:ascii="SimHei" w:eastAsia="SimHei" w:hAnsi="SimHei" w:cs="SimHei"/>
          <w:sz w:val="20"/>
          <w:szCs w:val="20"/>
        </w:rPr>
      </w:pPr>
      <w:r>
        <w:rPr>
          <w:rFonts w:ascii="SimHei" w:eastAsia="SimHei" w:hAnsi="SimHei" w:cs="SimHei"/>
          <w:spacing w:val="6"/>
          <w:sz w:val="20"/>
          <w:szCs w:val="20"/>
        </w:rPr>
        <w:t>3</w:t>
      </w:r>
      <w:r>
        <w:rPr>
          <w:rFonts w:ascii="SimHei" w:eastAsia="SimHei" w:hAnsi="SimHei" w:cs="SimHei"/>
          <w:spacing w:val="6"/>
          <w:sz w:val="20"/>
          <w:szCs w:val="20"/>
        </w:rPr>
        <w:t xml:space="preserve">  </w:t>
      </w:r>
      <w:r>
        <w:rPr>
          <w:rFonts w:ascii="SimHei" w:eastAsia="SimHei" w:hAnsi="SimHei" w:cs="SimHei"/>
          <w:spacing w:val="6"/>
          <w:sz w:val="20"/>
          <w:szCs w:val="20"/>
        </w:rPr>
        <w:t>术语和定义</w:t>
      </w:r>
    </w:p>
    <w:p>
      <w:pPr>
        <w:spacing w:line="307" w:lineRule="auto"/>
        <w:rPr>
          <w:rFonts w:ascii="Arial"/>
          <w:sz w:val="21"/>
        </w:rPr>
      </w:pPr>
    </w:p>
    <w:p>
      <w:pPr>
        <w:pStyle w:val="BodyText"/>
        <w:spacing w:before="65" w:line="227" w:lineRule="auto"/>
        <w:ind w:left="423"/>
        <w:rPr>
          <w:rFonts w:ascii="SimSun" w:eastAsia="SimSun" w:hAnsi="SimSun" w:cs="SimSun"/>
        </w:rPr>
      </w:pPr>
      <w:r>
        <w:t>ISO</w:t>
      </w:r>
      <w:r>
        <w:rPr>
          <w:spacing w:val="8"/>
        </w:rPr>
        <w:t xml:space="preserve"> 7504</w:t>
      </w:r>
      <w:r>
        <w:rPr>
          <w:rFonts w:ascii="SimSun" w:eastAsia="SimSun" w:hAnsi="SimSun" w:cs="SimSun"/>
          <w:spacing w:val="8"/>
        </w:rPr>
        <w:t>界定的术语和定义适用于本文件。</w:t>
      </w:r>
    </w:p>
    <w:p>
      <w:pPr>
        <w:spacing w:line="311" w:lineRule="auto"/>
        <w:rPr>
          <w:rFonts w:ascii="Arial"/>
          <w:sz w:val="21"/>
        </w:rPr>
      </w:pPr>
    </w:p>
    <w:p>
      <w:pPr>
        <w:spacing w:before="66" w:line="230" w:lineRule="auto"/>
        <w:outlineLvl w:val="0"/>
        <w:rPr>
          <w:rFonts w:ascii="SimHei" w:eastAsia="SimHei" w:hAnsi="SimHei" w:cs="SimHei"/>
          <w:sz w:val="20"/>
          <w:szCs w:val="20"/>
        </w:rPr>
      </w:pPr>
      <w:r>
        <w:rPr>
          <w:rFonts w:ascii="SimHei" w:eastAsia="SimHei" w:hAnsi="SimHei" w:cs="SimHei"/>
          <w:spacing w:val="4"/>
          <w:sz w:val="20"/>
          <w:szCs w:val="20"/>
        </w:rPr>
        <w:t>4</w:t>
      </w:r>
      <w:r>
        <w:rPr>
          <w:rFonts w:ascii="SimHei" w:eastAsia="SimHei" w:hAnsi="SimHei" w:cs="SimHei"/>
          <w:spacing w:val="8"/>
          <w:sz w:val="20"/>
          <w:szCs w:val="20"/>
        </w:rPr>
        <w:t xml:space="preserve">  </w:t>
      </w:r>
      <w:r>
        <w:rPr>
          <w:rFonts w:ascii="SimHei" w:eastAsia="SimHei" w:hAnsi="SimHei" w:cs="SimHei"/>
          <w:spacing w:val="4"/>
          <w:sz w:val="20"/>
          <w:szCs w:val="20"/>
        </w:rPr>
        <w:t>符号</w:t>
      </w:r>
    </w:p>
    <w:p>
      <w:pPr>
        <w:spacing w:line="288" w:lineRule="auto"/>
        <w:rPr>
          <w:rFonts w:ascii="Arial"/>
          <w:sz w:val="21"/>
        </w:rPr>
      </w:pPr>
    </w:p>
    <w:p>
      <w:pPr>
        <w:spacing w:before="66" w:line="227" w:lineRule="auto"/>
        <w:ind w:left="432"/>
        <w:rPr>
          <w:rFonts w:ascii="SimSun" w:eastAsia="SimSun" w:hAnsi="SimSun" w:cs="SimSun"/>
          <w:sz w:val="20"/>
          <w:szCs w:val="20"/>
        </w:rPr>
      </w:pPr>
      <w:r>
        <w:rPr>
          <w:rFonts w:ascii="SimSun" w:eastAsia="SimSun" w:hAnsi="SimSun" w:cs="SimSun"/>
          <w:spacing w:val="7"/>
          <w:sz w:val="20"/>
          <w:szCs w:val="20"/>
        </w:rPr>
        <w:t>下列符号适用于本文件：</w:t>
      </w:r>
    </w:p>
    <w:p>
      <w:pPr>
        <w:pStyle w:val="BodyText"/>
        <w:spacing w:before="306" w:line="271" w:lineRule="exact"/>
        <w:ind w:left="427"/>
        <w:rPr>
          <w:rFonts w:ascii="SimSun" w:eastAsia="SimSun" w:hAnsi="SimSun" w:cs="SimSun"/>
        </w:rPr>
      </w:pPr>
      <w:r>
        <w:rPr>
          <w:i/>
          <w:iCs/>
          <w:spacing w:val="5"/>
          <w:position w:val="4"/>
        </w:rPr>
        <w:t xml:space="preserve">i      </w:t>
      </w:r>
      <w:r>
        <w:rPr>
          <w:rFonts w:ascii="SimSun" w:eastAsia="SimSun" w:hAnsi="SimSun" w:cs="SimSun"/>
          <w:spacing w:val="5"/>
          <w:position w:val="4"/>
        </w:rPr>
        <w:t>混合气体的组分</w:t>
      </w:r>
    </w:p>
    <w:p>
      <w:pPr>
        <w:pStyle w:val="BodyText"/>
        <w:spacing w:line="221" w:lineRule="auto"/>
        <w:ind w:left="382"/>
        <w:rPr>
          <w:rFonts w:ascii="SimSun" w:eastAsia="SimSun" w:hAnsi="SimSun" w:cs="SimSun"/>
        </w:rPr>
      </w:pPr>
      <w:r>
        <w:rPr>
          <w:i/>
          <w:iCs/>
          <w:spacing w:val="8"/>
        </w:rPr>
        <w:t xml:space="preserve">j      </w:t>
      </w:r>
      <w:r>
        <w:rPr>
          <w:rFonts w:ascii="SimSun" w:eastAsia="SimSun" w:hAnsi="SimSun" w:cs="SimSun"/>
          <w:spacing w:val="8"/>
        </w:rPr>
        <w:t>原料气</w:t>
      </w:r>
    </w:p>
    <w:p>
      <w:pPr>
        <w:spacing w:line="221" w:lineRule="auto"/>
        <w:rPr>
          <w:rFonts w:ascii="SimSun" w:eastAsia="SimSun" w:hAnsi="SimSun" w:cs="SimSun"/>
        </w:rPr>
        <w:sectPr>
          <w:footerReference w:type="default" r:id="rId5"/>
          <w:type w:val="nextPage"/>
          <w:pgSz w:w="11906" w:h="16839"/>
          <w:pgMar w:top="1406" w:right="1080" w:bottom="1311" w:left="1420" w:header="0" w:footer="1134" w:gutter="0"/>
          <w:pgNumType w:start="2"/>
          <w:cols w:space="708"/>
          <w:titlePg w:val="0"/>
        </w:sectPr>
      </w:pPr>
    </w:p>
    <w:p>
      <w:pPr>
        <w:spacing w:before="42" w:line="265" w:lineRule="exact"/>
        <w:ind w:left="6102"/>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pStyle w:val="BodyText"/>
        <w:spacing w:before="212" w:line="277" w:lineRule="exact"/>
        <w:ind w:left="418"/>
        <w:rPr>
          <w:rFonts w:ascii="SimSun" w:eastAsia="SimSun" w:hAnsi="SimSun" w:cs="SimSun"/>
        </w:rPr>
      </w:pPr>
      <w:r>
        <w:rPr>
          <w:i/>
          <w:iCs/>
          <w:spacing w:val="6"/>
          <w:position w:val="1"/>
        </w:rPr>
        <w:t xml:space="preserve">k      </w:t>
      </w:r>
      <w:r>
        <w:rPr>
          <w:rFonts w:ascii="SimSun" w:eastAsia="SimSun" w:hAnsi="SimSun" w:cs="SimSun"/>
          <w:spacing w:val="6"/>
          <w:position w:val="1"/>
        </w:rPr>
        <w:t>混合气体中的特定组分</w:t>
      </w:r>
    </w:p>
    <w:p>
      <w:pPr>
        <w:pStyle w:val="BodyText"/>
        <w:spacing w:before="27" w:line="222" w:lineRule="auto"/>
        <w:ind w:left="410"/>
        <w:rPr>
          <w:rFonts w:ascii="SimSun" w:eastAsia="SimSun" w:hAnsi="SimSun" w:cs="SimSun"/>
        </w:rPr>
      </w:pPr>
      <w:r>
        <w:rPr>
          <w:i/>
          <w:iCs/>
        </w:rPr>
        <w:t>L</w:t>
      </w:r>
      <w:r>
        <w:rPr>
          <w:position w:val="-1"/>
          <w:sz w:val="13"/>
          <w:szCs w:val="13"/>
        </w:rPr>
        <w:t>ij</w:t>
      </w:r>
      <w:r>
        <w:rPr>
          <w:spacing w:val="6"/>
          <w:position w:val="-1"/>
          <w:sz w:val="13"/>
          <w:szCs w:val="13"/>
        </w:rPr>
        <w:t xml:space="preserve">      </w:t>
      </w:r>
      <w:r>
        <w:rPr>
          <w:rFonts w:ascii="SimSun" w:eastAsia="SimSun" w:hAnsi="SimSun" w:cs="SimSun"/>
          <w:spacing w:val="6"/>
        </w:rPr>
        <w:t>原料气</w:t>
      </w:r>
      <w:r>
        <w:rPr>
          <w:i/>
          <w:iCs/>
          <w:spacing w:val="6"/>
        </w:rPr>
        <w:t>j</w:t>
      </w:r>
      <w:r>
        <w:rPr>
          <w:i/>
          <w:iCs/>
          <w:spacing w:val="43"/>
        </w:rPr>
        <w:t xml:space="preserve"> </w:t>
      </w:r>
      <w:r>
        <w:rPr>
          <w:rFonts w:ascii="SimSun" w:eastAsia="SimSun" w:hAnsi="SimSun" w:cs="SimSun"/>
          <w:spacing w:val="6"/>
        </w:rPr>
        <w:t>中组分</w:t>
      </w:r>
      <w:r>
        <w:rPr>
          <w:rFonts w:ascii="SimSun" w:eastAsia="SimSun" w:hAnsi="SimSun" w:cs="SimSun"/>
          <w:spacing w:val="-38"/>
        </w:rPr>
        <w:t xml:space="preserve"> </w:t>
      </w:r>
      <w:r>
        <w:rPr>
          <w:i/>
          <w:iCs/>
          <w:spacing w:val="6"/>
        </w:rPr>
        <w:t>i</w:t>
      </w:r>
      <w:r>
        <w:rPr>
          <w:i/>
          <w:iCs/>
          <w:spacing w:val="30"/>
        </w:rPr>
        <w:t xml:space="preserve"> </w:t>
      </w:r>
      <w:r>
        <w:rPr>
          <w:rFonts w:ascii="SimSun" w:eastAsia="SimSun" w:hAnsi="SimSun" w:cs="SimSun"/>
          <w:spacing w:val="6"/>
        </w:rPr>
        <w:t>的检出限</w:t>
      </w:r>
    </w:p>
    <w:p>
      <w:pPr>
        <w:pStyle w:val="BodyText"/>
        <w:spacing w:before="30" w:line="274" w:lineRule="exact"/>
        <w:ind w:left="422"/>
        <w:rPr>
          <w:rFonts w:ascii="SimSun" w:eastAsia="SimSun" w:hAnsi="SimSun" w:cs="SimSun"/>
        </w:rPr>
      </w:pPr>
      <w:r>
        <w:rPr>
          <w:i/>
          <w:iCs/>
          <w:spacing w:val="7"/>
          <w:position w:val="4"/>
        </w:rPr>
        <w:t xml:space="preserve">u    </w:t>
      </w:r>
      <w:r>
        <w:rPr>
          <w:rFonts w:ascii="SimSun" w:eastAsia="SimSun" w:hAnsi="SimSun" w:cs="SimSun"/>
          <w:spacing w:val="7"/>
          <w:position w:val="4"/>
        </w:rPr>
        <w:t>（括号中量的）标准不确定度</w:t>
      </w:r>
    </w:p>
    <w:p>
      <w:pPr>
        <w:pStyle w:val="BodyText"/>
        <w:spacing w:line="222" w:lineRule="auto"/>
        <w:ind w:left="420"/>
        <w:rPr>
          <w:rFonts w:ascii="SimSun" w:eastAsia="SimSun" w:hAnsi="SimSun" w:cs="SimSun"/>
        </w:rPr>
      </w:pPr>
      <w:r>
        <w:rPr>
          <w:i/>
          <w:iCs/>
        </w:rPr>
        <w:t>w</w:t>
      </w:r>
      <w:r>
        <w:rPr>
          <w:position w:val="-1"/>
          <w:sz w:val="13"/>
          <w:szCs w:val="13"/>
        </w:rPr>
        <w:t>ij</w:t>
      </w:r>
      <w:r>
        <w:rPr>
          <w:spacing w:val="6"/>
          <w:position w:val="-1"/>
          <w:sz w:val="13"/>
          <w:szCs w:val="13"/>
        </w:rPr>
        <w:t xml:space="preserve">      </w:t>
      </w:r>
      <w:r>
        <w:rPr>
          <w:rFonts w:ascii="SimSun" w:eastAsia="SimSun" w:hAnsi="SimSun" w:cs="SimSun"/>
          <w:spacing w:val="6"/>
        </w:rPr>
        <w:t>原料气</w:t>
      </w:r>
      <w:r>
        <w:rPr>
          <w:i/>
          <w:iCs/>
          <w:spacing w:val="6"/>
        </w:rPr>
        <w:t>j</w:t>
      </w:r>
      <w:r>
        <w:rPr>
          <w:i/>
          <w:iCs/>
          <w:spacing w:val="38"/>
        </w:rPr>
        <w:t xml:space="preserve"> </w:t>
      </w:r>
      <w:r>
        <w:rPr>
          <w:rFonts w:ascii="SimSun" w:eastAsia="SimSun" w:hAnsi="SimSun" w:cs="SimSun"/>
          <w:spacing w:val="6"/>
        </w:rPr>
        <w:t>中组分</w:t>
      </w:r>
      <w:r>
        <w:rPr>
          <w:rFonts w:ascii="SimSun" w:eastAsia="SimSun" w:hAnsi="SimSun" w:cs="SimSun"/>
          <w:spacing w:val="-36"/>
        </w:rPr>
        <w:t xml:space="preserve"> </w:t>
      </w:r>
      <w:r>
        <w:rPr>
          <w:i/>
          <w:iCs/>
          <w:spacing w:val="6"/>
        </w:rPr>
        <w:t>i</w:t>
      </w:r>
      <w:r>
        <w:rPr>
          <w:i/>
          <w:iCs/>
          <w:spacing w:val="27"/>
          <w:w w:val="101"/>
        </w:rPr>
        <w:t xml:space="preserve"> </w:t>
      </w:r>
      <w:r>
        <w:rPr>
          <w:rFonts w:ascii="SimSun" w:eastAsia="SimSun" w:hAnsi="SimSun" w:cs="SimSun"/>
          <w:spacing w:val="6"/>
        </w:rPr>
        <w:t>的质量分数</w:t>
      </w:r>
    </w:p>
    <w:p>
      <w:pPr>
        <w:pStyle w:val="BodyText"/>
        <w:spacing w:before="33" w:line="271" w:lineRule="exact"/>
        <w:ind w:left="409"/>
        <w:rPr>
          <w:rFonts w:ascii="SimSun" w:eastAsia="SimSun" w:hAnsi="SimSun" w:cs="SimSun"/>
        </w:rPr>
      </w:pPr>
      <w:r>
        <w:rPr>
          <w:i/>
          <w:iCs/>
          <w:position w:val="4"/>
        </w:rPr>
        <w:t>x</w:t>
      </w:r>
      <w:r>
        <w:rPr>
          <w:position w:val="3"/>
          <w:sz w:val="13"/>
          <w:szCs w:val="13"/>
        </w:rPr>
        <w:t>ij</w:t>
      </w:r>
      <w:r>
        <w:rPr>
          <w:spacing w:val="6"/>
          <w:position w:val="3"/>
          <w:sz w:val="13"/>
          <w:szCs w:val="13"/>
        </w:rPr>
        <w:t xml:space="preserve">         </w:t>
      </w:r>
      <w:r>
        <w:rPr>
          <w:rFonts w:ascii="SimSun" w:eastAsia="SimSun" w:hAnsi="SimSun" w:cs="SimSun"/>
          <w:spacing w:val="6"/>
          <w:position w:val="4"/>
        </w:rPr>
        <w:t>原料气</w:t>
      </w:r>
      <w:r>
        <w:rPr>
          <w:i/>
          <w:iCs/>
          <w:spacing w:val="6"/>
          <w:position w:val="4"/>
        </w:rPr>
        <w:t>j</w:t>
      </w:r>
      <w:r>
        <w:rPr>
          <w:i/>
          <w:iCs/>
          <w:spacing w:val="45"/>
          <w:w w:val="101"/>
          <w:position w:val="4"/>
        </w:rPr>
        <w:t xml:space="preserve"> </w:t>
      </w:r>
      <w:r>
        <w:rPr>
          <w:rFonts w:ascii="SimSun" w:eastAsia="SimSun" w:hAnsi="SimSun" w:cs="SimSun"/>
          <w:spacing w:val="6"/>
          <w:position w:val="4"/>
        </w:rPr>
        <w:t>中组分</w:t>
      </w:r>
      <w:r>
        <w:rPr>
          <w:rFonts w:ascii="SimSun" w:eastAsia="SimSun" w:hAnsi="SimSun" w:cs="SimSun"/>
          <w:spacing w:val="-39"/>
          <w:position w:val="4"/>
        </w:rPr>
        <w:t xml:space="preserve"> </w:t>
      </w:r>
      <w:r>
        <w:rPr>
          <w:i/>
          <w:iCs/>
          <w:spacing w:val="6"/>
          <w:position w:val="4"/>
        </w:rPr>
        <w:t>i</w:t>
      </w:r>
      <w:r>
        <w:rPr>
          <w:i/>
          <w:iCs/>
          <w:spacing w:val="28"/>
          <w:w w:val="101"/>
          <w:position w:val="4"/>
        </w:rPr>
        <w:t xml:space="preserve"> </w:t>
      </w:r>
      <w:r>
        <w:rPr>
          <w:rFonts w:ascii="SimSun" w:eastAsia="SimSun" w:hAnsi="SimSun" w:cs="SimSun"/>
          <w:spacing w:val="6"/>
          <w:position w:val="4"/>
        </w:rPr>
        <w:t>的物质的量分数</w:t>
      </w:r>
    </w:p>
    <w:p>
      <w:pPr>
        <w:pStyle w:val="BodyText"/>
        <w:spacing w:line="214" w:lineRule="auto"/>
        <w:ind w:left="446"/>
        <w:rPr>
          <w:rFonts w:ascii="SimSun" w:eastAsia="SimSun" w:hAnsi="SimSun" w:cs="SimSun"/>
        </w:rPr>
      </w:pPr>
      <w:r>
        <w:rPr>
          <w:rFonts w:ascii="SimHei" w:eastAsia="SimHei" w:hAnsi="SimHei" w:cs="SimHei"/>
          <w:i/>
          <w:iCs/>
          <w:color w:val="333333"/>
          <w:spacing w:val="26"/>
          <w:sz w:val="21"/>
          <w:szCs w:val="21"/>
        </w:rPr>
        <w:t>φ</w:t>
      </w:r>
      <w:r>
        <w:rPr>
          <w:color w:val="333333"/>
          <w:position w:val="-1"/>
          <w:sz w:val="13"/>
          <w:szCs w:val="13"/>
        </w:rPr>
        <w:t>ij</w:t>
      </w:r>
      <w:r>
        <w:rPr>
          <w:color w:val="333333"/>
          <w:spacing w:val="6"/>
          <w:position w:val="-1"/>
          <w:sz w:val="13"/>
          <w:szCs w:val="13"/>
        </w:rPr>
        <w:t xml:space="preserve">      </w:t>
      </w:r>
      <w:r>
        <w:rPr>
          <w:rFonts w:ascii="SimSun" w:eastAsia="SimSun" w:hAnsi="SimSun" w:cs="SimSun"/>
          <w:spacing w:val="2"/>
        </w:rPr>
        <w:t>原料气</w:t>
      </w:r>
      <w:r>
        <w:rPr>
          <w:i/>
          <w:iCs/>
          <w:spacing w:val="2"/>
        </w:rPr>
        <w:t>j</w:t>
      </w:r>
      <w:r>
        <w:rPr>
          <w:i/>
          <w:iCs/>
          <w:spacing w:val="30"/>
        </w:rPr>
        <w:t xml:space="preserve"> </w:t>
      </w:r>
      <w:r>
        <w:rPr>
          <w:rFonts w:ascii="SimSun" w:eastAsia="SimSun" w:hAnsi="SimSun" w:cs="SimSun"/>
          <w:spacing w:val="2"/>
        </w:rPr>
        <w:t>中组分</w:t>
      </w:r>
      <w:r>
        <w:rPr>
          <w:rFonts w:ascii="SimSun" w:eastAsia="SimSun" w:hAnsi="SimSun" w:cs="SimSun"/>
          <w:spacing w:val="-36"/>
        </w:rPr>
        <w:t xml:space="preserve"> </w:t>
      </w:r>
      <w:r>
        <w:rPr>
          <w:i/>
          <w:iCs/>
          <w:spacing w:val="2"/>
        </w:rPr>
        <w:t>i</w:t>
      </w:r>
      <w:r>
        <w:rPr>
          <w:i/>
          <w:iCs/>
          <w:spacing w:val="28"/>
        </w:rPr>
        <w:t xml:space="preserve"> </w:t>
      </w:r>
      <w:r>
        <w:rPr>
          <w:rFonts w:ascii="SimSun" w:eastAsia="SimSun" w:hAnsi="SimSun" w:cs="SimSun"/>
          <w:spacing w:val="2"/>
        </w:rPr>
        <w:t>的体积分数</w:t>
      </w:r>
    </w:p>
    <w:p>
      <w:pPr>
        <w:spacing w:line="294" w:lineRule="auto"/>
        <w:rPr>
          <w:rFonts w:ascii="Arial"/>
          <w:sz w:val="21"/>
        </w:rPr>
      </w:pPr>
    </w:p>
    <w:p>
      <w:pPr>
        <w:spacing w:before="66" w:line="231" w:lineRule="auto"/>
        <w:outlineLvl w:val="0"/>
        <w:rPr>
          <w:rFonts w:ascii="SimHei" w:eastAsia="SimHei" w:hAnsi="SimHei" w:cs="SimHei"/>
          <w:sz w:val="20"/>
          <w:szCs w:val="20"/>
        </w:rPr>
      </w:pPr>
      <w:r>
        <w:rPr>
          <w:rFonts w:ascii="SimHei" w:eastAsia="SimHei" w:hAnsi="SimHei" w:cs="SimHei"/>
          <w:spacing w:val="3"/>
          <w:sz w:val="20"/>
          <w:szCs w:val="20"/>
        </w:rPr>
        <w:t>5</w:t>
      </w:r>
      <w:r>
        <w:rPr>
          <w:rFonts w:ascii="SimHei" w:eastAsia="SimHei" w:hAnsi="SimHei" w:cs="SimHei"/>
          <w:spacing w:val="9"/>
          <w:sz w:val="20"/>
          <w:szCs w:val="20"/>
        </w:rPr>
        <w:t xml:space="preserve">  </w:t>
      </w:r>
      <w:r>
        <w:rPr>
          <w:rFonts w:ascii="SimHei" w:eastAsia="SimHei" w:hAnsi="SimHei" w:cs="SimHei"/>
          <w:spacing w:val="3"/>
          <w:sz w:val="20"/>
          <w:szCs w:val="20"/>
        </w:rPr>
        <w:t>原理</w:t>
      </w:r>
    </w:p>
    <w:p>
      <w:pPr>
        <w:spacing w:line="306" w:lineRule="auto"/>
        <w:rPr>
          <w:rFonts w:ascii="Arial"/>
          <w:sz w:val="21"/>
        </w:rPr>
      </w:pPr>
    </w:p>
    <w:p>
      <w:pPr>
        <w:spacing w:before="66" w:line="229" w:lineRule="auto"/>
        <w:outlineLvl w:val="1"/>
        <w:rPr>
          <w:rFonts w:ascii="SimHei" w:eastAsia="SimHei" w:hAnsi="SimHei" w:cs="SimHei"/>
          <w:sz w:val="20"/>
          <w:szCs w:val="20"/>
        </w:rPr>
      </w:pPr>
      <w:r>
        <w:rPr>
          <w:rFonts w:ascii="SimHei" w:eastAsia="SimHei" w:hAnsi="SimHei" w:cs="SimHei"/>
          <w:spacing w:val="4"/>
          <w:sz w:val="20"/>
          <w:szCs w:val="20"/>
        </w:rPr>
        <w:t>5.1</w:t>
      </w:r>
      <w:r>
        <w:rPr>
          <w:rFonts w:ascii="SimHei" w:eastAsia="SimHei" w:hAnsi="SimHei" w:cs="SimHei"/>
          <w:spacing w:val="9"/>
          <w:sz w:val="20"/>
          <w:szCs w:val="20"/>
        </w:rPr>
        <w:t xml:space="preserve">  </w:t>
      </w:r>
      <w:r>
        <w:rPr>
          <w:rFonts w:ascii="SimHei" w:eastAsia="SimHei" w:hAnsi="SimHei" w:cs="SimHei"/>
          <w:spacing w:val="4"/>
          <w:sz w:val="20"/>
          <w:szCs w:val="20"/>
        </w:rPr>
        <w:t>概述</w:t>
      </w:r>
    </w:p>
    <w:p>
      <w:pPr>
        <w:spacing w:before="220" w:line="258" w:lineRule="auto"/>
        <w:ind w:left="9" w:right="44" w:firstLine="417"/>
        <w:rPr>
          <w:rFonts w:ascii="SimSun" w:eastAsia="SimSun" w:hAnsi="SimSun" w:cs="SimSun"/>
          <w:sz w:val="20"/>
          <w:szCs w:val="20"/>
        </w:rPr>
      </w:pPr>
      <w:r>
        <w:rPr>
          <w:rFonts w:ascii="SimSun" w:eastAsia="SimSun" w:hAnsi="SimSun" w:cs="SimSun"/>
          <w:spacing w:val="8"/>
          <w:sz w:val="20"/>
          <w:szCs w:val="20"/>
        </w:rPr>
        <w:t>混合气体制备过程中所用的所有原料（气体或</w:t>
      </w:r>
      <w:r>
        <w:rPr>
          <w:rFonts w:ascii="SimSun" w:eastAsia="SimSun" w:hAnsi="SimSun" w:cs="SimSun"/>
          <w:spacing w:val="7"/>
          <w:sz w:val="20"/>
          <w:szCs w:val="20"/>
        </w:rPr>
        <w:t>液体）中杂质的测定，对组分浓度的不确定度均有一</w:t>
      </w:r>
      <w:r>
        <w:rPr>
          <w:rFonts w:ascii="SimSun" w:eastAsia="SimSun" w:hAnsi="SimSun" w:cs="SimSun"/>
          <w:sz w:val="20"/>
          <w:szCs w:val="20"/>
        </w:rPr>
        <w:t xml:space="preserve"> </w:t>
      </w:r>
      <w:r>
        <w:rPr>
          <w:rFonts w:ascii="SimSun" w:eastAsia="SimSun" w:hAnsi="SimSun" w:cs="SimSun"/>
          <w:spacing w:val="3"/>
          <w:sz w:val="20"/>
          <w:szCs w:val="20"/>
        </w:rPr>
        <w:t>定影响。</w:t>
      </w:r>
    </w:p>
    <w:p>
      <w:pPr>
        <w:spacing w:before="64" w:line="312" w:lineRule="exact"/>
        <w:ind w:left="432"/>
        <w:rPr>
          <w:rFonts w:ascii="SimSun" w:eastAsia="SimSun" w:hAnsi="SimSun" w:cs="SimSun"/>
          <w:sz w:val="20"/>
          <w:szCs w:val="20"/>
        </w:rPr>
      </w:pPr>
      <w:r>
        <w:rPr>
          <w:rFonts w:ascii="SimSun" w:eastAsia="SimSun" w:hAnsi="SimSun" w:cs="SimSun"/>
          <w:spacing w:val="9"/>
          <w:position w:val="7"/>
          <w:sz w:val="20"/>
          <w:szCs w:val="20"/>
        </w:rPr>
        <w:t>能通过不同的方式评估并列出原料中可能存在的所有杂质，包括：</w:t>
      </w:r>
    </w:p>
    <w:p>
      <w:pPr>
        <w:pStyle w:val="BodyText"/>
        <w:spacing w:before="1" w:line="228" w:lineRule="auto"/>
        <w:ind w:left="414"/>
        <w:rPr>
          <w:rFonts w:ascii="SimSun" w:eastAsia="SimSun" w:hAnsi="SimSun" w:cs="SimSun"/>
        </w:rPr>
      </w:pPr>
      <w:r>
        <w:rPr>
          <w:spacing w:val="7"/>
        </w:rPr>
        <w:t>——</w:t>
      </w:r>
      <w:r>
        <w:rPr>
          <w:spacing w:val="-31"/>
        </w:rPr>
        <w:t xml:space="preserve"> </w:t>
      </w:r>
      <w:r>
        <w:rPr>
          <w:rFonts w:ascii="SimSun" w:eastAsia="SimSun" w:hAnsi="SimSun" w:cs="SimSun"/>
          <w:spacing w:val="7"/>
        </w:rPr>
        <w:t>公开的文献资料；</w:t>
      </w:r>
    </w:p>
    <w:p>
      <w:pPr>
        <w:pStyle w:val="BodyText"/>
        <w:spacing w:before="64" w:line="227" w:lineRule="auto"/>
        <w:ind w:left="414"/>
        <w:rPr>
          <w:rFonts w:ascii="SimSun" w:eastAsia="SimSun" w:hAnsi="SimSun" w:cs="SimSun"/>
        </w:rPr>
      </w:pPr>
      <w:r>
        <w:rPr>
          <w:spacing w:val="7"/>
        </w:rPr>
        <w:t>——</w:t>
      </w:r>
      <w:r>
        <w:rPr>
          <w:spacing w:val="-33"/>
        </w:rPr>
        <w:t xml:space="preserve"> </w:t>
      </w:r>
      <w:r>
        <w:rPr>
          <w:rFonts w:ascii="SimSun" w:eastAsia="SimSun" w:hAnsi="SimSun" w:cs="SimSun"/>
          <w:spacing w:val="7"/>
        </w:rPr>
        <w:t>原料附带的信息；</w:t>
      </w:r>
    </w:p>
    <w:p>
      <w:pPr>
        <w:pStyle w:val="BodyText"/>
        <w:spacing w:before="66" w:line="228" w:lineRule="auto"/>
        <w:ind w:left="414"/>
        <w:rPr>
          <w:rFonts w:ascii="SimSun" w:eastAsia="SimSun" w:hAnsi="SimSun" w:cs="SimSun"/>
        </w:rPr>
      </w:pPr>
      <w:r>
        <w:rPr>
          <w:spacing w:val="7"/>
        </w:rPr>
        <w:t>——</w:t>
      </w:r>
      <w:r>
        <w:rPr>
          <w:spacing w:val="-11"/>
        </w:rPr>
        <w:t xml:space="preserve"> </w:t>
      </w:r>
      <w:r>
        <w:rPr>
          <w:rFonts w:ascii="SimSun" w:eastAsia="SimSun" w:hAnsi="SimSun" w:cs="SimSun"/>
          <w:spacing w:val="7"/>
        </w:rPr>
        <w:t>以往使用相同或相似原料的经验；</w:t>
      </w:r>
    </w:p>
    <w:p>
      <w:pPr>
        <w:pStyle w:val="BodyText"/>
        <w:spacing w:before="65" w:line="228" w:lineRule="auto"/>
        <w:ind w:left="414"/>
        <w:rPr>
          <w:rFonts w:ascii="SimSun" w:eastAsia="SimSun" w:hAnsi="SimSun" w:cs="SimSun"/>
        </w:rPr>
      </w:pPr>
      <w:r>
        <w:rPr>
          <w:spacing w:val="9"/>
        </w:rPr>
        <w:t>——</w:t>
      </w:r>
      <w:r>
        <w:rPr>
          <w:rFonts w:ascii="SimSun" w:eastAsia="SimSun" w:hAnsi="SimSun" w:cs="SimSun"/>
          <w:spacing w:val="9"/>
        </w:rPr>
        <w:t>通过对原料生产过程的了解，判断可能引入的杂质。</w:t>
      </w:r>
    </w:p>
    <w:p>
      <w:pPr>
        <w:spacing w:before="65" w:line="258" w:lineRule="auto"/>
        <w:ind w:left="28" w:firstLine="396"/>
        <w:rPr>
          <w:rFonts w:ascii="SimSun" w:eastAsia="SimSun" w:hAnsi="SimSun" w:cs="SimSun"/>
          <w:sz w:val="20"/>
          <w:szCs w:val="20"/>
        </w:rPr>
      </w:pPr>
      <w:r>
        <w:rPr>
          <w:rFonts w:ascii="SimSun" w:eastAsia="SimSun" w:hAnsi="SimSun" w:cs="SimSun"/>
          <w:spacing w:val="7"/>
          <w:sz w:val="20"/>
          <w:szCs w:val="20"/>
        </w:rPr>
        <w:t>应指出对成品混合气体而言，原料中可能存在的杂质哪些是“关键</w:t>
      </w:r>
      <w:r>
        <w:rPr>
          <w:rFonts w:ascii="SimSun" w:eastAsia="SimSun" w:hAnsi="SimSun" w:cs="SimSun"/>
          <w:spacing w:val="-63"/>
          <w:sz w:val="20"/>
          <w:szCs w:val="20"/>
        </w:rPr>
        <w:t xml:space="preserve"> </w:t>
      </w:r>
      <w:r>
        <w:rPr>
          <w:rFonts w:ascii="SimSun" w:eastAsia="SimSun" w:hAnsi="SimSun" w:cs="SimSun"/>
          <w:spacing w:val="7"/>
          <w:sz w:val="20"/>
          <w:szCs w:val="20"/>
        </w:rPr>
        <w:t>”杂质，哪些是“重要</w:t>
      </w:r>
      <w:r>
        <w:rPr>
          <w:rFonts w:ascii="SimSun" w:eastAsia="SimSun" w:hAnsi="SimSun" w:cs="SimSun"/>
          <w:spacing w:val="-70"/>
          <w:sz w:val="20"/>
          <w:szCs w:val="20"/>
        </w:rPr>
        <w:t xml:space="preserve"> </w:t>
      </w:r>
      <w:r>
        <w:rPr>
          <w:rFonts w:ascii="SimSun" w:eastAsia="SimSun" w:hAnsi="SimSun" w:cs="SimSun"/>
          <w:spacing w:val="7"/>
          <w:sz w:val="20"/>
          <w:szCs w:val="20"/>
        </w:rPr>
        <w:t>”杂质，</w:t>
      </w:r>
      <w:r>
        <w:rPr>
          <w:rFonts w:ascii="SimSun" w:eastAsia="SimSun" w:hAnsi="SimSun" w:cs="SimSun"/>
          <w:sz w:val="20"/>
          <w:szCs w:val="20"/>
        </w:rPr>
        <w:t xml:space="preserve"> </w:t>
      </w:r>
      <w:r>
        <w:rPr>
          <w:rFonts w:ascii="SimSun" w:eastAsia="SimSun" w:hAnsi="SimSun" w:cs="SimSun"/>
          <w:spacing w:val="6"/>
          <w:sz w:val="20"/>
          <w:szCs w:val="20"/>
        </w:rPr>
        <w:t>以确定需要进行分析的类型。</w:t>
      </w:r>
    </w:p>
    <w:p>
      <w:pPr>
        <w:spacing w:before="222" w:line="229" w:lineRule="auto"/>
        <w:outlineLvl w:val="1"/>
        <w:rPr>
          <w:rFonts w:ascii="SimHei" w:eastAsia="SimHei" w:hAnsi="SimHei" w:cs="SimHei"/>
          <w:sz w:val="20"/>
          <w:szCs w:val="20"/>
        </w:rPr>
      </w:pPr>
      <w:r>
        <w:rPr>
          <w:rFonts w:ascii="SimHei" w:eastAsia="SimHei" w:hAnsi="SimHei" w:cs="SimHei"/>
          <w:spacing w:val="8"/>
          <w:sz w:val="20"/>
          <w:szCs w:val="20"/>
        </w:rPr>
        <w:t>5.2</w:t>
      </w:r>
      <w:r>
        <w:rPr>
          <w:rFonts w:ascii="SimHei" w:eastAsia="SimHei" w:hAnsi="SimHei" w:cs="SimHei"/>
          <w:spacing w:val="8"/>
          <w:sz w:val="20"/>
          <w:szCs w:val="20"/>
        </w:rPr>
        <w:t xml:space="preserve">  </w:t>
      </w:r>
      <w:r>
        <w:rPr>
          <w:rFonts w:ascii="SimHei" w:eastAsia="SimHei" w:hAnsi="SimHei" w:cs="SimHei"/>
          <w:spacing w:val="8"/>
          <w:sz w:val="20"/>
          <w:szCs w:val="20"/>
        </w:rPr>
        <w:t>关键杂质和重要杂质的评估</w:t>
      </w:r>
    </w:p>
    <w:p>
      <w:pPr>
        <w:spacing w:before="220" w:line="229" w:lineRule="auto"/>
        <w:outlineLvl w:val="2"/>
        <w:rPr>
          <w:rFonts w:ascii="SimHei" w:eastAsia="SimHei" w:hAnsi="SimHei" w:cs="SimHei"/>
          <w:sz w:val="20"/>
          <w:szCs w:val="20"/>
        </w:rPr>
      </w:pPr>
      <w:r>
        <w:rPr>
          <w:rFonts w:ascii="SimHei" w:eastAsia="SimHei" w:hAnsi="SimHei" w:cs="SimHei"/>
          <w:spacing w:val="4"/>
          <w:sz w:val="20"/>
          <w:szCs w:val="20"/>
        </w:rPr>
        <w:t>5.2.1</w:t>
      </w:r>
      <w:r>
        <w:rPr>
          <w:rFonts w:ascii="SimHei" w:eastAsia="SimHei" w:hAnsi="SimHei" w:cs="SimHei"/>
          <w:spacing w:val="15"/>
          <w:sz w:val="20"/>
          <w:szCs w:val="20"/>
        </w:rPr>
        <w:t xml:space="preserve">  </w:t>
      </w:r>
      <w:r>
        <w:rPr>
          <w:rFonts w:ascii="SimHei" w:eastAsia="SimHei" w:hAnsi="SimHei" w:cs="SimHei"/>
          <w:spacing w:val="4"/>
          <w:sz w:val="20"/>
          <w:szCs w:val="20"/>
        </w:rPr>
        <w:t>关键杂质</w:t>
      </w:r>
    </w:p>
    <w:p>
      <w:pPr>
        <w:spacing w:before="219" w:line="228" w:lineRule="auto"/>
        <w:ind w:left="424"/>
        <w:rPr>
          <w:rFonts w:ascii="SimSun" w:eastAsia="SimSun" w:hAnsi="SimSun" w:cs="SimSun"/>
          <w:sz w:val="20"/>
          <w:szCs w:val="20"/>
        </w:rPr>
      </w:pPr>
      <w:r>
        <w:rPr>
          <w:rFonts w:ascii="SimSun" w:eastAsia="SimSun" w:hAnsi="SimSun" w:cs="SimSun"/>
          <w:spacing w:val="9"/>
          <w:sz w:val="20"/>
          <w:szCs w:val="20"/>
        </w:rPr>
        <w:t>满足以下一种或多种条件的杂质称为关键杂质：</w:t>
      </w:r>
    </w:p>
    <w:p>
      <w:pPr>
        <w:pStyle w:val="BodyText"/>
        <w:spacing w:before="65" w:line="258" w:lineRule="auto"/>
        <w:ind w:left="8" w:right="47" w:firstLine="406"/>
        <w:rPr>
          <w:rFonts w:ascii="SimSun" w:eastAsia="SimSun" w:hAnsi="SimSun" w:cs="SimSun"/>
        </w:rPr>
      </w:pPr>
      <w:r>
        <w:rPr>
          <w:spacing w:val="8"/>
        </w:rPr>
        <w:t>——</w:t>
      </w:r>
      <w:r>
        <w:rPr>
          <w:rFonts w:ascii="SimSun" w:eastAsia="SimSun" w:hAnsi="SimSun" w:cs="SimSun"/>
          <w:spacing w:val="8"/>
        </w:rPr>
        <w:t>存在于两组分或多组分混合气体所用气体原料或液体原料中的杂</w:t>
      </w:r>
      <w:r>
        <w:rPr>
          <w:rFonts w:ascii="SimSun" w:eastAsia="SimSun" w:hAnsi="SimSun" w:cs="SimSun"/>
          <w:spacing w:val="7"/>
        </w:rPr>
        <w:t>质，同时也是该混合气体中的</w:t>
      </w:r>
      <w:r>
        <w:rPr>
          <w:rFonts w:ascii="SimSun" w:eastAsia="SimSun" w:hAnsi="SimSun" w:cs="SimSun"/>
        </w:rPr>
        <w:t xml:space="preserve"> </w:t>
      </w:r>
      <w:r>
        <w:rPr>
          <w:rFonts w:ascii="SimSun" w:eastAsia="SimSun" w:hAnsi="SimSun" w:cs="SimSun"/>
          <w:spacing w:val="6"/>
        </w:rPr>
        <w:t>一种微量组分；</w:t>
      </w:r>
    </w:p>
    <w:p>
      <w:pPr>
        <w:spacing w:before="80" w:line="222" w:lineRule="auto"/>
        <w:ind w:left="860"/>
        <w:rPr>
          <w:rFonts w:ascii="SimSun" w:eastAsia="SimSun" w:hAnsi="SimSun" w:cs="SimSun"/>
          <w:sz w:val="18"/>
          <w:szCs w:val="18"/>
        </w:rPr>
      </w:pPr>
      <w:r>
        <w:rPr>
          <w:rFonts w:ascii="SimHei" w:eastAsia="SimHei" w:hAnsi="SimHei" w:cs="SimHei"/>
          <w:spacing w:val="-1"/>
          <w:sz w:val="18"/>
          <w:szCs w:val="18"/>
        </w:rPr>
        <w:t>示例</w:t>
      </w:r>
      <w:r>
        <w:rPr>
          <w:rFonts w:ascii="SimHei" w:eastAsia="SimHei" w:hAnsi="SimHei" w:cs="SimHei"/>
          <w:spacing w:val="-26"/>
          <w:sz w:val="18"/>
          <w:szCs w:val="18"/>
        </w:rPr>
        <w:t xml:space="preserve"> </w:t>
      </w:r>
      <w:r>
        <w:rPr>
          <w:rFonts w:ascii="SimHei" w:eastAsia="SimHei" w:hAnsi="SimHei" w:cs="SimHei"/>
          <w:spacing w:val="-1"/>
          <w:sz w:val="18"/>
          <w:szCs w:val="18"/>
        </w:rPr>
        <w:t>1：</w:t>
      </w:r>
      <w:r>
        <w:rPr>
          <w:rFonts w:ascii="SimSun" w:eastAsia="SimSun" w:hAnsi="SimSun" w:cs="SimSun"/>
          <w:spacing w:val="-1"/>
          <w:sz w:val="18"/>
          <w:szCs w:val="18"/>
        </w:rPr>
        <w:t>如果制备低含量的氮中氧混合气体，氮气中也可能存在氧气杂质。</w:t>
      </w:r>
    </w:p>
    <w:p>
      <w:pPr>
        <w:spacing w:before="95" w:line="270" w:lineRule="auto"/>
        <w:ind w:left="493" w:right="45" w:firstLine="367"/>
        <w:rPr>
          <w:rFonts w:ascii="SimSun" w:eastAsia="SimSun" w:hAnsi="SimSun" w:cs="SimSun"/>
          <w:sz w:val="18"/>
          <w:szCs w:val="18"/>
        </w:rPr>
      </w:pPr>
      <w:r>
        <w:rPr>
          <w:rFonts w:ascii="SimHei" w:eastAsia="SimHei" w:hAnsi="SimHei" w:cs="SimHei"/>
          <w:spacing w:val="2"/>
          <w:sz w:val="18"/>
          <w:szCs w:val="18"/>
        </w:rPr>
        <w:t>示例</w:t>
      </w:r>
      <w:r>
        <w:rPr>
          <w:rFonts w:ascii="SimHei" w:eastAsia="SimHei" w:hAnsi="SimHei" w:cs="SimHei"/>
          <w:spacing w:val="-38"/>
          <w:sz w:val="18"/>
          <w:szCs w:val="18"/>
        </w:rPr>
        <w:t xml:space="preserve"> </w:t>
      </w:r>
      <w:r>
        <w:rPr>
          <w:rFonts w:ascii="SimHei" w:eastAsia="SimHei" w:hAnsi="SimHei" w:cs="SimHei"/>
          <w:spacing w:val="2"/>
          <w:sz w:val="18"/>
          <w:szCs w:val="18"/>
        </w:rPr>
        <w:t>2：</w:t>
      </w:r>
      <w:r>
        <w:rPr>
          <w:rFonts w:ascii="SimSun" w:eastAsia="SimSun" w:hAnsi="SimSun" w:cs="SimSun"/>
          <w:spacing w:val="2"/>
          <w:sz w:val="18"/>
          <w:szCs w:val="18"/>
        </w:rPr>
        <w:t>在天然气校准混合气体制备中，正</w:t>
      </w:r>
      <w:r>
        <w:rPr>
          <w:rFonts w:ascii="SimSun" w:eastAsia="SimSun" w:hAnsi="SimSun" w:cs="SimSun"/>
          <w:spacing w:val="1"/>
          <w:sz w:val="18"/>
          <w:szCs w:val="18"/>
        </w:rPr>
        <w:t>戊烷和新戊烷中通常含有异戊烷杂质，而异戊烷本身也是天然气</w:t>
      </w:r>
      <w:r>
        <w:rPr>
          <w:rFonts w:ascii="SimSun" w:eastAsia="SimSun" w:hAnsi="SimSun" w:cs="SimSun"/>
          <w:sz w:val="18"/>
          <w:szCs w:val="18"/>
        </w:rPr>
        <w:t xml:space="preserve"> </w:t>
      </w:r>
      <w:r>
        <w:rPr>
          <w:rFonts w:ascii="SimSun" w:eastAsia="SimSun" w:hAnsi="SimSun" w:cs="SimSun"/>
          <w:spacing w:val="-1"/>
          <w:sz w:val="18"/>
          <w:szCs w:val="18"/>
        </w:rPr>
        <w:t>混合气体的一种微量组分。</w:t>
      </w:r>
    </w:p>
    <w:p>
      <w:pPr>
        <w:pStyle w:val="BodyText"/>
        <w:spacing w:before="83" w:line="227" w:lineRule="auto"/>
        <w:ind w:left="414"/>
        <w:rPr>
          <w:rFonts w:ascii="SimSun" w:eastAsia="SimSun" w:hAnsi="SimSun" w:cs="SimSun"/>
        </w:rPr>
      </w:pPr>
      <w:r>
        <w:rPr>
          <w:spacing w:val="9"/>
        </w:rPr>
        <w:t>——</w:t>
      </w:r>
      <w:r>
        <w:rPr>
          <w:rFonts w:ascii="SimSun" w:eastAsia="SimSun" w:hAnsi="SimSun" w:cs="SimSun"/>
          <w:spacing w:val="9"/>
        </w:rPr>
        <w:t>对混合气体组分的分析检验结果可能产生干扰的杂质；</w:t>
      </w:r>
    </w:p>
    <w:p>
      <w:pPr>
        <w:spacing w:before="82" w:line="270" w:lineRule="auto"/>
        <w:ind w:left="491" w:right="47" w:firstLine="368"/>
        <w:rPr>
          <w:rFonts w:ascii="SimSun" w:eastAsia="SimSun" w:hAnsi="SimSun" w:cs="SimSun"/>
          <w:sz w:val="18"/>
          <w:szCs w:val="18"/>
        </w:rPr>
      </w:pPr>
      <w:r>
        <w:rPr>
          <w:rFonts w:ascii="SimHei" w:eastAsia="SimHei" w:hAnsi="SimHei" w:cs="SimHei"/>
          <w:spacing w:val="1"/>
          <w:sz w:val="18"/>
          <w:szCs w:val="18"/>
        </w:rPr>
        <w:t>示例</w:t>
      </w:r>
      <w:r>
        <w:rPr>
          <w:rFonts w:ascii="SimHei" w:eastAsia="SimHei" w:hAnsi="SimHei" w:cs="SimHei"/>
          <w:spacing w:val="-22"/>
          <w:sz w:val="18"/>
          <w:szCs w:val="18"/>
        </w:rPr>
        <w:t xml:space="preserve"> </w:t>
      </w:r>
      <w:r>
        <w:rPr>
          <w:rFonts w:ascii="SimHei" w:eastAsia="SimHei" w:hAnsi="SimHei" w:cs="SimHei"/>
          <w:spacing w:val="1"/>
          <w:sz w:val="18"/>
          <w:szCs w:val="18"/>
        </w:rPr>
        <w:t>3：</w:t>
      </w:r>
      <w:r>
        <w:rPr>
          <w:rFonts w:ascii="SimSun" w:eastAsia="SimSun" w:hAnsi="SimSun" w:cs="SimSun"/>
          <w:spacing w:val="1"/>
          <w:sz w:val="18"/>
          <w:szCs w:val="18"/>
        </w:rPr>
        <w:t>当使用配备非选择性检测器的气相色谱仪进行检测时，由于氮或氧中杂质氩的存在，会影响氧含量</w:t>
      </w:r>
      <w:r>
        <w:rPr>
          <w:rFonts w:ascii="SimSun" w:eastAsia="SimSun" w:hAnsi="SimSun" w:cs="SimSun"/>
          <w:sz w:val="18"/>
          <w:szCs w:val="18"/>
        </w:rPr>
        <w:t xml:space="preserve"> </w:t>
      </w:r>
      <w:r>
        <w:rPr>
          <w:rFonts w:ascii="SimSun" w:eastAsia="SimSun" w:hAnsi="SimSun" w:cs="SimSun"/>
          <w:spacing w:val="-2"/>
          <w:sz w:val="18"/>
          <w:szCs w:val="18"/>
        </w:rPr>
        <w:t>测定结果。</w:t>
      </w:r>
    </w:p>
    <w:p>
      <w:pPr>
        <w:pStyle w:val="BodyText"/>
        <w:spacing w:before="81" w:line="228" w:lineRule="auto"/>
        <w:ind w:left="414"/>
        <w:rPr>
          <w:rFonts w:ascii="SimSun" w:eastAsia="SimSun" w:hAnsi="SimSun" w:cs="SimSun"/>
        </w:rPr>
      </w:pPr>
      <w:r>
        <w:rPr>
          <w:spacing w:val="9"/>
        </w:rPr>
        <w:t>——</w:t>
      </w:r>
      <w:r>
        <w:rPr>
          <w:rFonts w:ascii="SimSun" w:eastAsia="SimSun" w:hAnsi="SimSun" w:cs="SimSun"/>
          <w:spacing w:val="9"/>
        </w:rPr>
        <w:t>可能与混合气体中其他任一组分发生反应的杂质。</w:t>
      </w:r>
    </w:p>
    <w:p>
      <w:pPr>
        <w:spacing w:before="81" w:line="222" w:lineRule="auto"/>
        <w:ind w:left="860"/>
        <w:rPr>
          <w:rFonts w:ascii="SimSun" w:eastAsia="SimSun" w:hAnsi="SimSun" w:cs="SimSun"/>
          <w:sz w:val="18"/>
          <w:szCs w:val="18"/>
        </w:rPr>
      </w:pPr>
      <w:r>
        <w:rPr>
          <w:rFonts w:ascii="SimHei" w:eastAsia="SimHei" w:hAnsi="SimHei" w:cs="SimHei"/>
          <w:sz w:val="18"/>
          <w:szCs w:val="18"/>
        </w:rPr>
        <w:t>示例</w:t>
      </w:r>
      <w:r>
        <w:rPr>
          <w:rFonts w:ascii="SimHei" w:eastAsia="SimHei" w:hAnsi="SimHei" w:cs="SimHei"/>
          <w:spacing w:val="-43"/>
          <w:sz w:val="18"/>
          <w:szCs w:val="18"/>
        </w:rPr>
        <w:t xml:space="preserve"> </w:t>
      </w:r>
      <w:r>
        <w:rPr>
          <w:rFonts w:ascii="SimHei" w:eastAsia="SimHei" w:hAnsi="SimHei" w:cs="SimHei"/>
          <w:sz w:val="18"/>
          <w:szCs w:val="18"/>
        </w:rPr>
        <w:t>4：</w:t>
      </w:r>
      <w:r>
        <w:rPr>
          <w:rFonts w:ascii="SimSun" w:eastAsia="SimSun" w:hAnsi="SimSun" w:cs="SimSun"/>
          <w:sz w:val="18"/>
          <w:szCs w:val="18"/>
        </w:rPr>
        <w:t>如果配制氮中一氧化氮混合气体，氮中存在的氧杂质可</w:t>
      </w:r>
      <w:r>
        <w:rPr>
          <w:rFonts w:ascii="SimSun" w:eastAsia="SimSun" w:hAnsi="SimSun" w:cs="SimSun"/>
          <w:spacing w:val="-1"/>
          <w:sz w:val="18"/>
          <w:szCs w:val="18"/>
        </w:rPr>
        <w:t>能会与一氧化氮反应生成二氧化氮。</w:t>
      </w:r>
    </w:p>
    <w:p>
      <w:pPr>
        <w:spacing w:before="237" w:line="229" w:lineRule="auto"/>
        <w:outlineLvl w:val="2"/>
        <w:rPr>
          <w:rFonts w:ascii="SimHei" w:eastAsia="SimHei" w:hAnsi="SimHei" w:cs="SimHei"/>
          <w:sz w:val="20"/>
          <w:szCs w:val="20"/>
        </w:rPr>
        <w:sectPr>
          <w:footerReference w:type="default" r:id="rId6"/>
          <w:pgSz w:w="11906" w:h="16839"/>
          <w:pgMar w:top="1406" w:right="1089" w:bottom="1312" w:left="1421" w:header="0" w:footer="1134" w:gutter="0"/>
          <w:pgNumType w:start="3"/>
          <w:cols w:space="708"/>
        </w:sectPr>
      </w:pPr>
      <w:r>
        <w:rPr>
          <w:rFonts w:ascii="SimHei" w:eastAsia="SimHei" w:hAnsi="SimHei" w:cs="SimHei"/>
          <w:spacing w:val="5"/>
          <w:sz w:val="20"/>
          <w:szCs w:val="20"/>
        </w:rPr>
        <w:t>5.2.2</w:t>
      </w:r>
      <w:r>
        <w:rPr>
          <w:rFonts w:ascii="SimHei" w:eastAsia="SimHei" w:hAnsi="SimHei" w:cs="SimHei"/>
          <w:spacing w:val="11"/>
          <w:sz w:val="20"/>
          <w:szCs w:val="20"/>
        </w:rPr>
        <w:t xml:space="preserve">  </w:t>
      </w:r>
      <w:r>
        <w:rPr>
          <w:rFonts w:ascii="SimHei" w:eastAsia="SimHei" w:hAnsi="SimHei" w:cs="SimHei"/>
          <w:spacing w:val="5"/>
          <w:sz w:val="20"/>
          <w:szCs w:val="20"/>
        </w:rPr>
        <w:t>重要杂质</w:t>
      </w:r>
    </w:p>
    <w:p>
      <w:pPr>
        <w:pStyle w:val="BodyText"/>
        <w:spacing w:before="220" w:line="268" w:lineRule="auto"/>
        <w:ind w:left="5" w:right="44" w:firstLine="418"/>
        <w:jc w:val="both"/>
        <w:rPr>
          <w:rFonts w:ascii="SimSun" w:eastAsia="SimSun" w:hAnsi="SimSun" w:cs="SimSun"/>
        </w:rPr>
      </w:pPr>
      <w:r>
        <w:rPr>
          <w:rFonts w:ascii="SimSun" w:eastAsia="SimSun" w:hAnsi="SimSun" w:cs="SimSun"/>
          <w:spacing w:val="8"/>
        </w:rPr>
        <w:t>对校准混合气体中的任一组分含量的预期不确定度贡献预计超过</w:t>
      </w:r>
      <w:r>
        <w:rPr>
          <w:spacing w:val="8"/>
        </w:rPr>
        <w:t>10%</w:t>
      </w:r>
      <w:r>
        <w:rPr>
          <w:rFonts w:ascii="SimSun" w:eastAsia="SimSun" w:hAnsi="SimSun" w:cs="SimSun"/>
          <w:spacing w:val="8"/>
        </w:rPr>
        <w:t>的杂质称为重要杂质。重要杂</w:t>
      </w:r>
      <w:r>
        <w:rPr>
          <w:rFonts w:ascii="SimSun" w:eastAsia="SimSun" w:hAnsi="SimSun" w:cs="SimSun"/>
          <w:spacing w:val="6"/>
        </w:rPr>
        <w:t xml:space="preserve"> </w:t>
      </w:r>
      <w:r>
        <w:rPr>
          <w:rFonts w:ascii="SimSun" w:eastAsia="SimSun" w:hAnsi="SimSun" w:cs="SimSun"/>
          <w:spacing w:val="8"/>
        </w:rPr>
        <w:t>质的判定需要对使用的制备方法（称量法、体积法、静态</w:t>
      </w:r>
      <w:r>
        <w:rPr>
          <w:rFonts w:ascii="SimSun" w:eastAsia="SimSun" w:hAnsi="SimSun" w:cs="SimSun"/>
          <w:spacing w:val="7"/>
        </w:rPr>
        <w:t>法或动态法）和所涉及的各个步骤相关的不确</w:t>
      </w:r>
      <w:r>
        <w:rPr>
          <w:rFonts w:ascii="SimSun" w:eastAsia="SimSun" w:hAnsi="SimSun" w:cs="SimSun"/>
        </w:rPr>
        <w:t xml:space="preserve"> </w:t>
      </w:r>
      <w:r>
        <w:rPr>
          <w:rFonts w:ascii="SimSun" w:eastAsia="SimSun" w:hAnsi="SimSun" w:cs="SimSun"/>
          <w:spacing w:val="6"/>
        </w:rPr>
        <w:t>定度有所了解。</w:t>
      </w:r>
    </w:p>
    <w:p>
      <w:pPr>
        <w:pStyle w:val="BodyText"/>
        <w:spacing w:before="64" w:line="228" w:lineRule="auto"/>
        <w:ind w:left="426"/>
        <w:rPr>
          <w:rFonts w:ascii="SimSun" w:eastAsia="SimSun" w:hAnsi="SimSun" w:cs="SimSun"/>
        </w:rPr>
      </w:pPr>
      <w:r>
        <w:rPr>
          <w:rFonts w:ascii="SimSun" w:eastAsia="SimSun" w:hAnsi="SimSun" w:cs="SimSun"/>
          <w:spacing w:val="8"/>
        </w:rPr>
        <w:t>上述过程概括为一个流程图，如图</w:t>
      </w:r>
      <w:r>
        <w:rPr>
          <w:spacing w:val="8"/>
        </w:rPr>
        <w:t>1</w:t>
      </w:r>
      <w:r>
        <w:rPr>
          <w:rFonts w:ascii="SimSun" w:eastAsia="SimSun" w:hAnsi="SimSun" w:cs="SimSun"/>
          <w:spacing w:val="8"/>
        </w:rPr>
        <w:t>所示。</w:t>
      </w:r>
    </w:p>
    <w:p>
      <w:pPr>
        <w:spacing w:line="228" w:lineRule="auto"/>
        <w:rPr>
          <w:rFonts w:ascii="SimSun" w:eastAsia="SimSun" w:hAnsi="SimSun" w:cs="SimSun"/>
        </w:rPr>
        <w:sectPr>
          <w:footerReference w:type="default" r:id="rId7"/>
          <w:type w:val="nextPage"/>
          <w:pgSz w:w="11906" w:h="16839"/>
          <w:pgMar w:top="1406" w:right="1089" w:bottom="1312" w:left="1421" w:header="0" w:footer="1134" w:gutter="0"/>
          <w:pgNumType w:start="4"/>
          <w:cols w:space="708"/>
          <w:titlePg w:val="0"/>
        </w:sectPr>
      </w:pPr>
    </w:p>
    <w:p>
      <w:pPr>
        <w:spacing w:before="42" w:line="265" w:lineRule="exact"/>
        <w:jc w:val="right"/>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spacing w:line="336" w:lineRule="auto"/>
        <w:rPr>
          <w:rFonts w:ascii="Arial"/>
          <w:sz w:val="21"/>
        </w:rPr>
      </w:pPr>
    </w:p>
    <w:p>
      <w:pPr>
        <w:spacing w:line="8491" w:lineRule="exact"/>
        <w:ind w:firstLine="1425"/>
      </w:pPr>
      <w:r>
        <w:rPr>
          <w:position w:val="-169"/>
        </w:rPr>
        <w:drawing>
          <wp:inline distT="0" distB="0" distL="0" distR="0">
            <wp:extent cx="4120895" cy="5391911"/>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8"/>
                    <a:stretch>
                      <a:fillRect/>
                    </a:stretch>
                  </pic:blipFill>
                  <pic:spPr>
                    <a:xfrm>
                      <a:off x="0" y="0"/>
                      <a:ext cx="4120895" cy="5391911"/>
                    </a:xfrm>
                    <a:prstGeom prst="rect">
                      <a:avLst/>
                    </a:prstGeom>
                  </pic:spPr>
                </pic:pic>
              </a:graphicData>
            </a:graphic>
          </wp:inline>
        </w:drawing>
      </w:r>
    </w:p>
    <w:p>
      <w:pPr>
        <w:spacing w:line="263" w:lineRule="auto"/>
        <w:rPr>
          <w:rFonts w:ascii="Arial"/>
          <w:sz w:val="21"/>
        </w:rPr>
      </w:pPr>
    </w:p>
    <w:p>
      <w:pPr>
        <w:spacing w:line="263" w:lineRule="auto"/>
        <w:rPr>
          <w:rFonts w:ascii="Arial"/>
          <w:sz w:val="21"/>
        </w:rPr>
      </w:pPr>
    </w:p>
    <w:p>
      <w:pPr>
        <w:pStyle w:val="BodyText"/>
        <w:spacing w:before="58" w:line="312" w:lineRule="exact"/>
        <w:ind w:left="356"/>
        <w:rPr>
          <w:rFonts w:ascii="SimSun" w:eastAsia="SimSun" w:hAnsi="SimSun" w:cs="SimSun"/>
          <w:sz w:val="18"/>
          <w:szCs w:val="18"/>
        </w:rPr>
      </w:pPr>
      <w:r>
        <w:rPr>
          <w:position w:val="15"/>
          <w:sz w:val="11"/>
          <w:szCs w:val="11"/>
        </w:rPr>
        <w:t xml:space="preserve">a   </w:t>
      </w:r>
      <w:r>
        <w:rPr>
          <w:rFonts w:ascii="SimSun" w:eastAsia="SimSun" w:hAnsi="SimSun" w:cs="SimSun"/>
          <w:position w:val="9"/>
          <w:sz w:val="18"/>
          <w:szCs w:val="18"/>
        </w:rPr>
        <w:t>如果在纯度分析过程中出现了预料之外的杂质或者未知杂质，返回流程图的起点。</w:t>
      </w:r>
    </w:p>
    <w:p>
      <w:pPr>
        <w:pStyle w:val="BodyText"/>
        <w:spacing w:line="219" w:lineRule="auto"/>
        <w:ind w:left="352"/>
        <w:rPr>
          <w:rFonts w:ascii="SimSun" w:eastAsia="SimSun" w:hAnsi="SimSun" w:cs="SimSun"/>
          <w:sz w:val="18"/>
          <w:szCs w:val="18"/>
        </w:rPr>
      </w:pPr>
      <w:r>
        <w:rPr>
          <w:position w:val="6"/>
          <w:sz w:val="11"/>
          <w:szCs w:val="11"/>
        </w:rPr>
        <w:t xml:space="preserve">b    </w:t>
      </w:r>
      <w:r>
        <w:rPr>
          <w:rFonts w:ascii="SimSun" w:eastAsia="SimSun" w:hAnsi="SimSun" w:cs="SimSun"/>
          <w:sz w:val="18"/>
          <w:szCs w:val="18"/>
        </w:rPr>
        <w:t>如果可能，能首选溯源性纯度分析而非参考性纯度分析。</w:t>
      </w:r>
    </w:p>
    <w:p>
      <w:pPr>
        <w:pStyle w:val="BodyText"/>
        <w:spacing w:before="98" w:line="219" w:lineRule="auto"/>
        <w:ind w:left="356"/>
        <w:rPr>
          <w:rFonts w:ascii="SimSun" w:eastAsia="SimSun" w:hAnsi="SimSun" w:cs="SimSun"/>
          <w:sz w:val="18"/>
          <w:szCs w:val="18"/>
        </w:rPr>
      </w:pPr>
      <w:r>
        <w:rPr>
          <w:position w:val="6"/>
          <w:sz w:val="11"/>
          <w:szCs w:val="11"/>
        </w:rPr>
        <w:t xml:space="preserve">c   </w:t>
      </w:r>
      <w:r>
        <w:rPr>
          <w:rFonts w:ascii="SimSun" w:eastAsia="SimSun" w:hAnsi="SimSun" w:cs="SimSun"/>
          <w:sz w:val="18"/>
          <w:szCs w:val="18"/>
        </w:rPr>
        <w:t>如果可能，能首选溯源性纯度分析或参考性纯度分析。</w:t>
      </w:r>
    </w:p>
    <w:p>
      <w:pPr>
        <w:spacing w:before="239" w:line="229" w:lineRule="auto"/>
        <w:ind w:left="3665"/>
        <w:rPr>
          <w:rFonts w:ascii="SimHei" w:eastAsia="SimHei" w:hAnsi="SimHei" w:cs="SimHei"/>
          <w:sz w:val="20"/>
          <w:szCs w:val="20"/>
        </w:rPr>
      </w:pPr>
      <w:r>
        <w:rPr>
          <w:rFonts w:ascii="SimHei" w:eastAsia="SimHei" w:hAnsi="SimHei" w:cs="SimHei"/>
          <w:spacing w:val="4"/>
          <w:sz w:val="20"/>
          <w:szCs w:val="20"/>
        </w:rPr>
        <w:t>图</w:t>
      </w:r>
      <w:r>
        <w:rPr>
          <w:rFonts w:ascii="SimHei" w:eastAsia="SimHei" w:hAnsi="SimHei" w:cs="SimHei"/>
          <w:spacing w:val="-21"/>
          <w:sz w:val="20"/>
          <w:szCs w:val="20"/>
        </w:rPr>
        <w:t xml:space="preserve"> </w:t>
      </w:r>
      <w:r>
        <w:rPr>
          <w:rFonts w:ascii="SimHei" w:eastAsia="SimHei" w:hAnsi="SimHei" w:cs="SimHei"/>
          <w:spacing w:val="4"/>
          <w:sz w:val="20"/>
          <w:szCs w:val="20"/>
        </w:rPr>
        <w:t>1</w:t>
      </w:r>
      <w:r>
        <w:rPr>
          <w:rFonts w:ascii="SimHei" w:eastAsia="SimHei" w:hAnsi="SimHei" w:cs="SimHei"/>
          <w:spacing w:val="4"/>
          <w:sz w:val="20"/>
          <w:szCs w:val="20"/>
        </w:rPr>
        <w:t xml:space="preserve">  </w:t>
      </w:r>
      <w:r>
        <w:rPr>
          <w:rFonts w:ascii="SimHei" w:eastAsia="SimHei" w:hAnsi="SimHei" w:cs="SimHei"/>
          <w:spacing w:val="4"/>
          <w:sz w:val="20"/>
          <w:szCs w:val="20"/>
        </w:rPr>
        <w:t>纯度分析流程图</w:t>
      </w:r>
    </w:p>
    <w:p>
      <w:pPr>
        <w:spacing w:line="308" w:lineRule="auto"/>
        <w:rPr>
          <w:rFonts w:ascii="Arial"/>
          <w:sz w:val="21"/>
        </w:rPr>
      </w:pPr>
    </w:p>
    <w:p>
      <w:pPr>
        <w:spacing w:before="66" w:line="229" w:lineRule="auto"/>
        <w:outlineLvl w:val="0"/>
        <w:rPr>
          <w:rFonts w:ascii="SimHei" w:eastAsia="SimHei" w:hAnsi="SimHei" w:cs="SimHei"/>
          <w:sz w:val="20"/>
          <w:szCs w:val="20"/>
        </w:rPr>
      </w:pPr>
      <w:r>
        <w:rPr>
          <w:rFonts w:ascii="SimHei" w:eastAsia="SimHei" w:hAnsi="SimHei" w:cs="SimHei"/>
          <w:spacing w:val="7"/>
          <w:sz w:val="20"/>
          <w:szCs w:val="20"/>
        </w:rPr>
        <w:t>6</w:t>
      </w:r>
      <w:r>
        <w:rPr>
          <w:rFonts w:ascii="SimHei" w:eastAsia="SimHei" w:hAnsi="SimHei" w:cs="SimHei"/>
          <w:spacing w:val="7"/>
          <w:sz w:val="20"/>
          <w:szCs w:val="20"/>
        </w:rPr>
        <w:t xml:space="preserve">  </w:t>
      </w:r>
      <w:r>
        <w:rPr>
          <w:rFonts w:ascii="SimHei" w:eastAsia="SimHei" w:hAnsi="SimHei" w:cs="SimHei"/>
          <w:spacing w:val="7"/>
          <w:sz w:val="20"/>
          <w:szCs w:val="20"/>
        </w:rPr>
        <w:t>杂质含量分析</w:t>
      </w:r>
    </w:p>
    <w:p>
      <w:pPr>
        <w:spacing w:line="309" w:lineRule="auto"/>
        <w:rPr>
          <w:rFonts w:ascii="Arial"/>
          <w:sz w:val="21"/>
        </w:rPr>
      </w:pPr>
    </w:p>
    <w:p>
      <w:pPr>
        <w:spacing w:before="65" w:line="229" w:lineRule="auto"/>
        <w:outlineLvl w:val="1"/>
        <w:rPr>
          <w:rFonts w:ascii="SimHei" w:eastAsia="SimHei" w:hAnsi="SimHei" w:cs="SimHei"/>
          <w:sz w:val="20"/>
          <w:szCs w:val="20"/>
        </w:rPr>
        <w:sectPr>
          <w:footerReference w:type="default" r:id="rId9"/>
          <w:pgSz w:w="11906" w:h="16839"/>
          <w:pgMar w:top="1406" w:right="1133" w:bottom="1311" w:left="1425" w:header="0" w:footer="1134" w:gutter="0"/>
          <w:pgNumType w:start="5"/>
          <w:cols w:space="708"/>
        </w:sectPr>
      </w:pPr>
      <w:r>
        <w:rPr>
          <w:rFonts w:ascii="SimHei" w:eastAsia="SimHei" w:hAnsi="SimHei" w:cs="SimHei"/>
          <w:spacing w:val="4"/>
          <w:sz w:val="20"/>
          <w:szCs w:val="20"/>
        </w:rPr>
        <w:t>6.1</w:t>
      </w:r>
      <w:r>
        <w:rPr>
          <w:rFonts w:ascii="SimHei" w:eastAsia="SimHei" w:hAnsi="SimHei" w:cs="SimHei"/>
          <w:spacing w:val="7"/>
          <w:sz w:val="20"/>
          <w:szCs w:val="20"/>
        </w:rPr>
        <w:t xml:space="preserve">  </w:t>
      </w:r>
      <w:r>
        <w:rPr>
          <w:rFonts w:ascii="SimHei" w:eastAsia="SimHei" w:hAnsi="SimHei" w:cs="SimHei"/>
          <w:spacing w:val="4"/>
          <w:sz w:val="20"/>
          <w:szCs w:val="20"/>
        </w:rPr>
        <w:t>概述</w:t>
      </w:r>
    </w:p>
    <w:p>
      <w:pPr>
        <w:pStyle w:val="BodyText"/>
        <w:spacing w:before="219" w:line="228" w:lineRule="auto"/>
        <w:ind w:left="420"/>
        <w:rPr>
          <w:rFonts w:ascii="SimSun" w:eastAsia="SimSun" w:hAnsi="SimSun" w:cs="SimSun"/>
        </w:rPr>
      </w:pPr>
      <w:r>
        <w:rPr>
          <w:rFonts w:ascii="SimSun" w:eastAsia="SimSun" w:hAnsi="SimSun" w:cs="SimSun"/>
          <w:spacing w:val="6"/>
        </w:rPr>
        <w:t>应根据图</w:t>
      </w:r>
      <w:r>
        <w:rPr>
          <w:rFonts w:ascii="SimSun" w:eastAsia="SimSun" w:hAnsi="SimSun" w:cs="SimSun"/>
          <w:spacing w:val="-22"/>
        </w:rPr>
        <w:t xml:space="preserve"> </w:t>
      </w:r>
      <w:r>
        <w:rPr>
          <w:spacing w:val="6"/>
        </w:rPr>
        <w:t>1</w:t>
      </w:r>
      <w:r>
        <w:rPr>
          <w:spacing w:val="29"/>
        </w:rPr>
        <w:t xml:space="preserve"> </w:t>
      </w:r>
      <w:r>
        <w:rPr>
          <w:rFonts w:ascii="SimSun" w:eastAsia="SimSun" w:hAnsi="SimSun" w:cs="SimSun"/>
          <w:spacing w:val="6"/>
        </w:rPr>
        <w:t>的结果确定纯度分析的类型。</w:t>
      </w:r>
      <w:r>
        <w:rPr>
          <w:spacing w:val="6"/>
        </w:rPr>
        <w:t>6.2</w:t>
      </w:r>
      <w:r>
        <w:rPr>
          <w:spacing w:val="15"/>
          <w:w w:val="101"/>
        </w:rPr>
        <w:t xml:space="preserve"> </w:t>
      </w:r>
      <w:r>
        <w:rPr>
          <w:rFonts w:ascii="SimSun" w:eastAsia="SimSun" w:hAnsi="SimSun" w:cs="SimSun"/>
          <w:spacing w:val="6"/>
        </w:rPr>
        <w:t>到</w:t>
      </w:r>
      <w:r>
        <w:rPr>
          <w:rFonts w:ascii="SimSun" w:eastAsia="SimSun" w:hAnsi="SimSun" w:cs="SimSun"/>
          <w:spacing w:val="-39"/>
        </w:rPr>
        <w:t xml:space="preserve"> </w:t>
      </w:r>
      <w:r>
        <w:rPr>
          <w:spacing w:val="6"/>
        </w:rPr>
        <w:t>6.4</w:t>
      </w:r>
      <w:r>
        <w:rPr>
          <w:spacing w:val="29"/>
          <w:w w:val="101"/>
        </w:rPr>
        <w:t xml:space="preserve"> </w:t>
      </w:r>
      <w:r>
        <w:rPr>
          <w:rFonts w:ascii="SimSun" w:eastAsia="SimSun" w:hAnsi="SimSun" w:cs="SimSun"/>
          <w:spacing w:val="6"/>
        </w:rPr>
        <w:t>中对每</w:t>
      </w:r>
      <w:r>
        <w:rPr>
          <w:rFonts w:ascii="SimSun" w:eastAsia="SimSun" w:hAnsi="SimSun" w:cs="SimSun"/>
          <w:spacing w:val="5"/>
        </w:rPr>
        <w:t>一种类型进行了详述。</w:t>
      </w:r>
    </w:p>
    <w:p>
      <w:pPr>
        <w:pStyle w:val="BodyText"/>
        <w:spacing w:before="66" w:line="258" w:lineRule="auto"/>
        <w:ind w:left="1" w:right="3" w:firstLine="419"/>
        <w:rPr>
          <w:rFonts w:ascii="SimSun" w:eastAsia="SimSun" w:hAnsi="SimSun" w:cs="SimSun"/>
        </w:rPr>
      </w:pPr>
      <w:r>
        <w:rPr>
          <w:rFonts w:ascii="SimSun" w:eastAsia="SimSun" w:hAnsi="SimSun" w:cs="SimSun"/>
          <w:spacing w:val="7"/>
        </w:rPr>
        <w:t>所列出的每一种可能存在的杂质均应按流程图</w:t>
      </w:r>
      <w:r>
        <w:rPr>
          <w:rFonts w:ascii="SimSun" w:eastAsia="SimSun" w:hAnsi="SimSun" w:cs="SimSun"/>
          <w:spacing w:val="-23"/>
        </w:rPr>
        <w:t xml:space="preserve"> </w:t>
      </w:r>
      <w:r>
        <w:rPr>
          <w:spacing w:val="7"/>
        </w:rPr>
        <w:t xml:space="preserve">1 </w:t>
      </w:r>
      <w:r>
        <w:rPr>
          <w:rFonts w:ascii="SimSun" w:eastAsia="SimSun" w:hAnsi="SimSun" w:cs="SimSun"/>
          <w:spacing w:val="7"/>
        </w:rPr>
        <w:t>进行处理。纯度分</w:t>
      </w:r>
      <w:r>
        <w:rPr>
          <w:rFonts w:ascii="SimSun" w:eastAsia="SimSun" w:hAnsi="SimSun" w:cs="SimSun"/>
          <w:spacing w:val="6"/>
        </w:rPr>
        <w:t>析能采用一种或多种合适的分析</w:t>
      </w:r>
      <w:r>
        <w:rPr>
          <w:rFonts w:ascii="SimSun" w:eastAsia="SimSun" w:hAnsi="SimSun" w:cs="SimSun"/>
        </w:rPr>
        <w:t xml:space="preserve"> </w:t>
      </w:r>
      <w:r>
        <w:rPr>
          <w:rFonts w:ascii="SimSun" w:eastAsia="SimSun" w:hAnsi="SimSun" w:cs="SimSun"/>
          <w:spacing w:val="9"/>
        </w:rPr>
        <w:t>方法。在有些情况下，或许更需要多种分析方</w:t>
      </w:r>
      <w:r>
        <w:rPr>
          <w:rFonts w:ascii="SimSun" w:eastAsia="SimSun" w:hAnsi="SimSun" w:cs="SimSun"/>
          <w:spacing w:val="8"/>
        </w:rPr>
        <w:t>法。</w:t>
      </w:r>
    </w:p>
    <w:p>
      <w:pPr>
        <w:pStyle w:val="BodyText"/>
        <w:spacing w:before="79" w:line="270" w:lineRule="auto"/>
        <w:ind w:right="1" w:firstLine="368"/>
        <w:rPr>
          <w:rFonts w:ascii="SimSun" w:eastAsia="SimSun" w:hAnsi="SimSun" w:cs="SimSun"/>
          <w:sz w:val="18"/>
          <w:szCs w:val="18"/>
        </w:rPr>
      </w:pPr>
      <w:r>
        <w:rPr>
          <w:rFonts w:ascii="SimHei" w:eastAsia="SimHei" w:hAnsi="SimHei" w:cs="SimHei"/>
          <w:spacing w:val="-1"/>
          <w:sz w:val="18"/>
          <w:szCs w:val="18"/>
        </w:rPr>
        <w:t>示例：</w:t>
      </w:r>
      <w:r>
        <w:rPr>
          <w:rFonts w:ascii="SimSun" w:eastAsia="SimSun" w:hAnsi="SimSun" w:cs="SimSun"/>
          <w:spacing w:val="-1"/>
          <w:sz w:val="18"/>
          <w:szCs w:val="18"/>
        </w:rPr>
        <w:t>在进行甲烷纯度分析时，其中的烃类杂质</w:t>
      </w:r>
      <w:r>
        <w:rPr>
          <w:rFonts w:ascii="SimSun" w:eastAsia="SimSun" w:hAnsi="SimSun" w:cs="SimSun"/>
          <w:spacing w:val="-2"/>
          <w:sz w:val="18"/>
          <w:szCs w:val="18"/>
        </w:rPr>
        <w:t>能使用配备火焰离子化检测器的气相色谱（</w:t>
      </w:r>
      <w:r>
        <w:rPr>
          <w:spacing w:val="-2"/>
          <w:sz w:val="18"/>
          <w:szCs w:val="18"/>
        </w:rPr>
        <w:t>GC-FID</w:t>
      </w:r>
      <w:r>
        <w:rPr>
          <w:rFonts w:ascii="SimSun" w:eastAsia="SimSun" w:hAnsi="SimSun" w:cs="SimSun"/>
          <w:spacing w:val="-2"/>
          <w:sz w:val="18"/>
          <w:szCs w:val="18"/>
        </w:rPr>
        <w:t>）进行更准确的</w:t>
      </w:r>
      <w:r>
        <w:rPr>
          <w:rFonts w:ascii="SimSun" w:eastAsia="SimSun" w:hAnsi="SimSun" w:cs="SimSun"/>
          <w:sz w:val="18"/>
          <w:szCs w:val="18"/>
        </w:rPr>
        <w:t xml:space="preserve"> </w:t>
      </w:r>
      <w:r>
        <w:rPr>
          <w:rFonts w:ascii="SimSun" w:eastAsia="SimSun" w:hAnsi="SimSun" w:cs="SimSun"/>
          <w:sz w:val="18"/>
          <w:szCs w:val="18"/>
        </w:rPr>
        <w:t>测定，而其它杂质则能使用配备热导检测器（</w:t>
      </w:r>
      <w:r>
        <w:rPr>
          <w:sz w:val="18"/>
          <w:szCs w:val="18"/>
        </w:rPr>
        <w:t>GC-TCD</w:t>
      </w:r>
      <w:r>
        <w:rPr>
          <w:rFonts w:ascii="SimSun" w:eastAsia="SimSun" w:hAnsi="SimSun" w:cs="SimSun"/>
          <w:sz w:val="18"/>
          <w:szCs w:val="18"/>
        </w:rPr>
        <w:t>）或放电离子化检测器（</w:t>
      </w:r>
      <w:r>
        <w:rPr>
          <w:sz w:val="18"/>
          <w:szCs w:val="18"/>
        </w:rPr>
        <w:t>GC-DI</w:t>
      </w:r>
      <w:r>
        <w:rPr>
          <w:spacing w:val="-1"/>
          <w:sz w:val="18"/>
          <w:szCs w:val="18"/>
        </w:rPr>
        <w:t>D</w:t>
      </w:r>
      <w:r>
        <w:rPr>
          <w:rFonts w:ascii="SimSun" w:eastAsia="SimSun" w:hAnsi="SimSun" w:cs="SimSun"/>
          <w:spacing w:val="-1"/>
          <w:sz w:val="18"/>
          <w:szCs w:val="18"/>
        </w:rPr>
        <w:t>）的气相色谱来检测。</w:t>
      </w:r>
    </w:p>
    <w:p>
      <w:pPr>
        <w:spacing w:line="270" w:lineRule="auto"/>
        <w:rPr>
          <w:rFonts w:ascii="SimSun" w:eastAsia="SimSun" w:hAnsi="SimSun" w:cs="SimSun"/>
          <w:sz w:val="18"/>
          <w:szCs w:val="18"/>
        </w:rPr>
        <w:sectPr>
          <w:footerReference w:type="default" r:id="rId10"/>
          <w:type w:val="nextPage"/>
          <w:pgSz w:w="11906" w:h="16839"/>
          <w:pgMar w:top="1406" w:right="1133" w:bottom="1311" w:left="1425" w:header="0" w:footer="1134" w:gutter="0"/>
          <w:pgNumType w:start="6"/>
          <w:cols w:space="708"/>
          <w:titlePg w:val="0"/>
        </w:sectPr>
      </w:pPr>
    </w:p>
    <w:p>
      <w:pPr>
        <w:spacing w:before="42" w:line="265" w:lineRule="exact"/>
        <w:ind w:left="6099"/>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spacing w:before="264" w:line="273" w:lineRule="auto"/>
        <w:ind w:left="1" w:right="61" w:firstLine="419"/>
        <w:jc w:val="both"/>
        <w:rPr>
          <w:rFonts w:ascii="SimSun" w:eastAsia="SimSun" w:hAnsi="SimSun" w:cs="SimSun"/>
          <w:sz w:val="20"/>
          <w:szCs w:val="20"/>
        </w:rPr>
      </w:pPr>
      <w:r>
        <w:rPr>
          <w:rFonts w:ascii="SimSun" w:eastAsia="SimSun" w:hAnsi="SimSun" w:cs="SimSun"/>
          <w:spacing w:val="7"/>
          <w:sz w:val="20"/>
          <w:szCs w:val="20"/>
        </w:rPr>
        <w:t>对于某些原料（如液体或腐蚀性气体</w:t>
      </w:r>
      <w:r>
        <w:rPr>
          <w:rFonts w:ascii="SimSun" w:eastAsia="SimSun" w:hAnsi="SimSun" w:cs="SimSun"/>
          <w:spacing w:val="5"/>
          <w:sz w:val="20"/>
          <w:szCs w:val="20"/>
        </w:rPr>
        <w:t>），</w:t>
      </w:r>
      <w:r>
        <w:rPr>
          <w:rFonts w:ascii="SimSun" w:eastAsia="SimSun" w:hAnsi="SimSun" w:cs="SimSun"/>
          <w:spacing w:val="7"/>
          <w:sz w:val="20"/>
          <w:szCs w:val="20"/>
        </w:rPr>
        <w:t>分析其“纯</w:t>
      </w:r>
      <w:r>
        <w:rPr>
          <w:rFonts w:ascii="SimSun" w:eastAsia="SimSun" w:hAnsi="SimSun" w:cs="SimSun"/>
          <w:spacing w:val="-73"/>
          <w:sz w:val="20"/>
          <w:szCs w:val="20"/>
        </w:rPr>
        <w:t xml:space="preserve"> </w:t>
      </w:r>
      <w:r>
        <w:rPr>
          <w:rFonts w:ascii="SimSun" w:eastAsia="SimSun" w:hAnsi="SimSun" w:cs="SimSun"/>
          <w:spacing w:val="7"/>
          <w:sz w:val="20"/>
          <w:szCs w:val="20"/>
        </w:rPr>
        <w:t>”物质或许是不可行的。在这种情况下，能采</w:t>
      </w:r>
      <w:r>
        <w:rPr>
          <w:rFonts w:ascii="SimSun" w:eastAsia="SimSun" w:hAnsi="SimSun" w:cs="SimSun"/>
          <w:sz w:val="20"/>
          <w:szCs w:val="20"/>
        </w:rPr>
        <w:t xml:space="preserve"> </w:t>
      </w:r>
      <w:r>
        <w:rPr>
          <w:rFonts w:ascii="SimSun" w:eastAsia="SimSun" w:hAnsi="SimSun" w:cs="SimSun"/>
          <w:spacing w:val="8"/>
          <w:sz w:val="20"/>
          <w:szCs w:val="20"/>
        </w:rPr>
        <w:t>用其它方法，比如，筛选纯度已知的高纯度气体作为底气，使用</w:t>
      </w:r>
      <w:r>
        <w:rPr>
          <w:rFonts w:ascii="SimSun" w:eastAsia="SimSun" w:hAnsi="SimSun" w:cs="SimSun"/>
          <w:spacing w:val="7"/>
          <w:sz w:val="20"/>
          <w:szCs w:val="20"/>
        </w:rPr>
        <w:t>称量法制备较低含量的混合气体进行杂</w:t>
      </w:r>
      <w:r>
        <w:rPr>
          <w:rFonts w:ascii="SimSun" w:eastAsia="SimSun" w:hAnsi="SimSun" w:cs="SimSun"/>
          <w:sz w:val="20"/>
          <w:szCs w:val="20"/>
        </w:rPr>
        <w:t xml:space="preserve"> </w:t>
      </w:r>
      <w:r>
        <w:rPr>
          <w:rFonts w:ascii="SimSun" w:eastAsia="SimSun" w:hAnsi="SimSun" w:cs="SimSun"/>
          <w:spacing w:val="8"/>
          <w:sz w:val="20"/>
          <w:szCs w:val="20"/>
        </w:rPr>
        <w:t>质含量分析。但是，该方法对原料的最低检出限有不利影响</w:t>
      </w:r>
      <w:r>
        <w:rPr>
          <w:rFonts w:ascii="SimSun" w:eastAsia="SimSun" w:hAnsi="SimSun" w:cs="SimSun"/>
          <w:spacing w:val="7"/>
          <w:sz w:val="20"/>
          <w:szCs w:val="20"/>
        </w:rPr>
        <w:t>，因此，在计算目标组分的含量时，宜注意</w:t>
      </w:r>
      <w:r>
        <w:rPr>
          <w:rFonts w:ascii="SimSun" w:eastAsia="SimSun" w:hAnsi="SimSun" w:cs="SimSun"/>
          <w:sz w:val="20"/>
          <w:szCs w:val="20"/>
        </w:rPr>
        <w:t xml:space="preserve"> </w:t>
      </w:r>
      <w:r>
        <w:rPr>
          <w:rFonts w:ascii="SimSun" w:eastAsia="SimSun" w:hAnsi="SimSun" w:cs="SimSun"/>
          <w:spacing w:val="7"/>
          <w:sz w:val="20"/>
          <w:szCs w:val="20"/>
        </w:rPr>
        <w:t>考虑底气的纯度。</w:t>
      </w:r>
    </w:p>
    <w:p>
      <w:pPr>
        <w:spacing w:before="65" w:line="268" w:lineRule="auto"/>
        <w:ind w:left="1" w:right="61" w:firstLine="433"/>
        <w:jc w:val="both"/>
        <w:rPr>
          <w:rFonts w:ascii="SimSun" w:eastAsia="SimSun" w:hAnsi="SimSun" w:cs="SimSun"/>
          <w:sz w:val="20"/>
          <w:szCs w:val="20"/>
        </w:rPr>
      </w:pPr>
      <w:r>
        <w:rPr>
          <w:rFonts w:ascii="SimSun" w:eastAsia="SimSun" w:hAnsi="SimSun" w:cs="SimSun"/>
          <w:spacing w:val="7"/>
          <w:sz w:val="20"/>
          <w:szCs w:val="20"/>
        </w:rPr>
        <w:t>当使用液体或液化气体制备混合气体时，应分析液相而不是气相的纯度。如使用的是气相部分，则</w:t>
      </w:r>
      <w:r>
        <w:rPr>
          <w:rFonts w:ascii="SimSun" w:eastAsia="SimSun" w:hAnsi="SimSun" w:cs="SimSun"/>
          <w:spacing w:val="9"/>
          <w:sz w:val="20"/>
          <w:szCs w:val="20"/>
        </w:rPr>
        <w:t xml:space="preserve"> </w:t>
      </w:r>
      <w:r>
        <w:rPr>
          <w:rFonts w:ascii="SimSun" w:eastAsia="SimSun" w:hAnsi="SimSun" w:cs="SimSun"/>
          <w:spacing w:val="8"/>
          <w:sz w:val="20"/>
          <w:szCs w:val="20"/>
        </w:rPr>
        <w:t>应对气相进行分析。由于气相与液相的组成不同，其组成可</w:t>
      </w:r>
      <w:r>
        <w:rPr>
          <w:rFonts w:ascii="SimSun" w:eastAsia="SimSun" w:hAnsi="SimSun" w:cs="SimSun"/>
          <w:spacing w:val="7"/>
          <w:sz w:val="20"/>
          <w:szCs w:val="20"/>
        </w:rPr>
        <w:t>能会随气体或液体的使用而发生变化。应采</w:t>
      </w:r>
      <w:r>
        <w:rPr>
          <w:rFonts w:ascii="SimSun" w:eastAsia="SimSun" w:hAnsi="SimSun" w:cs="SimSun"/>
          <w:sz w:val="20"/>
          <w:szCs w:val="20"/>
        </w:rPr>
        <w:t xml:space="preserve"> </w:t>
      </w:r>
      <w:r>
        <w:rPr>
          <w:rFonts w:ascii="SimSun" w:eastAsia="SimSun" w:hAnsi="SimSun" w:cs="SimSun"/>
          <w:spacing w:val="9"/>
          <w:sz w:val="20"/>
          <w:szCs w:val="20"/>
        </w:rPr>
        <w:t>取适当的措施，确保所得的原料纯度分析结果在其声称的不确定度范围内。</w:t>
      </w:r>
    </w:p>
    <w:p>
      <w:pPr>
        <w:pStyle w:val="BodyText"/>
        <w:spacing w:before="64" w:line="273" w:lineRule="auto"/>
        <w:ind w:firstLine="434"/>
        <w:jc w:val="both"/>
        <w:rPr>
          <w:rFonts w:ascii="SimSun" w:eastAsia="SimSun" w:hAnsi="SimSun" w:cs="SimSun"/>
        </w:rPr>
      </w:pPr>
      <w:r>
        <w:rPr>
          <w:rFonts w:ascii="SimSun" w:eastAsia="SimSun" w:hAnsi="SimSun" w:cs="SimSun"/>
          <w:spacing w:val="7"/>
        </w:rPr>
        <w:t>当进行杂质含量分析时，宜注意检查任何“意外</w:t>
      </w:r>
      <w:r>
        <w:rPr>
          <w:rFonts w:ascii="SimSun" w:eastAsia="SimSun" w:hAnsi="SimSun" w:cs="SimSun"/>
          <w:spacing w:val="-70"/>
        </w:rPr>
        <w:t xml:space="preserve"> </w:t>
      </w:r>
      <w:r>
        <w:rPr>
          <w:rFonts w:ascii="SimSun" w:eastAsia="SimSun" w:hAnsi="SimSun" w:cs="SimSun"/>
          <w:spacing w:val="7"/>
        </w:rPr>
        <w:t>”</w:t>
      </w:r>
      <w:r>
        <w:rPr>
          <w:rFonts w:ascii="SimSun" w:eastAsia="SimSun" w:hAnsi="SimSun" w:cs="SimSun"/>
          <w:spacing w:val="6"/>
        </w:rPr>
        <w:t>杂质（观测到的任一杂质，但按</w:t>
      </w:r>
      <w:r>
        <w:rPr>
          <w:rFonts w:ascii="SimSun" w:eastAsia="SimSun" w:hAnsi="SimSun" w:cs="SimSun"/>
          <w:spacing w:val="-38"/>
        </w:rPr>
        <w:t xml:space="preserve"> </w:t>
      </w:r>
      <w:r>
        <w:rPr>
          <w:spacing w:val="6"/>
        </w:rPr>
        <w:t>5.2</w:t>
      </w:r>
      <w:r>
        <w:rPr>
          <w:spacing w:val="30"/>
        </w:rPr>
        <w:t xml:space="preserve"> </w:t>
      </w:r>
      <w:r>
        <w:rPr>
          <w:rFonts w:ascii="SimSun" w:eastAsia="SimSun" w:hAnsi="SimSun" w:cs="SimSun"/>
          <w:spacing w:val="6"/>
        </w:rPr>
        <w:t>中的评定步</w:t>
      </w:r>
      <w:r>
        <w:rPr>
          <w:rFonts w:ascii="SimSun" w:eastAsia="SimSun" w:hAnsi="SimSun" w:cs="SimSun"/>
        </w:rPr>
        <w:t xml:space="preserve"> </w:t>
      </w:r>
      <w:r>
        <w:rPr>
          <w:rFonts w:ascii="SimSun" w:eastAsia="SimSun" w:hAnsi="SimSun" w:cs="SimSun"/>
          <w:spacing w:val="9"/>
        </w:rPr>
        <w:t>骤，未被识别为可能存在的杂质）。比如，使用气相色谱分析时，色谱峰中可能会看到意外的杂质峰。</w:t>
      </w:r>
      <w:r>
        <w:rPr>
          <w:rFonts w:ascii="SimSun" w:eastAsia="SimSun" w:hAnsi="SimSun" w:cs="SimSun"/>
          <w:spacing w:val="1"/>
        </w:rPr>
        <w:t xml:space="preserve"> </w:t>
      </w:r>
      <w:r>
        <w:rPr>
          <w:rFonts w:ascii="SimSun" w:eastAsia="SimSun" w:hAnsi="SimSun" w:cs="SimSun"/>
          <w:spacing w:val="8"/>
        </w:rPr>
        <w:t>如果观测到一个或多个意外杂质，宜按流程图</w:t>
      </w:r>
      <w:r>
        <w:rPr>
          <w:rFonts w:ascii="SimSun" w:eastAsia="SimSun" w:hAnsi="SimSun" w:cs="SimSun"/>
          <w:spacing w:val="-23"/>
        </w:rPr>
        <w:t xml:space="preserve"> </w:t>
      </w:r>
      <w:r>
        <w:rPr>
          <w:spacing w:val="8"/>
        </w:rPr>
        <w:t xml:space="preserve">1 </w:t>
      </w:r>
      <w:r>
        <w:rPr>
          <w:rFonts w:ascii="SimSun" w:eastAsia="SimSun" w:hAnsi="SimSun" w:cs="SimSun"/>
          <w:spacing w:val="8"/>
        </w:rPr>
        <w:t>评</w:t>
      </w:r>
      <w:r>
        <w:rPr>
          <w:rFonts w:ascii="SimSun" w:eastAsia="SimSun" w:hAnsi="SimSun" w:cs="SimSun"/>
          <w:spacing w:val="7"/>
        </w:rPr>
        <w:t>估每一杂质是否是“关键</w:t>
      </w:r>
      <w:r>
        <w:rPr>
          <w:rFonts w:ascii="SimSun" w:eastAsia="SimSun" w:hAnsi="SimSun" w:cs="SimSun"/>
          <w:spacing w:val="-70"/>
        </w:rPr>
        <w:t xml:space="preserve"> </w:t>
      </w:r>
      <w:r>
        <w:rPr>
          <w:rFonts w:ascii="SimSun" w:eastAsia="SimSun" w:hAnsi="SimSun" w:cs="SimSun"/>
          <w:spacing w:val="7"/>
        </w:rPr>
        <w:t>”和</w:t>
      </w:r>
      <w:r>
        <w:rPr>
          <w:spacing w:val="7"/>
        </w:rPr>
        <w:t>/</w:t>
      </w:r>
      <w:r>
        <w:rPr>
          <w:rFonts w:ascii="SimSun" w:eastAsia="SimSun" w:hAnsi="SimSun" w:cs="SimSun"/>
          <w:spacing w:val="7"/>
        </w:rPr>
        <w:t>或“重要</w:t>
      </w:r>
      <w:r>
        <w:rPr>
          <w:rFonts w:ascii="SimSun" w:eastAsia="SimSun" w:hAnsi="SimSun" w:cs="SimSun"/>
          <w:spacing w:val="-70"/>
        </w:rPr>
        <w:t xml:space="preserve"> </w:t>
      </w:r>
      <w:r>
        <w:rPr>
          <w:rFonts w:ascii="SimSun" w:eastAsia="SimSun" w:hAnsi="SimSun" w:cs="SimSun"/>
          <w:spacing w:val="7"/>
        </w:rPr>
        <w:t>”杂质，并</w:t>
      </w:r>
      <w:r>
        <w:rPr>
          <w:rFonts w:ascii="SimSun" w:eastAsia="SimSun" w:hAnsi="SimSun" w:cs="SimSun"/>
        </w:rPr>
        <w:t xml:space="preserve">  </w:t>
      </w:r>
      <w:r>
        <w:rPr>
          <w:rFonts w:ascii="SimSun" w:eastAsia="SimSun" w:hAnsi="SimSun" w:cs="SimSun"/>
          <w:spacing w:val="8"/>
        </w:rPr>
        <w:t>进行相应的杂质分析。</w:t>
      </w:r>
    </w:p>
    <w:p>
      <w:pPr>
        <w:spacing w:before="222" w:line="229" w:lineRule="auto"/>
        <w:outlineLvl w:val="1"/>
        <w:rPr>
          <w:rFonts w:ascii="SimHei" w:eastAsia="SimHei" w:hAnsi="SimHei" w:cs="SimHei"/>
          <w:sz w:val="20"/>
          <w:szCs w:val="20"/>
        </w:rPr>
      </w:pPr>
      <w:r>
        <w:rPr>
          <w:rFonts w:ascii="SimHei" w:eastAsia="SimHei" w:hAnsi="SimHei" w:cs="SimHei"/>
          <w:spacing w:val="7"/>
          <w:sz w:val="20"/>
          <w:szCs w:val="20"/>
        </w:rPr>
        <w:t>6.2</w:t>
      </w:r>
      <w:r>
        <w:rPr>
          <w:rFonts w:ascii="SimHei" w:eastAsia="SimHei" w:hAnsi="SimHei" w:cs="SimHei"/>
          <w:spacing w:val="7"/>
          <w:sz w:val="20"/>
          <w:szCs w:val="20"/>
        </w:rPr>
        <w:t xml:space="preserve">  </w:t>
      </w:r>
      <w:r>
        <w:rPr>
          <w:rFonts w:ascii="SimHei" w:eastAsia="SimHei" w:hAnsi="SimHei" w:cs="SimHei"/>
          <w:spacing w:val="7"/>
          <w:sz w:val="20"/>
          <w:szCs w:val="20"/>
        </w:rPr>
        <w:t>结果可溯源的纯度分析</w:t>
      </w:r>
    </w:p>
    <w:p>
      <w:pPr>
        <w:pStyle w:val="BodyText"/>
        <w:spacing w:before="219" w:line="258" w:lineRule="auto"/>
        <w:ind w:left="2" w:right="63" w:firstLine="420"/>
        <w:rPr>
          <w:rFonts w:ascii="SimSun" w:eastAsia="SimSun" w:hAnsi="SimSun" w:cs="SimSun"/>
        </w:rPr>
      </w:pPr>
      <w:r>
        <w:rPr>
          <w:rFonts w:ascii="SimSun" w:eastAsia="SimSun" w:hAnsi="SimSun" w:cs="SimSun"/>
          <w:spacing w:val="9"/>
        </w:rPr>
        <w:t>用</w:t>
      </w:r>
      <w:r>
        <w:rPr>
          <w:rFonts w:ascii="SimSun" w:eastAsia="SimSun" w:hAnsi="SimSun" w:cs="SimSun"/>
          <w:spacing w:val="-40"/>
        </w:rPr>
        <w:t xml:space="preserve"> </w:t>
      </w:r>
      <w:r>
        <w:t>ISO</w:t>
      </w:r>
      <w:r>
        <w:rPr>
          <w:spacing w:val="17"/>
          <w:w w:val="101"/>
        </w:rPr>
        <w:t xml:space="preserve"> </w:t>
      </w:r>
      <w:r>
        <w:rPr>
          <w:spacing w:val="9"/>
        </w:rPr>
        <w:t xml:space="preserve">6143 </w:t>
      </w:r>
      <w:r>
        <w:rPr>
          <w:rFonts w:ascii="SimSun" w:eastAsia="SimSun" w:hAnsi="SimSun" w:cs="SimSun"/>
          <w:spacing w:val="9"/>
        </w:rPr>
        <w:t>或</w:t>
      </w:r>
      <w:r>
        <w:rPr>
          <w:rFonts w:ascii="SimSun" w:eastAsia="SimSun" w:hAnsi="SimSun" w:cs="SimSun"/>
          <w:spacing w:val="-40"/>
        </w:rPr>
        <w:t xml:space="preserve"> </w:t>
      </w:r>
      <w:r>
        <w:t>ISO</w:t>
      </w:r>
      <w:r>
        <w:rPr>
          <w:spacing w:val="32"/>
          <w:w w:val="101"/>
        </w:rPr>
        <w:t xml:space="preserve"> </w:t>
      </w:r>
      <w:r>
        <w:rPr>
          <w:spacing w:val="9"/>
        </w:rPr>
        <w:t>12963</w:t>
      </w:r>
      <w:r>
        <w:rPr>
          <w:spacing w:val="32"/>
        </w:rPr>
        <w:t xml:space="preserve"> </w:t>
      </w:r>
      <w:r>
        <w:rPr>
          <w:rFonts w:ascii="SimSun" w:eastAsia="SimSun" w:hAnsi="SimSun" w:cs="SimSun"/>
          <w:spacing w:val="9"/>
        </w:rPr>
        <w:t>中描述的方法，使用不确定度已知的校</w:t>
      </w:r>
      <w:r>
        <w:rPr>
          <w:rFonts w:ascii="SimSun" w:eastAsia="SimSun" w:hAnsi="SimSun" w:cs="SimSun"/>
          <w:spacing w:val="8"/>
        </w:rPr>
        <w:t>准混合气体校准分析仪，通过与</w:t>
      </w:r>
      <w:r>
        <w:rPr>
          <w:rFonts w:ascii="SimSun" w:eastAsia="SimSun" w:hAnsi="SimSun" w:cs="SimSun"/>
        </w:rPr>
        <w:t xml:space="preserve"> </w:t>
      </w:r>
      <w:r>
        <w:rPr>
          <w:rFonts w:ascii="SimSun" w:eastAsia="SimSun" w:hAnsi="SimSun" w:cs="SimSun"/>
          <w:spacing w:val="9"/>
        </w:rPr>
        <w:t>校准混合气体直接比较对杂质进行定量，实现结果可溯源的纯度分析。</w:t>
      </w:r>
    </w:p>
    <w:p>
      <w:pPr>
        <w:pStyle w:val="BodyText"/>
        <w:spacing w:before="65" w:line="258" w:lineRule="auto"/>
        <w:ind w:left="3" w:right="123" w:firstLine="417"/>
        <w:rPr>
          <w:rFonts w:ascii="SimSun" w:eastAsia="SimSun" w:hAnsi="SimSun" w:cs="SimSun"/>
        </w:rPr>
      </w:pPr>
      <w:r>
        <w:rPr>
          <w:rFonts w:ascii="SimSun" w:eastAsia="SimSun" w:hAnsi="SimSun" w:cs="SimSun"/>
          <w:spacing w:val="8"/>
        </w:rPr>
        <w:t>对于高纯本底气体的纯度分析，能选用具有合适检出限（通常比待测杂质的含量低</w:t>
      </w:r>
      <w:r>
        <w:rPr>
          <w:rFonts w:ascii="SimSun" w:eastAsia="SimSun" w:hAnsi="SimSun" w:cs="SimSun"/>
          <w:spacing w:val="-8"/>
        </w:rPr>
        <w:t xml:space="preserve"> </w:t>
      </w:r>
      <w:r>
        <w:rPr>
          <w:spacing w:val="8"/>
        </w:rPr>
        <w:t xml:space="preserve">10 </w:t>
      </w:r>
      <w:r>
        <w:rPr>
          <w:rFonts w:ascii="SimSun" w:eastAsia="SimSun" w:hAnsi="SimSun" w:cs="SimSun"/>
          <w:spacing w:val="8"/>
        </w:rPr>
        <w:t>倍</w:t>
      </w:r>
      <w:r>
        <w:rPr>
          <w:spacing w:val="8"/>
          <w:position w:val="6"/>
          <w:sz w:val="13"/>
          <w:szCs w:val="13"/>
        </w:rPr>
        <w:t>[5]</w:t>
      </w:r>
      <w:r>
        <w:rPr>
          <w:rFonts w:ascii="SimSun" w:eastAsia="SimSun" w:hAnsi="SimSun" w:cs="SimSun"/>
          <w:spacing w:val="8"/>
        </w:rPr>
        <w:t>）的分</w:t>
      </w:r>
      <w:r>
        <w:rPr>
          <w:rFonts w:ascii="SimSun" w:eastAsia="SimSun" w:hAnsi="SimSun" w:cs="SimSun"/>
        </w:rPr>
        <w:t xml:space="preserve"> </w:t>
      </w:r>
      <w:r>
        <w:rPr>
          <w:rFonts w:ascii="SimSun" w:eastAsia="SimSun" w:hAnsi="SimSun" w:cs="SimSun"/>
          <w:spacing w:val="8"/>
        </w:rPr>
        <w:t>析仪直接对杂质进行测定。</w:t>
      </w:r>
    </w:p>
    <w:p>
      <w:pPr>
        <w:pStyle w:val="BodyText"/>
        <w:spacing w:before="63" w:line="275" w:lineRule="auto"/>
        <w:ind w:left="2" w:right="16" w:firstLine="418"/>
        <w:rPr>
          <w:rFonts w:ascii="SimSun" w:eastAsia="SimSun" w:hAnsi="SimSun" w:cs="SimSun"/>
        </w:rPr>
      </w:pPr>
      <w:r>
        <w:rPr>
          <w:rFonts w:ascii="SimSun" w:eastAsia="SimSun" w:hAnsi="SimSun" w:cs="SimSun"/>
          <w:spacing w:val="8"/>
        </w:rPr>
        <w:t>激光光谱法和气相色谱法是具有明确零点的分析</w:t>
      </w:r>
      <w:r>
        <w:rPr>
          <w:rFonts w:ascii="SimSun" w:eastAsia="SimSun" w:hAnsi="SimSun" w:cs="SimSun"/>
          <w:spacing w:val="7"/>
        </w:rPr>
        <w:t>仪所用的典型的分析方法。用该类型的分析仪确定</w:t>
      </w:r>
      <w:r>
        <w:rPr>
          <w:rFonts w:ascii="SimSun" w:eastAsia="SimSun" w:hAnsi="SimSun" w:cs="SimSun"/>
        </w:rPr>
        <w:t xml:space="preserve"> </w:t>
      </w:r>
      <w:r>
        <w:rPr>
          <w:rFonts w:ascii="SimSun" w:eastAsia="SimSun" w:hAnsi="SimSun" w:cs="SimSun"/>
          <w:spacing w:val="9"/>
        </w:rPr>
        <w:t>高纯本底气体中痕量杂质的量分数的方法应是与校准用混合气</w:t>
      </w:r>
      <w:r>
        <w:rPr>
          <w:rFonts w:ascii="SimSun" w:eastAsia="SimSun" w:hAnsi="SimSun" w:cs="SimSun"/>
          <w:spacing w:val="8"/>
        </w:rPr>
        <w:t>体直接进行比较。当使用激光光谱法时，</w:t>
      </w:r>
      <w:r>
        <w:rPr>
          <w:rFonts w:ascii="SimSun" w:eastAsia="SimSun" w:hAnsi="SimSun" w:cs="SimSun"/>
        </w:rPr>
        <w:t xml:space="preserve"> </w:t>
      </w:r>
      <w:r>
        <w:rPr>
          <w:rFonts w:ascii="SimSun" w:eastAsia="SimSun" w:hAnsi="SimSun" w:cs="SimSun"/>
          <w:spacing w:val="8"/>
        </w:rPr>
        <w:t>使用已建立计量溯源性的杂质的光谱强度或截面积代替校准用混</w:t>
      </w:r>
      <w:r>
        <w:rPr>
          <w:rFonts w:ascii="SimSun" w:eastAsia="SimSun" w:hAnsi="SimSun" w:cs="SimSun"/>
          <w:spacing w:val="7"/>
        </w:rPr>
        <w:t>合气体，也是一种有效的替代方案。当</w:t>
      </w:r>
      <w:r>
        <w:rPr>
          <w:rFonts w:ascii="SimSun" w:eastAsia="SimSun" w:hAnsi="SimSun" w:cs="SimSun"/>
        </w:rPr>
        <w:t xml:space="preserve"> </w:t>
      </w:r>
      <w:r>
        <w:rPr>
          <w:rFonts w:ascii="SimSun" w:eastAsia="SimSun" w:hAnsi="SimSun" w:cs="SimSun"/>
          <w:spacing w:val="7"/>
        </w:rPr>
        <w:t>使用气相色谱法时，能使用在特定分析仪上、经特定测量验证过的相对响应因子（</w:t>
      </w:r>
      <w:r>
        <w:t>RRF</w:t>
      </w:r>
      <w:r>
        <w:rPr>
          <w:rFonts w:ascii="SimSun" w:eastAsia="SimSun" w:hAnsi="SimSun" w:cs="SimSun"/>
          <w:spacing w:val="7"/>
        </w:rPr>
        <w:t>）。</w:t>
      </w:r>
      <w:r>
        <w:t>RRF</w:t>
      </w:r>
      <w:r>
        <w:rPr>
          <w:spacing w:val="47"/>
          <w:w w:val="101"/>
        </w:rPr>
        <w:t xml:space="preserve"> </w:t>
      </w:r>
      <w:r>
        <w:rPr>
          <w:rFonts w:ascii="SimSun" w:eastAsia="SimSun" w:hAnsi="SimSun" w:cs="SimSun"/>
          <w:spacing w:val="7"/>
        </w:rPr>
        <w:t>的不确</w:t>
      </w:r>
      <w:r>
        <w:rPr>
          <w:rFonts w:ascii="SimSun" w:eastAsia="SimSun" w:hAnsi="SimSun" w:cs="SimSun"/>
        </w:rPr>
        <w:t xml:space="preserve"> </w:t>
      </w:r>
      <w:r>
        <w:rPr>
          <w:rFonts w:ascii="SimSun" w:eastAsia="SimSun" w:hAnsi="SimSun" w:cs="SimSun"/>
          <w:spacing w:val="9"/>
        </w:rPr>
        <w:t>定度应按照</w:t>
      </w:r>
      <w:r>
        <w:rPr>
          <w:rFonts w:ascii="SimSun" w:eastAsia="SimSun" w:hAnsi="SimSun" w:cs="SimSun"/>
          <w:spacing w:val="-29"/>
        </w:rPr>
        <w:t xml:space="preserve"> </w:t>
      </w:r>
      <w:r>
        <w:t>ISO</w:t>
      </w:r>
      <w:r>
        <w:rPr>
          <w:spacing w:val="9"/>
        </w:rPr>
        <w:t>/</w:t>
      </w:r>
      <w:r>
        <w:t>IEC</w:t>
      </w:r>
      <w:r>
        <w:rPr>
          <w:spacing w:val="9"/>
        </w:rPr>
        <w:t xml:space="preserve"> </w:t>
      </w:r>
      <w:r>
        <w:t>Guide</w:t>
      </w:r>
      <w:r>
        <w:rPr>
          <w:spacing w:val="9"/>
        </w:rPr>
        <w:t xml:space="preserve"> 98-3(</w:t>
      </w:r>
      <w:r>
        <w:t>GUM</w:t>
      </w:r>
      <w:r>
        <w:rPr>
          <w:spacing w:val="9"/>
        </w:rPr>
        <w:t>)</w:t>
      </w:r>
      <w:r>
        <w:rPr>
          <w:rFonts w:ascii="SimSun" w:eastAsia="SimSun" w:hAnsi="SimSun" w:cs="SimSun"/>
          <w:spacing w:val="9"/>
        </w:rPr>
        <w:t>进行评估。</w:t>
      </w:r>
    </w:p>
    <w:p>
      <w:pPr>
        <w:spacing w:before="72" w:line="268" w:lineRule="auto"/>
        <w:ind w:left="1" w:right="61" w:firstLine="423"/>
        <w:rPr>
          <w:rFonts w:ascii="SimSun" w:eastAsia="SimSun" w:hAnsi="SimSun" w:cs="SimSun"/>
          <w:sz w:val="20"/>
          <w:szCs w:val="20"/>
        </w:rPr>
      </w:pPr>
      <w:r>
        <w:rPr>
          <w:rFonts w:ascii="SimSun" w:eastAsia="SimSun" w:hAnsi="SimSun" w:cs="SimSun"/>
          <w:spacing w:val="8"/>
          <w:sz w:val="20"/>
          <w:szCs w:val="20"/>
        </w:rPr>
        <w:t>如果分析仪没有明确的零点，则应将标准加</w:t>
      </w:r>
      <w:r>
        <w:rPr>
          <w:rFonts w:ascii="SimSun" w:eastAsia="SimSun" w:hAnsi="SimSun" w:cs="SimSun"/>
          <w:spacing w:val="7"/>
          <w:sz w:val="20"/>
          <w:szCs w:val="20"/>
        </w:rPr>
        <w:t>入法和性能良好的纯化系统结合使用。在计算杂质的量</w:t>
      </w:r>
      <w:r>
        <w:rPr>
          <w:rFonts w:ascii="SimSun" w:eastAsia="SimSun" w:hAnsi="SimSun" w:cs="SimSun"/>
          <w:sz w:val="20"/>
          <w:szCs w:val="20"/>
        </w:rPr>
        <w:t xml:space="preserve"> </w:t>
      </w:r>
      <w:r>
        <w:rPr>
          <w:rFonts w:ascii="SimSun" w:eastAsia="SimSun" w:hAnsi="SimSun" w:cs="SimSun"/>
          <w:spacing w:val="8"/>
          <w:sz w:val="20"/>
          <w:szCs w:val="20"/>
        </w:rPr>
        <w:t>分数及其相关不确定度时，应考虑生产商出具的纯化器的去除效</w:t>
      </w:r>
      <w:r>
        <w:rPr>
          <w:rFonts w:ascii="SimSun" w:eastAsia="SimSun" w:hAnsi="SimSun" w:cs="SimSun"/>
          <w:spacing w:val="7"/>
          <w:sz w:val="20"/>
          <w:szCs w:val="20"/>
        </w:rPr>
        <w:t>率指标。用该类分析仪测定高纯本底气</w:t>
      </w:r>
      <w:r>
        <w:rPr>
          <w:rFonts w:ascii="SimSun" w:eastAsia="SimSun" w:hAnsi="SimSun" w:cs="SimSun"/>
          <w:sz w:val="20"/>
          <w:szCs w:val="20"/>
        </w:rPr>
        <w:t xml:space="preserve"> </w:t>
      </w:r>
      <w:r>
        <w:rPr>
          <w:rFonts w:ascii="SimSun" w:eastAsia="SimSun" w:hAnsi="SimSun" w:cs="SimSun"/>
          <w:spacing w:val="8"/>
          <w:sz w:val="20"/>
          <w:szCs w:val="20"/>
        </w:rPr>
        <w:t>体中微量杂质的步骤如下。</w:t>
      </w:r>
    </w:p>
    <w:p>
      <w:pPr>
        <w:spacing w:before="65" w:line="228" w:lineRule="auto"/>
        <w:ind w:left="424"/>
        <w:rPr>
          <w:rFonts w:ascii="SimSun" w:eastAsia="SimSun" w:hAnsi="SimSun" w:cs="SimSun"/>
          <w:sz w:val="20"/>
          <w:szCs w:val="20"/>
        </w:rPr>
      </w:pPr>
      <w:r>
        <w:rPr>
          <w:rFonts w:ascii="SimSun" w:eastAsia="SimSun" w:hAnsi="SimSun" w:cs="SimSun"/>
          <w:spacing w:val="8"/>
          <w:sz w:val="20"/>
          <w:szCs w:val="20"/>
        </w:rPr>
        <w:t>——对分析仪测量范围的上限进行校准（即使用“量程气</w:t>
      </w:r>
      <w:r>
        <w:rPr>
          <w:rFonts w:ascii="SimSun" w:eastAsia="SimSun" w:hAnsi="SimSun" w:cs="SimSun"/>
          <w:spacing w:val="-61"/>
          <w:sz w:val="20"/>
          <w:szCs w:val="20"/>
        </w:rPr>
        <w:t xml:space="preserve"> </w:t>
      </w:r>
      <w:r>
        <w:rPr>
          <w:rFonts w:ascii="SimSun" w:eastAsia="SimSun" w:hAnsi="SimSun" w:cs="SimSun"/>
          <w:spacing w:val="8"/>
          <w:sz w:val="20"/>
          <w:szCs w:val="20"/>
        </w:rPr>
        <w:t>”进行校准）。</w:t>
      </w:r>
    </w:p>
    <w:p>
      <w:pPr>
        <w:spacing w:before="66" w:line="312" w:lineRule="exact"/>
        <w:ind w:left="424"/>
        <w:rPr>
          <w:rFonts w:ascii="SimSun" w:eastAsia="SimSun" w:hAnsi="SimSun" w:cs="SimSun"/>
          <w:sz w:val="20"/>
          <w:szCs w:val="20"/>
        </w:rPr>
      </w:pPr>
      <w:r>
        <w:rPr>
          <w:rFonts w:ascii="SimSun" w:eastAsia="SimSun" w:hAnsi="SimSun" w:cs="SimSun"/>
          <w:spacing w:val="9"/>
          <w:position w:val="7"/>
          <w:sz w:val="20"/>
          <w:szCs w:val="20"/>
        </w:rPr>
        <w:t>——分析通过纯化器的本底气体样品，并将分析仪校准为零。</w:t>
      </w:r>
    </w:p>
    <w:p>
      <w:pPr>
        <w:spacing w:before="1" w:line="226" w:lineRule="auto"/>
        <w:ind w:left="424"/>
        <w:rPr>
          <w:rFonts w:ascii="SimSun" w:eastAsia="SimSun" w:hAnsi="SimSun" w:cs="SimSun"/>
          <w:sz w:val="20"/>
          <w:szCs w:val="20"/>
        </w:rPr>
      </w:pPr>
      <w:r>
        <w:rPr>
          <w:rFonts w:ascii="SimSun" w:eastAsia="SimSun" w:hAnsi="SimSun" w:cs="SimSun"/>
          <w:spacing w:val="9"/>
          <w:sz w:val="20"/>
          <w:szCs w:val="20"/>
        </w:rPr>
        <w:t>——分析不通过纯化器的本底气体样品。</w:t>
      </w:r>
    </w:p>
    <w:p>
      <w:pPr>
        <w:spacing w:before="66" w:line="227" w:lineRule="auto"/>
        <w:ind w:left="424"/>
        <w:rPr>
          <w:rFonts w:ascii="SimSun" w:eastAsia="SimSun" w:hAnsi="SimSun" w:cs="SimSun"/>
          <w:sz w:val="20"/>
          <w:szCs w:val="20"/>
        </w:rPr>
      </w:pPr>
      <w:r>
        <w:rPr>
          <w:rFonts w:ascii="SimSun" w:eastAsia="SimSun" w:hAnsi="SimSun" w:cs="SimSun"/>
          <w:spacing w:val="10"/>
          <w:sz w:val="20"/>
          <w:szCs w:val="20"/>
        </w:rPr>
        <w:t>——至少制备一个本底气体中的待测痕量杂质校准用混合气体，例如使用有证标准</w:t>
      </w:r>
      <w:r>
        <w:rPr>
          <w:rFonts w:ascii="SimSun" w:eastAsia="SimSun" w:hAnsi="SimSun" w:cs="SimSun"/>
          <w:spacing w:val="9"/>
          <w:sz w:val="20"/>
          <w:szCs w:val="20"/>
        </w:rPr>
        <w:t>物质和流量控</w:t>
      </w:r>
    </w:p>
    <w:p>
      <w:pPr>
        <w:pStyle w:val="BodyText"/>
        <w:spacing w:before="66" w:line="228" w:lineRule="auto"/>
        <w:ind w:left="852"/>
        <w:rPr>
          <w:rFonts w:ascii="SimSun" w:eastAsia="SimSun" w:hAnsi="SimSun" w:cs="SimSun"/>
        </w:rPr>
      </w:pPr>
      <w:r>
        <w:rPr>
          <w:rFonts w:ascii="SimSun" w:eastAsia="SimSun" w:hAnsi="SimSun" w:cs="SimSun"/>
          <w:spacing w:val="7"/>
        </w:rPr>
        <w:t>制器进行动态稀释（见</w:t>
      </w:r>
      <w:r>
        <w:rPr>
          <w:rFonts w:ascii="SimSun" w:eastAsia="SimSun" w:hAnsi="SimSun" w:cs="SimSun"/>
          <w:spacing w:val="-36"/>
        </w:rPr>
        <w:t xml:space="preserve"> </w:t>
      </w:r>
      <w:r>
        <w:t>ISO</w:t>
      </w:r>
      <w:r>
        <w:rPr>
          <w:spacing w:val="7"/>
        </w:rPr>
        <w:t xml:space="preserve"> 6145</w:t>
      </w:r>
      <w:r>
        <w:rPr>
          <w:rFonts w:ascii="SimSun" w:eastAsia="SimSun" w:hAnsi="SimSun" w:cs="SimSun"/>
          <w:spacing w:val="7"/>
        </w:rPr>
        <w:t>）。</w:t>
      </w:r>
    </w:p>
    <w:p>
      <w:pPr>
        <w:spacing w:before="65" w:line="228" w:lineRule="auto"/>
        <w:ind w:left="424"/>
        <w:rPr>
          <w:rFonts w:ascii="SimSun" w:eastAsia="SimSun" w:hAnsi="SimSun" w:cs="SimSun"/>
          <w:sz w:val="20"/>
          <w:szCs w:val="20"/>
        </w:rPr>
      </w:pPr>
      <w:r>
        <w:rPr>
          <w:rFonts w:ascii="SimSun" w:eastAsia="SimSun" w:hAnsi="SimSun" w:cs="SimSun"/>
          <w:spacing w:val="9"/>
          <w:sz w:val="20"/>
          <w:szCs w:val="20"/>
        </w:rPr>
        <w:t>——分析通过和未通过纯化器的校准用混合气体。</w:t>
      </w:r>
    </w:p>
    <w:p>
      <w:pPr>
        <w:spacing w:before="66" w:line="257" w:lineRule="auto"/>
        <w:ind w:left="850" w:right="164" w:hanging="426"/>
        <w:rPr>
          <w:rFonts w:ascii="SimSun" w:eastAsia="SimSun" w:hAnsi="SimSun" w:cs="SimSun"/>
          <w:sz w:val="20"/>
          <w:szCs w:val="20"/>
        </w:rPr>
      </w:pPr>
      <w:r>
        <w:rPr>
          <w:rFonts w:ascii="SimSun" w:eastAsia="SimSun" w:hAnsi="SimSun" w:cs="SimSun"/>
          <w:spacing w:val="10"/>
          <w:sz w:val="20"/>
          <w:szCs w:val="20"/>
        </w:rPr>
        <w:t>——验证无论进入纯化器的气体的量分数如何，通过纯化器后的气体均具有相同的零值（</w:t>
      </w:r>
      <w:r>
        <w:rPr>
          <w:rFonts w:ascii="SimSun" w:eastAsia="SimSun" w:hAnsi="SimSun" w:cs="SimSun"/>
          <w:spacing w:val="9"/>
          <w:sz w:val="20"/>
          <w:szCs w:val="20"/>
        </w:rPr>
        <w:t>或零响</w:t>
      </w:r>
      <w:r>
        <w:rPr>
          <w:rFonts w:ascii="SimSun" w:eastAsia="SimSun" w:hAnsi="SimSun" w:cs="SimSun"/>
          <w:sz w:val="20"/>
          <w:szCs w:val="20"/>
        </w:rPr>
        <w:t xml:space="preserve"> </w:t>
      </w:r>
      <w:r>
        <w:rPr>
          <w:rFonts w:ascii="SimSun" w:eastAsia="SimSun" w:hAnsi="SimSun" w:cs="SimSun"/>
          <w:spacing w:val="8"/>
          <w:sz w:val="20"/>
          <w:szCs w:val="20"/>
        </w:rPr>
        <w:t>应</w:t>
      </w:r>
      <w:r>
        <w:rPr>
          <w:rFonts w:ascii="SimSun" w:eastAsia="SimSun" w:hAnsi="SimSun" w:cs="SimSun"/>
          <w:spacing w:val="24"/>
          <w:sz w:val="20"/>
          <w:szCs w:val="20"/>
        </w:rPr>
        <w:t>），</w:t>
      </w:r>
      <w:r>
        <w:rPr>
          <w:rFonts w:ascii="SimSun" w:eastAsia="SimSun" w:hAnsi="SimSun" w:cs="SimSun"/>
          <w:spacing w:val="8"/>
          <w:sz w:val="20"/>
          <w:szCs w:val="20"/>
        </w:rPr>
        <w:t>即假设纯化器能从本底气体样品中除去待测痕量杂质。</w:t>
      </w:r>
    </w:p>
    <w:p>
      <w:pPr>
        <w:spacing w:before="66" w:line="258" w:lineRule="auto"/>
        <w:ind w:left="852" w:right="164" w:hanging="428"/>
        <w:rPr>
          <w:rFonts w:ascii="SimSun" w:eastAsia="SimSun" w:hAnsi="SimSun" w:cs="SimSun"/>
          <w:sz w:val="20"/>
          <w:szCs w:val="20"/>
        </w:rPr>
      </w:pPr>
      <w:r>
        <w:rPr>
          <w:rFonts w:ascii="SimSun" w:eastAsia="SimSun" w:hAnsi="SimSun" w:cs="SimSun"/>
          <w:spacing w:val="10"/>
          <w:sz w:val="20"/>
          <w:szCs w:val="20"/>
        </w:rPr>
        <w:t>——根据本底气体未通过纯化器直接进入分析仪时的响应值，计算本底气体样品中痕量杂</w:t>
      </w:r>
      <w:r>
        <w:rPr>
          <w:rFonts w:ascii="SimSun" w:eastAsia="SimSun" w:hAnsi="SimSun" w:cs="SimSun"/>
          <w:spacing w:val="9"/>
          <w:sz w:val="20"/>
          <w:szCs w:val="20"/>
        </w:rPr>
        <w:t>质的量</w:t>
      </w:r>
      <w:r>
        <w:rPr>
          <w:rFonts w:ascii="SimSun" w:eastAsia="SimSun" w:hAnsi="SimSun" w:cs="SimSun"/>
          <w:sz w:val="20"/>
          <w:szCs w:val="20"/>
        </w:rPr>
        <w:t xml:space="preserve"> </w:t>
      </w:r>
      <w:r>
        <w:rPr>
          <w:rFonts w:ascii="SimSun" w:eastAsia="SimSun" w:hAnsi="SimSun" w:cs="SimSun"/>
          <w:spacing w:val="2"/>
          <w:sz w:val="20"/>
          <w:szCs w:val="20"/>
        </w:rPr>
        <w:t>分数。</w:t>
      </w:r>
    </w:p>
    <w:p>
      <w:pPr>
        <w:pStyle w:val="BodyText"/>
        <w:spacing w:before="80" w:line="270" w:lineRule="auto"/>
        <w:ind w:left="812" w:right="61" w:hanging="447"/>
        <w:rPr>
          <w:rFonts w:ascii="SimSun" w:eastAsia="SimSun" w:hAnsi="SimSun" w:cs="SimSun"/>
          <w:sz w:val="18"/>
          <w:szCs w:val="18"/>
        </w:rPr>
        <w:sectPr>
          <w:footerReference w:type="default" r:id="rId11"/>
          <w:pgSz w:w="11906" w:h="16839"/>
          <w:pgMar w:top="1406" w:right="1073" w:bottom="1312" w:left="1424" w:header="0" w:footer="1134" w:gutter="0"/>
          <w:pgNumType w:start="7"/>
          <w:cols w:space="708"/>
        </w:sectPr>
      </w:pPr>
      <w:r>
        <w:rPr>
          <w:rFonts w:ascii="SimHei" w:eastAsia="SimHei" w:hAnsi="SimHei" w:cs="SimHei"/>
          <w:spacing w:val="-1"/>
          <w:sz w:val="18"/>
          <w:szCs w:val="18"/>
        </w:rPr>
        <w:t>注1：</w:t>
      </w:r>
      <w:r>
        <w:rPr>
          <w:rFonts w:ascii="SimSun" w:eastAsia="SimSun" w:hAnsi="SimSun" w:cs="SimSun"/>
          <w:spacing w:val="-1"/>
          <w:sz w:val="18"/>
          <w:szCs w:val="18"/>
        </w:rPr>
        <w:t>此方法还能用于量分数之外的其他量，例如质量分数、体积分数或质量浓度。附录</w:t>
      </w:r>
      <w:r>
        <w:rPr>
          <w:spacing w:val="-1"/>
          <w:sz w:val="18"/>
          <w:szCs w:val="18"/>
        </w:rPr>
        <w:t>A</w:t>
      </w:r>
      <w:r>
        <w:rPr>
          <w:rFonts w:ascii="SimSun" w:eastAsia="SimSun" w:hAnsi="SimSun" w:cs="SimSun"/>
          <w:spacing w:val="-1"/>
          <w:sz w:val="18"/>
          <w:szCs w:val="18"/>
        </w:rPr>
        <w:t>中给</w:t>
      </w:r>
      <w:r>
        <w:rPr>
          <w:rFonts w:ascii="SimSun" w:eastAsia="SimSun" w:hAnsi="SimSun" w:cs="SimSun"/>
          <w:spacing w:val="-2"/>
          <w:sz w:val="18"/>
          <w:szCs w:val="18"/>
        </w:rPr>
        <w:t>出分别使用有无明确</w:t>
      </w:r>
      <w:r>
        <w:rPr>
          <w:rFonts w:ascii="SimSun" w:eastAsia="SimSun" w:hAnsi="SimSun" w:cs="SimSun"/>
          <w:sz w:val="18"/>
          <w:szCs w:val="18"/>
        </w:rPr>
        <w:t xml:space="preserve"> </w:t>
      </w:r>
      <w:r>
        <w:rPr>
          <w:rFonts w:ascii="SimSun" w:eastAsia="SimSun" w:hAnsi="SimSun" w:cs="SimSun"/>
          <w:spacing w:val="-1"/>
          <w:sz w:val="18"/>
          <w:szCs w:val="18"/>
        </w:rPr>
        <w:t>零点的分析仪进行溯源性纯度分析的示例。</w:t>
      </w:r>
    </w:p>
    <w:p>
      <w:pPr>
        <w:spacing w:before="83" w:line="273" w:lineRule="auto"/>
        <w:ind w:left="1" w:right="61" w:firstLine="423"/>
        <w:jc w:val="both"/>
        <w:rPr>
          <w:rFonts w:ascii="SimSun" w:eastAsia="SimSun" w:hAnsi="SimSun" w:cs="SimSun"/>
          <w:sz w:val="20"/>
          <w:szCs w:val="20"/>
        </w:rPr>
      </w:pPr>
      <w:r>
        <w:rPr>
          <w:rFonts w:ascii="SimSun" w:eastAsia="SimSun" w:hAnsi="SimSun" w:cs="SimSun"/>
          <w:spacing w:val="7"/>
          <w:sz w:val="20"/>
          <w:szCs w:val="20"/>
        </w:rPr>
        <w:t>如果通过其他渠道（如分析报告）获得具有计量溯源性的纯度数据，该数据能直接使用。如果所提</w:t>
      </w:r>
      <w:r>
        <w:rPr>
          <w:rFonts w:ascii="SimSun" w:eastAsia="SimSun" w:hAnsi="SimSun" w:cs="SimSun"/>
          <w:spacing w:val="17"/>
          <w:sz w:val="20"/>
          <w:szCs w:val="20"/>
        </w:rPr>
        <w:t xml:space="preserve"> </w:t>
      </w:r>
      <w:r>
        <w:rPr>
          <w:rFonts w:ascii="SimSun" w:eastAsia="SimSun" w:hAnsi="SimSun" w:cs="SimSun"/>
          <w:spacing w:val="8"/>
          <w:sz w:val="20"/>
          <w:szCs w:val="20"/>
        </w:rPr>
        <w:t>供的证书或报告没有明确阐明该数据的溯源性，那么应对其</w:t>
      </w:r>
      <w:r>
        <w:rPr>
          <w:rFonts w:ascii="SimSun" w:eastAsia="SimSun" w:hAnsi="SimSun" w:cs="SimSun"/>
          <w:spacing w:val="7"/>
          <w:sz w:val="20"/>
          <w:szCs w:val="20"/>
        </w:rPr>
        <w:t>进行评估，这些评估应包括但不限于：是否</w:t>
      </w:r>
      <w:r>
        <w:rPr>
          <w:rFonts w:ascii="SimSun" w:eastAsia="SimSun" w:hAnsi="SimSun" w:cs="SimSun"/>
          <w:sz w:val="20"/>
          <w:szCs w:val="20"/>
        </w:rPr>
        <w:t xml:space="preserve"> </w:t>
      </w:r>
      <w:r>
        <w:rPr>
          <w:rFonts w:ascii="SimSun" w:eastAsia="SimSun" w:hAnsi="SimSun" w:cs="SimSun"/>
          <w:spacing w:val="8"/>
          <w:sz w:val="20"/>
          <w:szCs w:val="20"/>
        </w:rPr>
        <w:t>使用了有证标准物质或者其他的测量标准，是否对测量结果所涉</w:t>
      </w:r>
      <w:r>
        <w:rPr>
          <w:rFonts w:ascii="SimSun" w:eastAsia="SimSun" w:hAnsi="SimSun" w:cs="SimSun"/>
          <w:spacing w:val="7"/>
          <w:sz w:val="20"/>
          <w:szCs w:val="20"/>
        </w:rPr>
        <w:t>及的所有步骤进行了严格的不确定度评</w:t>
      </w:r>
      <w:r>
        <w:rPr>
          <w:rFonts w:ascii="SimSun" w:eastAsia="SimSun" w:hAnsi="SimSun" w:cs="SimSun"/>
          <w:sz w:val="20"/>
          <w:szCs w:val="20"/>
        </w:rPr>
        <w:t xml:space="preserve"> </w:t>
      </w:r>
      <w:r>
        <w:rPr>
          <w:rFonts w:ascii="SimSun" w:eastAsia="SimSun" w:hAnsi="SimSun" w:cs="SimSun"/>
          <w:sz w:val="20"/>
          <w:szCs w:val="20"/>
        </w:rPr>
        <w:t>定。</w:t>
      </w:r>
    </w:p>
    <w:p>
      <w:pPr>
        <w:pStyle w:val="BodyText"/>
        <w:spacing w:before="81" w:line="269" w:lineRule="auto"/>
        <w:ind w:left="813" w:right="61" w:hanging="448"/>
        <w:rPr>
          <w:rFonts w:ascii="SimSun" w:eastAsia="SimSun" w:hAnsi="SimSun" w:cs="SimSun"/>
          <w:sz w:val="18"/>
          <w:szCs w:val="18"/>
        </w:rPr>
      </w:pPr>
      <w:r>
        <w:rPr>
          <w:rFonts w:ascii="SimHei" w:eastAsia="SimHei" w:hAnsi="SimHei" w:cs="SimHei"/>
          <w:spacing w:val="2"/>
          <w:sz w:val="18"/>
          <w:szCs w:val="18"/>
        </w:rPr>
        <w:t>注2：</w:t>
      </w:r>
      <w:r>
        <w:rPr>
          <w:rFonts w:ascii="SimSun" w:eastAsia="SimSun" w:hAnsi="SimSun" w:cs="SimSun"/>
          <w:spacing w:val="2"/>
          <w:sz w:val="18"/>
          <w:szCs w:val="18"/>
        </w:rPr>
        <w:t>气体标准物质具有良好的计量特性，其</w:t>
      </w:r>
      <w:r>
        <w:rPr>
          <w:rFonts w:ascii="SimSun" w:eastAsia="SimSun" w:hAnsi="SimSun" w:cs="SimSun"/>
          <w:spacing w:val="1"/>
          <w:sz w:val="18"/>
          <w:szCs w:val="18"/>
        </w:rPr>
        <w:t>组成数据可通过一条具有规定不确定度的不间断的比较链溯源至国家</w:t>
      </w:r>
      <w:r>
        <w:rPr>
          <w:rFonts w:ascii="SimSun" w:eastAsia="SimSun" w:hAnsi="SimSun" w:cs="SimSun"/>
          <w:sz w:val="18"/>
          <w:szCs w:val="18"/>
        </w:rPr>
        <w:t xml:space="preserve"> </w:t>
      </w:r>
      <w:r>
        <w:rPr>
          <w:rFonts w:ascii="SimSun" w:eastAsia="SimSun" w:hAnsi="SimSun" w:cs="SimSun"/>
          <w:spacing w:val="-1"/>
          <w:sz w:val="18"/>
          <w:szCs w:val="18"/>
        </w:rPr>
        <w:t>或国际测量标准。例如，附带经</w:t>
      </w:r>
      <w:r>
        <w:rPr>
          <w:spacing w:val="-1"/>
          <w:sz w:val="18"/>
          <w:szCs w:val="18"/>
        </w:rPr>
        <w:t>ISO/IEC</w:t>
      </w:r>
      <w:r>
        <w:rPr>
          <w:spacing w:val="19"/>
          <w:w w:val="101"/>
          <w:sz w:val="18"/>
          <w:szCs w:val="18"/>
        </w:rPr>
        <w:t xml:space="preserve"> </w:t>
      </w:r>
      <w:r>
        <w:rPr>
          <w:spacing w:val="-1"/>
          <w:sz w:val="18"/>
          <w:szCs w:val="18"/>
        </w:rPr>
        <w:t>17025</w:t>
      </w:r>
      <w:r>
        <w:rPr>
          <w:rFonts w:ascii="SimSun" w:eastAsia="SimSun" w:hAnsi="SimSun" w:cs="SimSun"/>
          <w:spacing w:val="-1"/>
          <w:sz w:val="18"/>
          <w:szCs w:val="18"/>
        </w:rPr>
        <w:t>和</w:t>
      </w:r>
      <w:r>
        <w:rPr>
          <w:spacing w:val="-1"/>
          <w:sz w:val="18"/>
          <w:szCs w:val="18"/>
        </w:rPr>
        <w:t>/</w:t>
      </w:r>
      <w:r>
        <w:rPr>
          <w:rFonts w:ascii="SimSun" w:eastAsia="SimSun" w:hAnsi="SimSun" w:cs="SimSun"/>
          <w:spacing w:val="-1"/>
          <w:sz w:val="18"/>
          <w:szCs w:val="18"/>
        </w:rPr>
        <w:t>或</w:t>
      </w:r>
      <w:r>
        <w:rPr>
          <w:spacing w:val="-1"/>
          <w:sz w:val="18"/>
          <w:szCs w:val="18"/>
        </w:rPr>
        <w:t>ISO</w:t>
      </w:r>
      <w:r>
        <w:rPr>
          <w:spacing w:val="21"/>
          <w:w w:val="101"/>
          <w:sz w:val="18"/>
          <w:szCs w:val="18"/>
        </w:rPr>
        <w:t xml:space="preserve"> </w:t>
      </w:r>
      <w:r>
        <w:rPr>
          <w:spacing w:val="-1"/>
          <w:sz w:val="18"/>
          <w:szCs w:val="18"/>
        </w:rPr>
        <w:t>17034</w:t>
      </w:r>
      <w:r>
        <w:rPr>
          <w:rFonts w:ascii="SimSun" w:eastAsia="SimSun" w:hAnsi="SimSun" w:cs="SimSun"/>
          <w:spacing w:val="-1"/>
          <w:sz w:val="18"/>
          <w:szCs w:val="18"/>
        </w:rPr>
        <w:t>认可的校准实验室定值的混合气体。</w:t>
      </w:r>
    </w:p>
    <w:p>
      <w:pPr>
        <w:spacing w:line="269" w:lineRule="auto"/>
        <w:rPr>
          <w:rFonts w:ascii="SimSun" w:eastAsia="SimSun" w:hAnsi="SimSun" w:cs="SimSun"/>
          <w:sz w:val="18"/>
          <w:szCs w:val="18"/>
        </w:rPr>
        <w:sectPr>
          <w:footerReference w:type="default" r:id="rId12"/>
          <w:type w:val="nextPage"/>
          <w:pgSz w:w="11906" w:h="16839"/>
          <w:pgMar w:top="1406" w:right="1073" w:bottom="1312" w:left="1424" w:header="0" w:footer="1134" w:gutter="0"/>
          <w:pgNumType w:start="8"/>
          <w:cols w:space="708"/>
          <w:titlePg w:val="0"/>
        </w:sectPr>
      </w:pPr>
    </w:p>
    <w:p>
      <w:pPr>
        <w:spacing w:before="42" w:line="265" w:lineRule="exact"/>
        <w:ind w:left="6098"/>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pStyle w:val="BodyText"/>
        <w:spacing w:before="280" w:line="222" w:lineRule="auto"/>
        <w:ind w:left="364"/>
        <w:rPr>
          <w:rFonts w:ascii="SimSun" w:eastAsia="SimSun" w:hAnsi="SimSun" w:cs="SimSun"/>
          <w:sz w:val="18"/>
          <w:szCs w:val="18"/>
        </w:rPr>
      </w:pPr>
      <w:r>
        <w:rPr>
          <w:rFonts w:ascii="SimHei" w:eastAsia="SimHei" w:hAnsi="SimHei" w:cs="SimHei"/>
          <w:sz w:val="18"/>
          <w:szCs w:val="18"/>
        </w:rPr>
        <w:t>注3：</w:t>
      </w:r>
      <w:r>
        <w:rPr>
          <w:rFonts w:ascii="SimSun" w:eastAsia="SimSun" w:hAnsi="SimSun" w:cs="SimSun"/>
          <w:sz w:val="18"/>
          <w:szCs w:val="18"/>
        </w:rPr>
        <w:t>当无法获得可溯源的气体测量标准时，也能使用纯度经定值的液体有</w:t>
      </w:r>
      <w:r>
        <w:rPr>
          <w:rFonts w:ascii="SimSun" w:eastAsia="SimSun" w:hAnsi="SimSun" w:cs="SimSun"/>
          <w:spacing w:val="-1"/>
          <w:sz w:val="18"/>
          <w:szCs w:val="18"/>
        </w:rPr>
        <w:t>证标准物质</w:t>
      </w:r>
      <w:r>
        <w:rPr>
          <w:spacing w:val="-1"/>
          <w:sz w:val="18"/>
          <w:szCs w:val="18"/>
        </w:rPr>
        <w:t>/</w:t>
      </w:r>
      <w:r>
        <w:rPr>
          <w:rFonts w:ascii="SimSun" w:eastAsia="SimSun" w:hAnsi="SimSun" w:cs="SimSun"/>
          <w:spacing w:val="-1"/>
          <w:sz w:val="18"/>
          <w:szCs w:val="18"/>
        </w:rPr>
        <w:t>标准样品。</w:t>
      </w:r>
    </w:p>
    <w:p>
      <w:pPr>
        <w:pStyle w:val="BodyText"/>
        <w:spacing w:before="95" w:line="270" w:lineRule="auto"/>
        <w:ind w:left="810" w:right="41" w:hanging="446"/>
        <w:rPr>
          <w:rFonts w:ascii="SimSun" w:eastAsia="SimSun" w:hAnsi="SimSun" w:cs="SimSun"/>
          <w:sz w:val="18"/>
          <w:szCs w:val="18"/>
        </w:rPr>
      </w:pPr>
      <w:r>
        <w:rPr>
          <w:rFonts w:ascii="SimHei" w:eastAsia="SimHei" w:hAnsi="SimHei" w:cs="SimHei"/>
          <w:spacing w:val="-2"/>
          <w:sz w:val="18"/>
          <w:szCs w:val="18"/>
        </w:rPr>
        <w:t>注4：</w:t>
      </w:r>
      <w:r>
        <w:rPr>
          <w:rFonts w:ascii="SimSun" w:eastAsia="SimSun" w:hAnsi="SimSun" w:cs="SimSun"/>
          <w:spacing w:val="-2"/>
          <w:sz w:val="18"/>
          <w:szCs w:val="18"/>
        </w:rPr>
        <w:t>当合适的测量标准或有证标准物质</w:t>
      </w:r>
      <w:r>
        <w:rPr>
          <w:spacing w:val="-2"/>
          <w:sz w:val="18"/>
          <w:szCs w:val="18"/>
        </w:rPr>
        <w:t>/</w:t>
      </w:r>
      <w:r>
        <w:rPr>
          <w:rFonts w:ascii="SimSun" w:eastAsia="SimSun" w:hAnsi="SimSun" w:cs="SimSun"/>
          <w:spacing w:val="-2"/>
          <w:sz w:val="18"/>
          <w:szCs w:val="18"/>
        </w:rPr>
        <w:t>标准样品均无法获得时，就可能需要重新设计制备方</w:t>
      </w:r>
      <w:r>
        <w:rPr>
          <w:rFonts w:ascii="SimSun" w:eastAsia="SimSun" w:hAnsi="SimSun" w:cs="SimSun"/>
          <w:spacing w:val="-3"/>
          <w:sz w:val="18"/>
          <w:szCs w:val="18"/>
        </w:rPr>
        <w:t>案，避开溯源性分析，</w:t>
      </w:r>
      <w:r>
        <w:rPr>
          <w:rFonts w:ascii="SimSun" w:eastAsia="SimSun" w:hAnsi="SimSun" w:cs="SimSun"/>
          <w:sz w:val="18"/>
          <w:szCs w:val="18"/>
        </w:rPr>
        <w:t xml:space="preserve"> </w:t>
      </w:r>
      <w:r>
        <w:rPr>
          <w:rFonts w:ascii="SimSun" w:eastAsia="SimSun" w:hAnsi="SimSun" w:cs="SimSun"/>
          <w:spacing w:val="-1"/>
          <w:sz w:val="18"/>
          <w:szCs w:val="18"/>
        </w:rPr>
        <w:t>例如使用纯度更高的原料。</w:t>
      </w:r>
    </w:p>
    <w:p>
      <w:pPr>
        <w:pStyle w:val="BodyText"/>
        <w:spacing w:before="98" w:line="269" w:lineRule="auto"/>
        <w:ind w:left="812" w:right="87" w:hanging="448"/>
        <w:rPr>
          <w:rFonts w:ascii="SimSun" w:eastAsia="SimSun" w:hAnsi="SimSun" w:cs="SimSun"/>
          <w:sz w:val="18"/>
          <w:szCs w:val="18"/>
        </w:rPr>
      </w:pPr>
      <w:r>
        <w:rPr>
          <w:rFonts w:ascii="SimHei" w:eastAsia="SimHei" w:hAnsi="SimHei" w:cs="SimHei"/>
          <w:spacing w:val="1"/>
          <w:sz w:val="18"/>
          <w:szCs w:val="18"/>
        </w:rPr>
        <w:t>注5：</w:t>
      </w:r>
      <w:r>
        <w:rPr>
          <w:rFonts w:ascii="SimSun" w:eastAsia="SimSun" w:hAnsi="SimSun" w:cs="SimSun"/>
          <w:spacing w:val="1"/>
          <w:sz w:val="18"/>
          <w:szCs w:val="18"/>
        </w:rPr>
        <w:t>当具有溯源性的测量标准或有证标准物</w:t>
      </w:r>
      <w:r>
        <w:rPr>
          <w:rFonts w:ascii="SimSun" w:eastAsia="SimSun" w:hAnsi="SimSun" w:cs="SimSun"/>
          <w:sz w:val="18"/>
          <w:szCs w:val="18"/>
        </w:rPr>
        <w:t>质</w:t>
      </w:r>
      <w:r>
        <w:rPr>
          <w:sz w:val="18"/>
          <w:szCs w:val="18"/>
        </w:rPr>
        <w:t>/</w:t>
      </w:r>
      <w:r>
        <w:rPr>
          <w:rFonts w:ascii="SimSun" w:eastAsia="SimSun" w:hAnsi="SimSun" w:cs="SimSun"/>
          <w:sz w:val="18"/>
          <w:szCs w:val="18"/>
        </w:rPr>
        <w:t xml:space="preserve">标准样品均无法获得时，有时能通过使用标准加入法来推算原料的 </w:t>
      </w:r>
      <w:r>
        <w:rPr>
          <w:rFonts w:ascii="SimSun" w:eastAsia="SimSun" w:hAnsi="SimSun" w:cs="SimSun"/>
          <w:spacing w:val="-1"/>
          <w:sz w:val="18"/>
          <w:szCs w:val="18"/>
        </w:rPr>
        <w:t>纯度。制备一系列包含不同浓度“纯</w:t>
      </w:r>
      <w:r>
        <w:rPr>
          <w:rFonts w:ascii="SimSun" w:eastAsia="SimSun" w:hAnsi="SimSun" w:cs="SimSun"/>
          <w:spacing w:val="-57"/>
          <w:sz w:val="18"/>
          <w:szCs w:val="18"/>
        </w:rPr>
        <w:t xml:space="preserve"> </w:t>
      </w:r>
      <w:r>
        <w:rPr>
          <w:rFonts w:ascii="SimSun" w:eastAsia="SimSun" w:hAnsi="SimSun" w:cs="SimSun"/>
          <w:spacing w:val="-1"/>
          <w:sz w:val="18"/>
          <w:szCs w:val="18"/>
        </w:rPr>
        <w:t>”原料的标准物质，将分析曲线延长至坐标轴推算原料的纯度。</w:t>
      </w:r>
    </w:p>
    <w:p>
      <w:pPr>
        <w:spacing w:before="239" w:line="230" w:lineRule="auto"/>
        <w:outlineLvl w:val="1"/>
        <w:rPr>
          <w:rFonts w:ascii="SimHei" w:eastAsia="SimHei" w:hAnsi="SimHei" w:cs="SimHei"/>
          <w:sz w:val="20"/>
          <w:szCs w:val="20"/>
        </w:rPr>
      </w:pPr>
      <w:r>
        <w:rPr>
          <w:rFonts w:ascii="SimHei" w:eastAsia="SimHei" w:hAnsi="SimHei" w:cs="SimHei"/>
          <w:spacing w:val="7"/>
          <w:sz w:val="20"/>
          <w:szCs w:val="20"/>
        </w:rPr>
        <w:t>6.3</w:t>
      </w:r>
      <w:r>
        <w:rPr>
          <w:rFonts w:ascii="SimHei" w:eastAsia="SimHei" w:hAnsi="SimHei" w:cs="SimHei"/>
          <w:spacing w:val="7"/>
          <w:sz w:val="20"/>
          <w:szCs w:val="20"/>
        </w:rPr>
        <w:t xml:space="preserve">  </w:t>
      </w:r>
      <w:r>
        <w:rPr>
          <w:rFonts w:ascii="SimHei" w:eastAsia="SimHei" w:hAnsi="SimHei" w:cs="SimHei"/>
          <w:spacing w:val="7"/>
          <w:sz w:val="20"/>
          <w:szCs w:val="20"/>
        </w:rPr>
        <w:t>参考性纯度分析</w:t>
      </w:r>
    </w:p>
    <w:p>
      <w:pPr>
        <w:spacing w:before="218" w:line="259" w:lineRule="auto"/>
        <w:ind w:left="24" w:right="89" w:firstLine="395"/>
        <w:rPr>
          <w:rFonts w:ascii="SimSun" w:eastAsia="SimSun" w:hAnsi="SimSun" w:cs="SimSun"/>
          <w:sz w:val="20"/>
          <w:szCs w:val="20"/>
        </w:rPr>
      </w:pPr>
      <w:r>
        <w:rPr>
          <w:rFonts w:ascii="SimSun" w:eastAsia="SimSun" w:hAnsi="SimSun" w:cs="SimSun"/>
          <w:spacing w:val="8"/>
          <w:sz w:val="20"/>
          <w:szCs w:val="20"/>
        </w:rPr>
        <w:t>在气体分析领域，参考性纯度分析是指所提供的</w:t>
      </w:r>
      <w:r>
        <w:rPr>
          <w:rFonts w:ascii="SimSun" w:eastAsia="SimSun" w:hAnsi="SimSun" w:cs="SimSun"/>
          <w:spacing w:val="7"/>
          <w:sz w:val="20"/>
          <w:szCs w:val="20"/>
        </w:rPr>
        <w:t>数据未建立计量溯源性的分析。这种情况可能源于</w:t>
      </w:r>
      <w:r>
        <w:rPr>
          <w:rFonts w:ascii="SimSun" w:eastAsia="SimSun" w:hAnsi="SimSun" w:cs="SimSun"/>
          <w:sz w:val="20"/>
          <w:szCs w:val="20"/>
        </w:rPr>
        <w:t xml:space="preserve"> </w:t>
      </w:r>
      <w:r>
        <w:rPr>
          <w:rFonts w:ascii="SimSun" w:eastAsia="SimSun" w:hAnsi="SimSun" w:cs="SimSun"/>
          <w:spacing w:val="1"/>
          <w:sz w:val="20"/>
          <w:szCs w:val="20"/>
        </w:rPr>
        <w:t>以下原因：</w:t>
      </w:r>
    </w:p>
    <w:p>
      <w:pPr>
        <w:spacing w:before="64" w:line="312" w:lineRule="exact"/>
        <w:ind w:left="423"/>
        <w:rPr>
          <w:rFonts w:ascii="SimSun" w:eastAsia="SimSun" w:hAnsi="SimSun" w:cs="SimSun"/>
          <w:sz w:val="20"/>
          <w:szCs w:val="20"/>
        </w:rPr>
      </w:pPr>
      <w:r>
        <w:rPr>
          <w:rFonts w:ascii="SimSun" w:eastAsia="SimSun" w:hAnsi="SimSun" w:cs="SimSun"/>
          <w:spacing w:val="9"/>
          <w:position w:val="7"/>
          <w:sz w:val="20"/>
          <w:szCs w:val="20"/>
        </w:rPr>
        <w:t>——使用了组成未建立计量溯源性的混合气体进行的分析；</w:t>
      </w:r>
    </w:p>
    <w:p>
      <w:pPr>
        <w:spacing w:line="227" w:lineRule="auto"/>
        <w:ind w:left="423"/>
        <w:rPr>
          <w:rFonts w:ascii="SimSun" w:eastAsia="SimSun" w:hAnsi="SimSun" w:cs="SimSun"/>
          <w:sz w:val="20"/>
          <w:szCs w:val="20"/>
        </w:rPr>
      </w:pPr>
      <w:r>
        <w:rPr>
          <w:rFonts w:ascii="SimSun" w:eastAsia="SimSun" w:hAnsi="SimSun" w:cs="SimSun"/>
          <w:spacing w:val="9"/>
          <w:sz w:val="20"/>
          <w:szCs w:val="20"/>
        </w:rPr>
        <w:t>——部分结果的测定使用了理论响应因子；</w:t>
      </w:r>
    </w:p>
    <w:p>
      <w:pPr>
        <w:spacing w:before="66" w:line="312" w:lineRule="exact"/>
        <w:ind w:left="423"/>
        <w:rPr>
          <w:rFonts w:ascii="SimSun" w:eastAsia="SimSun" w:hAnsi="SimSun" w:cs="SimSun"/>
          <w:sz w:val="20"/>
          <w:szCs w:val="20"/>
        </w:rPr>
      </w:pPr>
      <w:r>
        <w:rPr>
          <w:rFonts w:ascii="SimSun" w:eastAsia="SimSun" w:hAnsi="SimSun" w:cs="SimSun"/>
          <w:spacing w:val="9"/>
          <w:position w:val="7"/>
          <w:sz w:val="20"/>
          <w:szCs w:val="20"/>
        </w:rPr>
        <w:t>——使用了未建立计量溯源性的数据库提供的谱线强度；</w:t>
      </w:r>
    </w:p>
    <w:p>
      <w:pPr>
        <w:spacing w:before="1" w:line="226" w:lineRule="auto"/>
        <w:ind w:left="423"/>
        <w:rPr>
          <w:rFonts w:ascii="SimSun" w:eastAsia="SimSun" w:hAnsi="SimSun" w:cs="SimSun"/>
          <w:sz w:val="20"/>
          <w:szCs w:val="20"/>
        </w:rPr>
      </w:pPr>
      <w:r>
        <w:rPr>
          <w:rFonts w:ascii="SimSun" w:eastAsia="SimSun" w:hAnsi="SimSun" w:cs="SimSun"/>
          <w:spacing w:val="7"/>
          <w:sz w:val="20"/>
          <w:szCs w:val="20"/>
        </w:rPr>
        <w:t>——</w:t>
      </w:r>
      <w:r>
        <w:rPr>
          <w:rFonts w:ascii="SimSun" w:eastAsia="SimSun" w:hAnsi="SimSun" w:cs="SimSun"/>
          <w:spacing w:val="-46"/>
          <w:sz w:val="20"/>
          <w:szCs w:val="20"/>
        </w:rPr>
        <w:t xml:space="preserve"> </w:t>
      </w:r>
      <w:r>
        <w:rPr>
          <w:rFonts w:ascii="SimSun" w:eastAsia="SimSun" w:hAnsi="SimSun" w:cs="SimSun"/>
          <w:spacing w:val="7"/>
          <w:sz w:val="20"/>
          <w:szCs w:val="20"/>
        </w:rPr>
        <w:t>由未阐明计量溯源性的分析证书中获得的数据。</w:t>
      </w:r>
    </w:p>
    <w:p>
      <w:pPr>
        <w:spacing w:before="65" w:line="228" w:lineRule="auto"/>
        <w:ind w:left="420"/>
        <w:rPr>
          <w:rFonts w:ascii="SimSun" w:eastAsia="SimSun" w:hAnsi="SimSun" w:cs="SimSun"/>
          <w:sz w:val="20"/>
          <w:szCs w:val="20"/>
        </w:rPr>
      </w:pPr>
      <w:r>
        <w:rPr>
          <w:rFonts w:ascii="SimSun" w:eastAsia="SimSun" w:hAnsi="SimSun" w:cs="SimSun"/>
          <w:spacing w:val="9"/>
          <w:sz w:val="20"/>
          <w:szCs w:val="20"/>
        </w:rPr>
        <w:t>所有未建立计量溯源性的数据均应视为“参考性数据</w:t>
      </w:r>
      <w:r>
        <w:rPr>
          <w:rFonts w:ascii="SimSun" w:eastAsia="SimSun" w:hAnsi="SimSun" w:cs="SimSun"/>
          <w:spacing w:val="-73"/>
          <w:sz w:val="20"/>
          <w:szCs w:val="20"/>
        </w:rPr>
        <w:t xml:space="preserve"> </w:t>
      </w:r>
      <w:r>
        <w:rPr>
          <w:rFonts w:ascii="SimSun" w:eastAsia="SimSun" w:hAnsi="SimSun" w:cs="SimSun"/>
          <w:spacing w:val="9"/>
          <w:sz w:val="20"/>
          <w:szCs w:val="20"/>
        </w:rPr>
        <w:t>”，这些数据能用于</w:t>
      </w:r>
      <w:r>
        <w:rPr>
          <w:rFonts w:ascii="SimSun" w:eastAsia="SimSun" w:hAnsi="SimSun" w:cs="SimSun"/>
          <w:spacing w:val="8"/>
          <w:sz w:val="20"/>
          <w:szCs w:val="20"/>
        </w:rPr>
        <w:t>参考性纯度分析。</w:t>
      </w:r>
    </w:p>
    <w:p>
      <w:pPr>
        <w:spacing w:before="65" w:line="258" w:lineRule="auto"/>
        <w:ind w:right="89" w:firstLine="420"/>
        <w:rPr>
          <w:rFonts w:ascii="SimSun" w:eastAsia="SimSun" w:hAnsi="SimSun" w:cs="SimSun"/>
          <w:sz w:val="20"/>
          <w:szCs w:val="20"/>
        </w:rPr>
      </w:pPr>
      <w:r>
        <w:rPr>
          <w:rFonts w:ascii="SimSun" w:eastAsia="SimSun" w:hAnsi="SimSun" w:cs="SimSun"/>
          <w:spacing w:val="8"/>
          <w:sz w:val="20"/>
          <w:szCs w:val="20"/>
        </w:rPr>
        <w:t>表述参考性纯度分析的结果时，数据中任一可能</w:t>
      </w:r>
      <w:r>
        <w:rPr>
          <w:rFonts w:ascii="SimSun" w:eastAsia="SimSun" w:hAnsi="SimSun" w:cs="SimSun"/>
          <w:spacing w:val="7"/>
          <w:sz w:val="20"/>
          <w:szCs w:val="20"/>
        </w:rPr>
        <w:t>存在的偏倚都应加以处理，要么加入适当的不确定</w:t>
      </w:r>
      <w:r>
        <w:rPr>
          <w:rFonts w:ascii="SimSun" w:eastAsia="SimSun" w:hAnsi="SimSun" w:cs="SimSun"/>
          <w:sz w:val="20"/>
          <w:szCs w:val="20"/>
        </w:rPr>
        <w:t xml:space="preserve"> </w:t>
      </w:r>
      <w:r>
        <w:rPr>
          <w:rFonts w:ascii="SimSun" w:eastAsia="SimSun" w:hAnsi="SimSun" w:cs="SimSun"/>
          <w:spacing w:val="9"/>
          <w:sz w:val="20"/>
          <w:szCs w:val="20"/>
        </w:rPr>
        <w:t>度分量以说明可能存在的偏倚，要么对偏倚进行修正。</w:t>
      </w:r>
    </w:p>
    <w:p>
      <w:pPr>
        <w:spacing w:before="65" w:line="258" w:lineRule="auto"/>
        <w:ind w:left="4" w:right="87" w:firstLine="417"/>
        <w:rPr>
          <w:rFonts w:ascii="SimSun" w:eastAsia="SimSun" w:hAnsi="SimSun" w:cs="SimSun"/>
          <w:sz w:val="20"/>
          <w:szCs w:val="20"/>
        </w:rPr>
      </w:pPr>
      <w:r>
        <w:rPr>
          <w:rFonts w:ascii="SimSun" w:eastAsia="SimSun" w:hAnsi="SimSun" w:cs="SimSun"/>
          <w:spacing w:val="8"/>
          <w:sz w:val="20"/>
          <w:szCs w:val="20"/>
        </w:rPr>
        <w:t>气体生产商经常使用技术指标来量化纯气体的纯度(高纯氮气的例子见表</w:t>
      </w:r>
      <w:r>
        <w:rPr>
          <w:rFonts w:ascii="SimSun" w:eastAsia="SimSun" w:hAnsi="SimSun" w:cs="SimSun"/>
          <w:spacing w:val="-23"/>
          <w:sz w:val="20"/>
          <w:szCs w:val="20"/>
        </w:rPr>
        <w:t xml:space="preserve"> </w:t>
      </w:r>
      <w:r>
        <w:rPr>
          <w:rFonts w:ascii="SimSun" w:eastAsia="SimSun" w:hAnsi="SimSun" w:cs="SimSun"/>
          <w:spacing w:val="8"/>
          <w:sz w:val="20"/>
          <w:szCs w:val="20"/>
        </w:rPr>
        <w:t>1)。这些技</w:t>
      </w:r>
      <w:r>
        <w:rPr>
          <w:rFonts w:ascii="SimSun" w:eastAsia="SimSun" w:hAnsi="SimSun" w:cs="SimSun"/>
          <w:spacing w:val="7"/>
          <w:sz w:val="20"/>
          <w:szCs w:val="20"/>
        </w:rPr>
        <w:t>术指标或许源</w:t>
      </w:r>
      <w:r>
        <w:rPr>
          <w:rFonts w:ascii="SimSun" w:eastAsia="SimSun" w:hAnsi="SimSun" w:cs="SimSun"/>
          <w:sz w:val="20"/>
          <w:szCs w:val="20"/>
        </w:rPr>
        <w:t xml:space="preserve"> </w:t>
      </w:r>
      <w:r>
        <w:rPr>
          <w:rFonts w:ascii="SimSun" w:eastAsia="SimSun" w:hAnsi="SimSun" w:cs="SimSun"/>
          <w:spacing w:val="9"/>
          <w:sz w:val="20"/>
          <w:szCs w:val="20"/>
        </w:rPr>
        <w:t>于用于纯度分析的分析能力，或者源于对生产过程中的监控。</w:t>
      </w:r>
    </w:p>
    <w:p>
      <w:pPr>
        <w:pStyle w:val="BodyText"/>
        <w:spacing w:before="222" w:line="230" w:lineRule="auto"/>
        <w:ind w:left="2711"/>
        <w:rPr>
          <w:rFonts w:ascii="SimHei" w:eastAsia="SimHei" w:hAnsi="SimHei" w:cs="SimHei"/>
        </w:rPr>
      </w:pPr>
      <w:r>
        <w:rPr>
          <w:rFonts w:ascii="SimHei" w:eastAsia="SimHei" w:hAnsi="SimHei" w:cs="SimHei"/>
          <w:spacing w:val="6"/>
        </w:rPr>
        <w:t>表</w:t>
      </w:r>
      <w:r>
        <w:rPr>
          <w:rFonts w:ascii="SimHei" w:eastAsia="SimHei" w:hAnsi="SimHei" w:cs="SimHei"/>
          <w:spacing w:val="-9"/>
        </w:rPr>
        <w:t xml:space="preserve"> </w:t>
      </w:r>
      <w:r>
        <w:rPr>
          <w:spacing w:val="6"/>
        </w:rPr>
        <w:t xml:space="preserve">1    </w:t>
      </w:r>
      <w:r>
        <w:rPr>
          <w:rFonts w:ascii="SimHei" w:eastAsia="SimHei" w:hAnsi="SimHei" w:cs="SimHei"/>
          <w:spacing w:val="6"/>
        </w:rPr>
        <w:t>生产商给出的氮气纯度技术指标实例</w:t>
      </w:r>
    </w:p>
    <w:p>
      <w:pPr>
        <w:spacing w:line="168" w:lineRule="exact"/>
      </w:pPr>
    </w:p>
    <w:tbl>
      <w:tblPr>
        <w:tblStyle w:val="TableNormal0"/>
        <w:tblW w:w="9309" w:type="dxa"/>
        <w:tblInd w:w="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920"/>
        <w:gridCol w:w="4389"/>
      </w:tblGrid>
      <w:tr>
        <w:tblPrEx>
          <w:tblW w:w="9309" w:type="dxa"/>
          <w:tblInd w:w="1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7"/>
        </w:trPr>
        <w:tc>
          <w:tcPr>
            <w:tcW w:w="4920" w:type="dxa"/>
            <w:tcBorders>
              <w:top w:val="single" w:sz="10" w:space="0" w:color="000000"/>
              <w:left w:val="single" w:sz="10" w:space="0" w:color="000000"/>
              <w:bottom w:val="single" w:sz="10" w:space="0" w:color="000000"/>
            </w:tcBorders>
            <w:vAlign w:val="top"/>
          </w:tcPr>
          <w:p>
            <w:pPr>
              <w:spacing w:before="170" w:line="221" w:lineRule="auto"/>
              <w:ind w:left="2275"/>
              <w:rPr>
                <w:rFonts w:ascii="SimHei" w:eastAsia="SimHei" w:hAnsi="SimHei" w:cs="SimHei"/>
                <w:sz w:val="18"/>
                <w:szCs w:val="18"/>
              </w:rPr>
            </w:pPr>
            <w:r>
              <w:rPr>
                <w:rFonts w:ascii="SimHei" w:eastAsia="SimHei" w:hAnsi="SimHei" w:cs="SimHei"/>
                <w:spacing w:val="-5"/>
                <w:sz w:val="18"/>
                <w:szCs w:val="18"/>
              </w:rPr>
              <w:t>杂质</w:t>
            </w:r>
          </w:p>
        </w:tc>
        <w:tc>
          <w:tcPr>
            <w:tcW w:w="4389" w:type="dxa"/>
            <w:tcBorders>
              <w:top w:val="single" w:sz="10" w:space="0" w:color="000000"/>
              <w:bottom w:val="single" w:sz="10" w:space="0" w:color="000000"/>
              <w:right w:val="single" w:sz="10" w:space="0" w:color="000000"/>
            </w:tcBorders>
            <w:vAlign w:val="top"/>
          </w:tcPr>
          <w:p>
            <w:pPr>
              <w:spacing w:before="171" w:line="219" w:lineRule="auto"/>
              <w:ind w:left="1163"/>
              <w:rPr>
                <w:rFonts w:ascii="SimHei" w:eastAsia="SimHei" w:hAnsi="SimHei" w:cs="SimHei"/>
                <w:sz w:val="18"/>
                <w:szCs w:val="18"/>
              </w:rPr>
            </w:pPr>
            <w:r>
              <w:rPr>
                <w:rFonts w:ascii="SimHei" w:eastAsia="SimHei" w:hAnsi="SimHei" w:cs="SimHei"/>
                <w:sz w:val="18"/>
                <w:szCs w:val="18"/>
              </w:rPr>
              <w:t>技术指标(</w:t>
            </w:r>
            <w:r>
              <w:rPr>
                <w:rFonts w:ascii="SimHei" w:eastAsia="SimHei" w:hAnsi="SimHei" w:cs="SimHei"/>
                <w:sz w:val="18"/>
                <w:szCs w:val="18"/>
              </w:rPr>
              <w:t xml:space="preserve"> </w:t>
            </w:r>
            <w:r>
              <w:rPr>
                <w:rFonts w:ascii="SimHei" w:eastAsia="SimHei" w:hAnsi="SimHei" w:cs="SimHei"/>
                <w:sz w:val="18"/>
                <w:szCs w:val="18"/>
              </w:rPr>
              <w:t>μmol·mol</w:t>
            </w:r>
            <w:r>
              <w:rPr>
                <w:rFonts w:ascii="SimHei" w:eastAsia="SimHei" w:hAnsi="SimHei" w:cs="SimHei"/>
                <w:position w:val="9"/>
                <w:sz w:val="8"/>
                <w:szCs w:val="8"/>
              </w:rPr>
              <w:t>-1</w:t>
            </w:r>
            <w:r>
              <w:rPr>
                <w:rFonts w:ascii="SimHei" w:eastAsia="SimHei" w:hAnsi="SimHei" w:cs="SimHei"/>
                <w:sz w:val="18"/>
                <w:szCs w:val="18"/>
              </w:rPr>
              <w:t>）</w:t>
            </w:r>
          </w:p>
        </w:tc>
      </w:tr>
      <w:tr>
        <w:tblPrEx>
          <w:tblW w:w="9309" w:type="dxa"/>
          <w:tblInd w:w="14" w:type="dxa"/>
          <w:tblLayout w:type="fixed"/>
        </w:tblPrEx>
        <w:trPr>
          <w:trHeight w:val="393"/>
        </w:trPr>
        <w:tc>
          <w:tcPr>
            <w:tcW w:w="4920" w:type="dxa"/>
            <w:tcBorders>
              <w:top w:val="single" w:sz="10" w:space="0" w:color="000000"/>
              <w:left w:val="single" w:sz="10" w:space="0" w:color="000000"/>
            </w:tcBorders>
            <w:vAlign w:val="top"/>
          </w:tcPr>
          <w:p>
            <w:pPr>
              <w:pStyle w:val="TableText"/>
              <w:spacing w:before="189" w:line="188" w:lineRule="auto"/>
              <w:ind w:left="2329"/>
            </w:pPr>
            <w:r>
              <w:rPr>
                <w:spacing w:val="-4"/>
              </w:rPr>
              <w:t>CO</w:t>
            </w:r>
          </w:p>
        </w:tc>
        <w:tc>
          <w:tcPr>
            <w:tcW w:w="4389" w:type="dxa"/>
            <w:tcBorders>
              <w:top w:val="single" w:sz="10" w:space="0" w:color="000000"/>
              <w:right w:val="single" w:sz="10" w:space="0" w:color="000000"/>
            </w:tcBorders>
            <w:vAlign w:val="top"/>
          </w:tcPr>
          <w:p>
            <w:pPr>
              <w:pStyle w:val="TableText"/>
              <w:spacing w:before="158" w:line="230" w:lineRule="auto"/>
              <w:ind w:left="2009"/>
            </w:pPr>
            <w:r>
              <w:rPr>
                <w:rFonts w:ascii="SimSun" w:eastAsia="SimSun" w:hAnsi="SimSun" w:cs="SimSun"/>
                <w:spacing w:val="-5"/>
              </w:rPr>
              <w:t>≤</w:t>
            </w:r>
            <w:r>
              <w:rPr>
                <w:spacing w:val="-5"/>
              </w:rPr>
              <w:t>1.0</w:t>
            </w:r>
          </w:p>
        </w:tc>
      </w:tr>
      <w:tr>
        <w:tblPrEx>
          <w:tblW w:w="9309" w:type="dxa"/>
          <w:tblInd w:w="14" w:type="dxa"/>
          <w:tblLayout w:type="fixed"/>
        </w:tblPrEx>
        <w:trPr>
          <w:trHeight w:val="402"/>
        </w:trPr>
        <w:tc>
          <w:tcPr>
            <w:tcW w:w="4920" w:type="dxa"/>
            <w:tcBorders>
              <w:left w:val="single" w:sz="10" w:space="0" w:color="000000"/>
            </w:tcBorders>
            <w:vAlign w:val="top"/>
          </w:tcPr>
          <w:p>
            <w:pPr>
              <w:pStyle w:val="TableText"/>
              <w:spacing w:before="201" w:line="194" w:lineRule="auto"/>
              <w:ind w:left="2300"/>
              <w:rPr>
                <w:sz w:val="11"/>
                <w:szCs w:val="11"/>
              </w:rPr>
            </w:pPr>
            <w:r>
              <w:rPr>
                <w:spacing w:val="-2"/>
              </w:rPr>
              <w:t>CO</w:t>
            </w:r>
            <w:r>
              <w:rPr>
                <w:spacing w:val="-2"/>
                <w:position w:val="-1"/>
                <w:sz w:val="11"/>
                <w:szCs w:val="11"/>
              </w:rPr>
              <w:t>2</w:t>
            </w:r>
          </w:p>
        </w:tc>
        <w:tc>
          <w:tcPr>
            <w:tcW w:w="4389" w:type="dxa"/>
            <w:tcBorders>
              <w:right w:val="single" w:sz="10" w:space="0" w:color="000000"/>
            </w:tcBorders>
            <w:vAlign w:val="top"/>
          </w:tcPr>
          <w:p>
            <w:pPr>
              <w:pStyle w:val="TableText"/>
              <w:spacing w:before="170" w:line="227" w:lineRule="auto"/>
              <w:ind w:left="2009"/>
            </w:pPr>
            <w:r>
              <w:rPr>
                <w:rFonts w:ascii="SimSun" w:eastAsia="SimSun" w:hAnsi="SimSun" w:cs="SimSun"/>
                <w:spacing w:val="-5"/>
              </w:rPr>
              <w:t>≤</w:t>
            </w:r>
            <w:r>
              <w:rPr>
                <w:spacing w:val="-5"/>
              </w:rPr>
              <w:t>1.0</w:t>
            </w:r>
          </w:p>
        </w:tc>
      </w:tr>
      <w:tr>
        <w:tblPrEx>
          <w:tblW w:w="9309" w:type="dxa"/>
          <w:tblInd w:w="14" w:type="dxa"/>
          <w:tblLayout w:type="fixed"/>
        </w:tblPrEx>
        <w:trPr>
          <w:trHeight w:val="402"/>
        </w:trPr>
        <w:tc>
          <w:tcPr>
            <w:tcW w:w="4920" w:type="dxa"/>
            <w:tcBorders>
              <w:left w:val="single" w:sz="10" w:space="0" w:color="000000"/>
            </w:tcBorders>
            <w:vAlign w:val="top"/>
          </w:tcPr>
          <w:p>
            <w:pPr>
              <w:pStyle w:val="TableText"/>
              <w:spacing w:before="204" w:line="204" w:lineRule="auto"/>
              <w:ind w:left="2271"/>
              <w:rPr>
                <w:sz w:val="11"/>
                <w:szCs w:val="11"/>
              </w:rPr>
            </w:pPr>
            <w:r>
              <w:rPr>
                <w:spacing w:val="-1"/>
              </w:rPr>
              <w:t>C</w:t>
            </w:r>
            <w:r>
              <w:rPr>
                <w:spacing w:val="-1"/>
                <w:sz w:val="11"/>
                <w:szCs w:val="11"/>
              </w:rPr>
              <w:t>x</w:t>
            </w:r>
            <w:r>
              <w:rPr>
                <w:spacing w:val="-1"/>
              </w:rPr>
              <w:t>H</w:t>
            </w:r>
            <w:r>
              <w:rPr>
                <w:spacing w:val="-1"/>
                <w:sz w:val="11"/>
                <w:szCs w:val="11"/>
              </w:rPr>
              <w:t>y</w:t>
            </w:r>
          </w:p>
        </w:tc>
        <w:tc>
          <w:tcPr>
            <w:tcW w:w="4389" w:type="dxa"/>
            <w:tcBorders>
              <w:right w:val="single" w:sz="10" w:space="0" w:color="000000"/>
            </w:tcBorders>
            <w:vAlign w:val="top"/>
          </w:tcPr>
          <w:p>
            <w:pPr>
              <w:pStyle w:val="TableText"/>
              <w:spacing w:before="174" w:line="223" w:lineRule="auto"/>
              <w:ind w:left="1985"/>
            </w:pPr>
            <w:r>
              <w:rPr>
                <w:rFonts w:ascii="SimSun" w:eastAsia="SimSun" w:hAnsi="SimSun" w:cs="SimSun"/>
                <w:spacing w:val="-7"/>
              </w:rPr>
              <w:t>≤</w:t>
            </w:r>
            <w:r>
              <w:rPr>
                <w:rFonts w:ascii="SimSun" w:eastAsia="SimSun" w:hAnsi="SimSun" w:cs="SimSun"/>
                <w:spacing w:val="-36"/>
              </w:rPr>
              <w:t xml:space="preserve"> </w:t>
            </w:r>
            <w:r>
              <w:rPr>
                <w:spacing w:val="-7"/>
              </w:rPr>
              <w:t>0.5</w:t>
            </w:r>
          </w:p>
        </w:tc>
      </w:tr>
      <w:tr>
        <w:tblPrEx>
          <w:tblW w:w="9309" w:type="dxa"/>
          <w:tblInd w:w="14" w:type="dxa"/>
          <w:tblLayout w:type="fixed"/>
        </w:tblPrEx>
        <w:trPr>
          <w:trHeight w:val="402"/>
        </w:trPr>
        <w:tc>
          <w:tcPr>
            <w:tcW w:w="4920" w:type="dxa"/>
            <w:tcBorders>
              <w:left w:val="single" w:sz="10" w:space="0" w:color="000000"/>
            </w:tcBorders>
            <w:vAlign w:val="top"/>
          </w:tcPr>
          <w:p>
            <w:pPr>
              <w:pStyle w:val="TableText"/>
              <w:spacing w:before="206" w:line="188" w:lineRule="auto"/>
              <w:ind w:left="2315"/>
            </w:pPr>
            <w:r>
              <w:rPr>
                <w:spacing w:val="1"/>
              </w:rPr>
              <w:t>NO</w:t>
            </w:r>
          </w:p>
        </w:tc>
        <w:tc>
          <w:tcPr>
            <w:tcW w:w="4389" w:type="dxa"/>
            <w:tcBorders>
              <w:right w:val="single" w:sz="10" w:space="0" w:color="000000"/>
            </w:tcBorders>
            <w:vAlign w:val="top"/>
          </w:tcPr>
          <w:p>
            <w:pPr>
              <w:pStyle w:val="TableText"/>
              <w:spacing w:before="177" w:line="220" w:lineRule="auto"/>
              <w:ind w:left="1985"/>
            </w:pPr>
            <w:r>
              <w:rPr>
                <w:rFonts w:ascii="SimSun" w:eastAsia="SimSun" w:hAnsi="SimSun" w:cs="SimSun"/>
                <w:spacing w:val="-7"/>
              </w:rPr>
              <w:t>≤</w:t>
            </w:r>
            <w:r>
              <w:rPr>
                <w:rFonts w:ascii="SimSun" w:eastAsia="SimSun" w:hAnsi="SimSun" w:cs="SimSun"/>
                <w:spacing w:val="-36"/>
              </w:rPr>
              <w:t xml:space="preserve"> </w:t>
            </w:r>
            <w:r>
              <w:rPr>
                <w:spacing w:val="-7"/>
              </w:rPr>
              <w:t>0.</w:t>
            </w:r>
            <w:r>
              <w:rPr>
                <w:spacing w:val="-24"/>
              </w:rPr>
              <w:t xml:space="preserve"> </w:t>
            </w:r>
            <w:r>
              <w:rPr>
                <w:spacing w:val="-7"/>
              </w:rPr>
              <w:t>1</w:t>
            </w:r>
          </w:p>
        </w:tc>
      </w:tr>
      <w:tr>
        <w:tblPrEx>
          <w:tblW w:w="9309" w:type="dxa"/>
          <w:tblInd w:w="14" w:type="dxa"/>
          <w:tblLayout w:type="fixed"/>
        </w:tblPrEx>
        <w:trPr>
          <w:trHeight w:val="402"/>
        </w:trPr>
        <w:tc>
          <w:tcPr>
            <w:tcW w:w="4920" w:type="dxa"/>
            <w:tcBorders>
              <w:left w:val="single" w:sz="10" w:space="0" w:color="000000"/>
            </w:tcBorders>
            <w:vAlign w:val="top"/>
          </w:tcPr>
          <w:p>
            <w:pPr>
              <w:pStyle w:val="TableText"/>
              <w:spacing w:before="209" w:line="194" w:lineRule="auto"/>
              <w:ind w:left="2286"/>
              <w:rPr>
                <w:sz w:val="11"/>
                <w:szCs w:val="11"/>
              </w:rPr>
            </w:pPr>
            <w:r>
              <w:t>NO</w:t>
            </w:r>
            <w:r>
              <w:rPr>
                <w:spacing w:val="3"/>
                <w:position w:val="-1"/>
                <w:sz w:val="11"/>
                <w:szCs w:val="11"/>
              </w:rPr>
              <w:t>2</w:t>
            </w:r>
          </w:p>
        </w:tc>
        <w:tc>
          <w:tcPr>
            <w:tcW w:w="4389" w:type="dxa"/>
            <w:tcBorders>
              <w:right w:val="single" w:sz="10" w:space="0" w:color="000000"/>
            </w:tcBorders>
            <w:vAlign w:val="top"/>
          </w:tcPr>
          <w:p>
            <w:pPr>
              <w:pStyle w:val="TableText"/>
              <w:spacing w:before="181" w:line="216" w:lineRule="auto"/>
              <w:ind w:left="2009"/>
            </w:pPr>
            <w:r>
              <w:rPr>
                <w:rFonts w:ascii="SimSun" w:eastAsia="SimSun" w:hAnsi="SimSun" w:cs="SimSun"/>
                <w:spacing w:val="-5"/>
              </w:rPr>
              <w:t>≤</w:t>
            </w:r>
            <w:r>
              <w:rPr>
                <w:spacing w:val="-5"/>
              </w:rPr>
              <w:t>0.</w:t>
            </w:r>
            <w:r>
              <w:rPr>
                <w:spacing w:val="-23"/>
              </w:rPr>
              <w:t xml:space="preserve"> </w:t>
            </w:r>
            <w:r>
              <w:rPr>
                <w:spacing w:val="-5"/>
              </w:rPr>
              <w:t>1</w:t>
            </w:r>
          </w:p>
        </w:tc>
      </w:tr>
      <w:tr>
        <w:tblPrEx>
          <w:tblW w:w="9309" w:type="dxa"/>
          <w:tblInd w:w="14" w:type="dxa"/>
          <w:tblLayout w:type="fixed"/>
        </w:tblPrEx>
        <w:trPr>
          <w:trHeight w:val="402"/>
        </w:trPr>
        <w:tc>
          <w:tcPr>
            <w:tcW w:w="4920" w:type="dxa"/>
            <w:tcBorders>
              <w:left w:val="single" w:sz="10" w:space="0" w:color="000000"/>
            </w:tcBorders>
            <w:vAlign w:val="top"/>
          </w:tcPr>
          <w:p>
            <w:pPr>
              <w:pStyle w:val="TableText"/>
              <w:spacing w:before="212" w:line="194" w:lineRule="auto"/>
              <w:ind w:left="2314"/>
              <w:rPr>
                <w:sz w:val="11"/>
                <w:szCs w:val="11"/>
              </w:rPr>
            </w:pPr>
            <w:r>
              <w:rPr>
                <w:spacing w:val="-3"/>
              </w:rPr>
              <w:t>SO</w:t>
            </w:r>
            <w:r>
              <w:rPr>
                <w:spacing w:val="-3"/>
                <w:position w:val="-1"/>
                <w:sz w:val="11"/>
                <w:szCs w:val="11"/>
              </w:rPr>
              <w:t>2</w:t>
            </w:r>
          </w:p>
        </w:tc>
        <w:tc>
          <w:tcPr>
            <w:tcW w:w="4389" w:type="dxa"/>
            <w:tcBorders>
              <w:right w:val="single" w:sz="10" w:space="0" w:color="000000"/>
            </w:tcBorders>
            <w:vAlign w:val="top"/>
          </w:tcPr>
          <w:p>
            <w:pPr>
              <w:pStyle w:val="TableText"/>
              <w:spacing w:before="182" w:line="215" w:lineRule="auto"/>
              <w:ind w:left="2009"/>
            </w:pPr>
            <w:r>
              <w:rPr>
                <w:rFonts w:ascii="SimSun" w:eastAsia="SimSun" w:hAnsi="SimSun" w:cs="SimSun"/>
                <w:spacing w:val="-5"/>
              </w:rPr>
              <w:t>≤</w:t>
            </w:r>
            <w:r>
              <w:rPr>
                <w:spacing w:val="-5"/>
              </w:rPr>
              <w:t>0.</w:t>
            </w:r>
            <w:r>
              <w:rPr>
                <w:spacing w:val="-23"/>
              </w:rPr>
              <w:t xml:space="preserve"> </w:t>
            </w:r>
            <w:r>
              <w:rPr>
                <w:spacing w:val="-5"/>
              </w:rPr>
              <w:t>1</w:t>
            </w:r>
          </w:p>
        </w:tc>
      </w:tr>
      <w:tr>
        <w:tblPrEx>
          <w:tblW w:w="9309" w:type="dxa"/>
          <w:tblInd w:w="14" w:type="dxa"/>
          <w:tblLayout w:type="fixed"/>
        </w:tblPrEx>
        <w:trPr>
          <w:trHeight w:val="402"/>
        </w:trPr>
        <w:tc>
          <w:tcPr>
            <w:tcW w:w="4920" w:type="dxa"/>
            <w:tcBorders>
              <w:left w:val="single" w:sz="10" w:space="0" w:color="000000"/>
            </w:tcBorders>
            <w:vAlign w:val="top"/>
          </w:tcPr>
          <w:p>
            <w:pPr>
              <w:pStyle w:val="TableText"/>
              <w:spacing w:before="216" w:line="189" w:lineRule="auto"/>
              <w:ind w:left="2355"/>
            </w:pPr>
            <w:r>
              <w:rPr>
                <w:spacing w:val="-1"/>
              </w:rPr>
              <w:t>Ar</w:t>
            </w:r>
          </w:p>
        </w:tc>
        <w:tc>
          <w:tcPr>
            <w:tcW w:w="4389" w:type="dxa"/>
            <w:tcBorders>
              <w:right w:val="single" w:sz="10" w:space="0" w:color="000000"/>
            </w:tcBorders>
            <w:vAlign w:val="top"/>
          </w:tcPr>
          <w:p>
            <w:pPr>
              <w:pStyle w:val="TableText"/>
              <w:spacing w:before="185" w:line="212" w:lineRule="auto"/>
              <w:ind w:left="2030"/>
            </w:pPr>
            <w:r>
              <w:rPr>
                <w:rFonts w:ascii="SimSun" w:eastAsia="SimSun" w:hAnsi="SimSun" w:cs="SimSun"/>
                <w:spacing w:val="-7"/>
              </w:rPr>
              <w:t>≤</w:t>
            </w:r>
            <w:r>
              <w:rPr>
                <w:spacing w:val="-7"/>
              </w:rPr>
              <w:t>50</w:t>
            </w:r>
          </w:p>
        </w:tc>
      </w:tr>
      <w:tr>
        <w:tblPrEx>
          <w:tblW w:w="9309" w:type="dxa"/>
          <w:tblInd w:w="14" w:type="dxa"/>
          <w:tblLayout w:type="fixed"/>
        </w:tblPrEx>
        <w:trPr>
          <w:trHeight w:val="426"/>
        </w:trPr>
        <w:tc>
          <w:tcPr>
            <w:tcW w:w="4920" w:type="dxa"/>
            <w:tcBorders>
              <w:left w:val="single" w:sz="10" w:space="0" w:color="000000"/>
              <w:bottom w:val="single" w:sz="10" w:space="0" w:color="000000"/>
            </w:tcBorders>
            <w:vAlign w:val="top"/>
          </w:tcPr>
          <w:p>
            <w:pPr>
              <w:pStyle w:val="TableText"/>
              <w:spacing w:before="219" w:line="194" w:lineRule="auto"/>
              <w:ind w:left="2292"/>
            </w:pPr>
            <w:r>
              <w:rPr>
                <w:spacing w:val="-1"/>
              </w:rPr>
              <w:t>H</w:t>
            </w:r>
            <w:r>
              <w:rPr>
                <w:spacing w:val="-1"/>
                <w:position w:val="-1"/>
                <w:sz w:val="11"/>
                <w:szCs w:val="11"/>
              </w:rPr>
              <w:t>2</w:t>
            </w:r>
            <w:r>
              <w:rPr>
                <w:spacing w:val="-1"/>
              </w:rPr>
              <w:t>O</w:t>
            </w:r>
          </w:p>
        </w:tc>
        <w:tc>
          <w:tcPr>
            <w:tcW w:w="4389" w:type="dxa"/>
            <w:tcBorders>
              <w:bottom w:val="single" w:sz="10" w:space="0" w:color="000000"/>
              <w:right w:val="single" w:sz="10" w:space="0" w:color="000000"/>
            </w:tcBorders>
            <w:vAlign w:val="top"/>
          </w:tcPr>
          <w:p>
            <w:pPr>
              <w:pStyle w:val="TableText"/>
              <w:spacing w:before="188" w:line="233" w:lineRule="auto"/>
              <w:ind w:left="2009"/>
            </w:pPr>
            <w:r>
              <w:rPr>
                <w:rFonts w:ascii="SimSun" w:eastAsia="SimSun" w:hAnsi="SimSun" w:cs="SimSun"/>
                <w:spacing w:val="-5"/>
              </w:rPr>
              <w:t>≤</w:t>
            </w:r>
            <w:r>
              <w:rPr>
                <w:spacing w:val="-5"/>
              </w:rPr>
              <w:t>1.0</w:t>
            </w:r>
          </w:p>
        </w:tc>
      </w:tr>
    </w:tbl>
    <w:p>
      <w:pPr>
        <w:spacing w:line="385" w:lineRule="auto"/>
        <w:rPr>
          <w:rFonts w:ascii="Arial"/>
          <w:sz w:val="21"/>
        </w:rPr>
        <w:sectPr>
          <w:footerReference w:type="default" r:id="rId13"/>
          <w:pgSz w:w="11906" w:h="16839"/>
          <w:pgMar w:top="1406" w:right="1047" w:bottom="1312" w:left="1425" w:header="0" w:footer="1134" w:gutter="0"/>
          <w:pgNumType w:start="9"/>
          <w:cols w:space="708"/>
        </w:sectPr>
      </w:pPr>
    </w:p>
    <w:p>
      <w:pPr>
        <w:spacing w:before="65" w:line="257" w:lineRule="auto"/>
        <w:ind w:left="17" w:right="89" w:firstLine="511"/>
        <w:rPr>
          <w:rFonts w:ascii="SimSun" w:eastAsia="SimSun" w:hAnsi="SimSun" w:cs="SimSun"/>
          <w:sz w:val="20"/>
          <w:szCs w:val="20"/>
        </w:rPr>
      </w:pPr>
      <w:r>
        <w:rPr>
          <w:rFonts w:ascii="SimSun" w:eastAsia="SimSun" w:hAnsi="SimSun" w:cs="SimSun"/>
          <w:spacing w:val="10"/>
          <w:sz w:val="20"/>
          <w:szCs w:val="20"/>
        </w:rPr>
        <w:t>如果纯原料气中预计存在的某杂质含量，低于用于纯度分析的分析方法的检出</w:t>
      </w:r>
      <w:r>
        <w:rPr>
          <w:rFonts w:ascii="SimSun" w:eastAsia="SimSun" w:hAnsi="SimSun" w:cs="SimSun"/>
          <w:spacing w:val="9"/>
          <w:sz w:val="20"/>
          <w:szCs w:val="20"/>
        </w:rPr>
        <w:t>限，则生产商给出</w:t>
      </w:r>
      <w:r>
        <w:rPr>
          <w:rFonts w:ascii="SimSun" w:eastAsia="SimSun" w:hAnsi="SimSun" w:cs="SimSun"/>
          <w:sz w:val="20"/>
          <w:szCs w:val="20"/>
        </w:rPr>
        <w:t xml:space="preserve"> </w:t>
      </w:r>
      <w:r>
        <w:rPr>
          <w:rFonts w:ascii="SimSun" w:eastAsia="SimSun" w:hAnsi="SimSun" w:cs="SimSun"/>
          <w:spacing w:val="7"/>
          <w:sz w:val="20"/>
          <w:szCs w:val="20"/>
        </w:rPr>
        <w:t>的指标中通常会引用检出限数据。</w:t>
      </w:r>
    </w:p>
    <w:p>
      <w:pPr>
        <w:pStyle w:val="BodyText"/>
        <w:spacing w:before="66" w:line="258" w:lineRule="auto"/>
        <w:ind w:firstLine="419"/>
        <w:rPr>
          <w:rFonts w:ascii="SimSun" w:eastAsia="SimSun" w:hAnsi="SimSun" w:cs="SimSun"/>
        </w:rPr>
      </w:pPr>
      <w:r>
        <w:rPr>
          <w:rFonts w:ascii="SimSun" w:eastAsia="SimSun" w:hAnsi="SimSun" w:cs="SimSun"/>
          <w:spacing w:val="4"/>
        </w:rPr>
        <w:t>在这种情况下，该预计存在的杂质的物质的量分数</w:t>
      </w:r>
      <w:r>
        <w:rPr>
          <w:i/>
          <w:iCs/>
        </w:rPr>
        <w:t>x</w:t>
      </w:r>
      <w:r>
        <w:rPr>
          <w:position w:val="-1"/>
          <w:sz w:val="13"/>
          <w:szCs w:val="13"/>
        </w:rPr>
        <w:t>ij</w:t>
      </w:r>
      <w:r>
        <w:rPr>
          <w:rFonts w:ascii="SimSun" w:eastAsia="SimSun" w:hAnsi="SimSun" w:cs="SimSun"/>
          <w:spacing w:val="4"/>
        </w:rPr>
        <w:t>应设置为分析方法检出限</w:t>
      </w:r>
      <w:r>
        <w:rPr>
          <w:i/>
          <w:iCs/>
        </w:rPr>
        <w:t>L</w:t>
      </w:r>
      <w:r>
        <w:rPr>
          <w:position w:val="-1"/>
          <w:sz w:val="13"/>
          <w:szCs w:val="13"/>
        </w:rPr>
        <w:t>ij</w:t>
      </w:r>
      <w:r>
        <w:rPr>
          <w:rFonts w:ascii="SimSun" w:eastAsia="SimSun" w:hAnsi="SimSun" w:cs="SimSun"/>
          <w:spacing w:val="4"/>
        </w:rPr>
        <w:t>的一半，如</w:t>
      </w:r>
      <w:r>
        <w:rPr>
          <w:rFonts w:ascii="SimSun" w:eastAsia="SimSun" w:hAnsi="SimSun" w:cs="SimSun"/>
          <w:spacing w:val="3"/>
        </w:rPr>
        <w:t>公式（</w:t>
      </w:r>
      <w:r>
        <w:rPr>
          <w:spacing w:val="3"/>
        </w:rPr>
        <w:t>1</w:t>
      </w:r>
      <w:r>
        <w:rPr>
          <w:rFonts w:ascii="SimSun" w:eastAsia="SimSun" w:hAnsi="SimSun" w:cs="SimSun"/>
          <w:spacing w:val="3"/>
        </w:rPr>
        <w:t>）</w:t>
      </w:r>
      <w:r>
        <w:rPr>
          <w:rFonts w:ascii="SimSun" w:eastAsia="SimSun" w:hAnsi="SimSun" w:cs="SimSun"/>
        </w:rPr>
        <w:t xml:space="preserve"> </w:t>
      </w:r>
      <w:r>
        <w:rPr>
          <w:rFonts w:ascii="SimSun" w:eastAsia="SimSun" w:hAnsi="SimSun" w:cs="SimSun"/>
          <w:spacing w:val="3"/>
        </w:rPr>
        <w:t>所示。</w:t>
      </w:r>
    </w:p>
    <w:p>
      <w:pPr>
        <w:pStyle w:val="BodyText"/>
        <w:spacing w:before="98"/>
        <w:ind w:left="4241"/>
      </w:pPr>
      <w:r>
        <w:rPr>
          <w:i/>
          <w:iCs/>
          <w:spacing w:val="-10"/>
        </w:rPr>
        <w:t>x</w:t>
      </w:r>
      <w:r>
        <w:rPr>
          <w:i/>
          <w:iCs/>
          <w:spacing w:val="-10"/>
          <w:position w:val="-5"/>
          <w:sz w:val="11"/>
          <w:szCs w:val="11"/>
        </w:rPr>
        <w:t>i</w:t>
      </w:r>
      <w:r>
        <w:rPr>
          <w:spacing w:val="-10"/>
          <w:position w:val="-5"/>
          <w:sz w:val="11"/>
          <w:szCs w:val="11"/>
        </w:rPr>
        <w:t>j</w:t>
      </w:r>
      <w:r>
        <w:rPr>
          <w:spacing w:val="9"/>
          <w:w w:val="102"/>
          <w:position w:val="-5"/>
          <w:sz w:val="11"/>
          <w:szCs w:val="11"/>
        </w:rPr>
        <w:t xml:space="preserve">  </w:t>
      </w:r>
      <w:r>
        <w:rPr>
          <w:rFonts w:ascii="Symbol" w:eastAsia="Symbol" w:hAnsi="Symbol" w:cs="Symbol"/>
          <w:spacing w:val="-10"/>
        </w:rPr>
        <w:t xml:space="preserve">= </w:t>
      </w:r>
      <w:r>
        <w:rPr>
          <w:position w:val="-16"/>
        </w:rPr>
        <w:drawing>
          <wp:inline distT="0" distB="0" distL="0" distR="0">
            <wp:extent cx="146418" cy="293453"/>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4"/>
                    <a:stretch>
                      <a:fillRect/>
                    </a:stretch>
                  </pic:blipFill>
                  <pic:spPr>
                    <a:xfrm>
                      <a:off x="0" y="0"/>
                      <a:ext cx="146418" cy="293453"/>
                    </a:xfrm>
                    <a:prstGeom prst="rect">
                      <a:avLst/>
                    </a:prstGeom>
                  </pic:spPr>
                </pic:pic>
              </a:graphicData>
            </a:graphic>
          </wp:inline>
        </w:drawing>
      </w:r>
      <w:r>
        <w:rPr>
          <w:rFonts w:ascii="Symbol" w:eastAsia="Symbol" w:hAnsi="Symbol" w:cs="Symbol"/>
          <w:spacing w:val="23"/>
        </w:rPr>
        <w:t xml:space="preserve"> </w:t>
      </w:r>
      <w:r>
        <w:rPr>
          <w:spacing w:val="-10"/>
        </w:rPr>
        <w:t>…</w:t>
      </w:r>
      <w:r>
        <w:rPr>
          <w:spacing w:val="-27"/>
        </w:rPr>
        <w:t xml:space="preserve"> </w:t>
      </w:r>
      <w:r>
        <w:rPr>
          <w:spacing w:val="-10"/>
        </w:rPr>
        <w:t>…</w:t>
      </w:r>
      <w:r>
        <w:rPr>
          <w:spacing w:val="-27"/>
        </w:rPr>
        <w:t xml:space="preserve"> </w:t>
      </w:r>
      <w:r>
        <w:rPr>
          <w:spacing w:val="-10"/>
        </w:rPr>
        <w:t>…</w:t>
      </w:r>
      <w:r>
        <w:rPr>
          <w:spacing w:val="-24"/>
        </w:rPr>
        <w:t xml:space="preserve"> </w:t>
      </w:r>
      <w:r>
        <w:rPr>
          <w:spacing w:val="-10"/>
        </w:rPr>
        <w:t>…</w:t>
      </w:r>
      <w:r>
        <w:rPr>
          <w:spacing w:val="-27"/>
        </w:rPr>
        <w:t xml:space="preserve"> </w:t>
      </w:r>
      <w:r>
        <w:rPr>
          <w:spacing w:val="-10"/>
        </w:rPr>
        <w:t>…</w:t>
      </w:r>
      <w:r>
        <w:rPr>
          <w:spacing w:val="-24"/>
        </w:rPr>
        <w:t xml:space="preserve"> </w:t>
      </w:r>
      <w:r>
        <w:rPr>
          <w:spacing w:val="-10"/>
        </w:rPr>
        <w:t>…</w:t>
      </w:r>
      <w:r>
        <w:rPr>
          <w:spacing w:val="-27"/>
        </w:rPr>
        <w:t xml:space="preserve"> </w:t>
      </w:r>
      <w:r>
        <w:rPr>
          <w:spacing w:val="-10"/>
        </w:rPr>
        <w:t>…</w:t>
      </w:r>
      <w:r>
        <w:rPr>
          <w:spacing w:val="-25"/>
        </w:rPr>
        <w:t xml:space="preserve"> </w:t>
      </w:r>
      <w:r>
        <w:rPr>
          <w:spacing w:val="-10"/>
        </w:rPr>
        <w:t>…</w:t>
      </w:r>
      <w:r>
        <w:rPr>
          <w:spacing w:val="-26"/>
        </w:rPr>
        <w:t xml:space="preserve"> </w:t>
      </w:r>
      <w:r>
        <w:rPr>
          <w:spacing w:val="-10"/>
        </w:rPr>
        <w:t>…</w:t>
      </w:r>
      <w:r>
        <w:rPr>
          <w:spacing w:val="-25"/>
        </w:rPr>
        <w:t xml:space="preserve"> </w:t>
      </w:r>
      <w:r>
        <w:rPr>
          <w:spacing w:val="-10"/>
        </w:rPr>
        <w:t>…</w:t>
      </w:r>
      <w:r>
        <w:rPr>
          <w:spacing w:val="-27"/>
        </w:rPr>
        <w:t xml:space="preserve"> </w:t>
      </w:r>
      <w:r>
        <w:rPr>
          <w:spacing w:val="-10"/>
        </w:rPr>
        <w:t>…</w:t>
      </w:r>
      <w:r>
        <w:rPr>
          <w:spacing w:val="-24"/>
        </w:rPr>
        <w:t xml:space="preserve"> </w:t>
      </w:r>
      <w:r>
        <w:rPr>
          <w:spacing w:val="-10"/>
        </w:rPr>
        <w:t>…</w:t>
      </w:r>
      <w:r>
        <w:rPr>
          <w:spacing w:val="-27"/>
        </w:rPr>
        <w:t xml:space="preserve"> </w:t>
      </w:r>
      <w:r>
        <w:rPr>
          <w:spacing w:val="-10"/>
        </w:rPr>
        <w:t>…</w:t>
      </w:r>
      <w:r>
        <w:rPr>
          <w:spacing w:val="-24"/>
        </w:rPr>
        <w:t xml:space="preserve"> </w:t>
      </w:r>
      <w:r>
        <w:rPr>
          <w:spacing w:val="-10"/>
        </w:rPr>
        <w:t>…</w:t>
      </w:r>
      <w:r>
        <w:rPr>
          <w:spacing w:val="-27"/>
        </w:rPr>
        <w:t xml:space="preserve"> </w:t>
      </w:r>
      <w:r>
        <w:rPr>
          <w:spacing w:val="-10"/>
        </w:rPr>
        <w:t>…</w:t>
      </w:r>
      <w:r>
        <w:rPr>
          <w:spacing w:val="-24"/>
        </w:rPr>
        <w:t xml:space="preserve"> </w:t>
      </w:r>
      <w:r>
        <w:rPr>
          <w:spacing w:val="-10"/>
        </w:rPr>
        <w:t>…</w:t>
      </w:r>
      <w:r>
        <w:rPr>
          <w:spacing w:val="-27"/>
        </w:rPr>
        <w:t xml:space="preserve"> </w:t>
      </w:r>
      <w:r>
        <w:rPr>
          <w:spacing w:val="-10"/>
        </w:rPr>
        <w:t>…</w:t>
      </w:r>
      <w:r>
        <w:rPr>
          <w:spacing w:val="-25"/>
        </w:rPr>
        <w:t xml:space="preserve"> </w:t>
      </w:r>
      <w:r>
        <w:rPr>
          <w:spacing w:val="-10"/>
        </w:rPr>
        <w:t>…</w:t>
      </w:r>
      <w:r>
        <w:rPr>
          <w:spacing w:val="-26"/>
        </w:rPr>
        <w:t xml:space="preserve"> </w:t>
      </w:r>
      <w:r>
        <w:rPr>
          <w:spacing w:val="-10"/>
        </w:rPr>
        <w:t>…</w:t>
      </w:r>
      <w:r>
        <w:rPr>
          <w:spacing w:val="-25"/>
        </w:rPr>
        <w:t xml:space="preserve"> </w:t>
      </w:r>
      <w:r>
        <w:rPr>
          <w:spacing w:val="-10"/>
        </w:rPr>
        <w:t>…(1)</w:t>
      </w:r>
    </w:p>
    <w:p>
      <w:pPr>
        <w:pStyle w:val="BodyText"/>
        <w:spacing w:before="129" w:line="268" w:lineRule="auto"/>
        <w:ind w:right="87" w:firstLine="404"/>
        <w:jc w:val="both"/>
        <w:rPr>
          <w:rFonts w:ascii="SimSun" w:eastAsia="SimSun" w:hAnsi="SimSun" w:cs="SimSun"/>
        </w:rPr>
      </w:pPr>
      <w:r>
        <w:rPr>
          <w:i/>
          <w:iCs/>
        </w:rPr>
        <w:t>x</w:t>
      </w:r>
      <w:r>
        <w:rPr>
          <w:position w:val="-1"/>
          <w:sz w:val="13"/>
          <w:szCs w:val="13"/>
        </w:rPr>
        <w:t>ij</w:t>
      </w:r>
      <w:r>
        <w:rPr>
          <w:rFonts w:ascii="SimSun" w:eastAsia="SimSun" w:hAnsi="SimSun" w:cs="SimSun"/>
          <w:spacing w:val="8"/>
        </w:rPr>
        <w:t>的不确定度使用矩形分布进行评估，</w:t>
      </w:r>
      <w:r>
        <w:rPr>
          <w:i/>
          <w:iCs/>
        </w:rPr>
        <w:t>L</w:t>
      </w:r>
      <w:r>
        <w:rPr>
          <w:position w:val="-1"/>
          <w:sz w:val="13"/>
          <w:szCs w:val="13"/>
        </w:rPr>
        <w:t>ij</w:t>
      </w:r>
      <w:r>
        <w:rPr>
          <w:rFonts w:ascii="SimSun" w:eastAsia="SimSun" w:hAnsi="SimSun" w:cs="SimSun"/>
          <w:spacing w:val="8"/>
        </w:rPr>
        <w:t>为矩形的上限，</w:t>
      </w:r>
      <w:r>
        <w:rPr>
          <w:spacing w:val="8"/>
        </w:rPr>
        <w:t>0</w:t>
      </w:r>
      <w:r>
        <w:rPr>
          <w:rFonts w:ascii="SimSun" w:eastAsia="SimSun" w:hAnsi="SimSun" w:cs="SimSun"/>
          <w:spacing w:val="8"/>
        </w:rPr>
        <w:t>为下限。杂质的物质的量分数</w:t>
      </w:r>
      <w:r>
        <w:rPr>
          <w:i/>
          <w:iCs/>
        </w:rPr>
        <w:t>x</w:t>
      </w:r>
      <w:r>
        <w:rPr>
          <w:position w:val="-1"/>
          <w:sz w:val="13"/>
          <w:szCs w:val="13"/>
        </w:rPr>
        <w:t>ij</w:t>
      </w:r>
      <w:r>
        <w:rPr>
          <w:rFonts w:ascii="SimSun" w:eastAsia="SimSun" w:hAnsi="SimSun" w:cs="SimSun"/>
          <w:spacing w:val="8"/>
        </w:rPr>
        <w:t>的标准不</w:t>
      </w:r>
      <w:r>
        <w:rPr>
          <w:rFonts w:ascii="SimSun" w:eastAsia="SimSun" w:hAnsi="SimSun" w:cs="SimSun"/>
          <w:spacing w:val="3"/>
        </w:rPr>
        <w:t xml:space="preserve"> </w:t>
      </w:r>
      <w:r>
        <w:rPr>
          <w:rFonts w:ascii="SimSun" w:eastAsia="SimSun" w:hAnsi="SimSun" w:cs="SimSun"/>
          <w:spacing w:val="10"/>
        </w:rPr>
        <w:t>确定度用公式（</w:t>
      </w:r>
      <w:r>
        <w:rPr>
          <w:spacing w:val="10"/>
        </w:rPr>
        <w:t>2</w:t>
      </w:r>
      <w:r>
        <w:rPr>
          <w:rFonts w:ascii="SimSun" w:eastAsia="SimSun" w:hAnsi="SimSun" w:cs="SimSun"/>
          <w:spacing w:val="10"/>
        </w:rPr>
        <w:t>）进行计算。表</w:t>
      </w:r>
      <w:r>
        <w:rPr>
          <w:spacing w:val="10"/>
        </w:rPr>
        <w:t>2</w:t>
      </w:r>
      <w:r>
        <w:rPr>
          <w:rFonts w:ascii="SimSun" w:eastAsia="SimSun" w:hAnsi="SimSun" w:cs="SimSun"/>
          <w:spacing w:val="10"/>
        </w:rPr>
        <w:t>中列出了由表</w:t>
      </w:r>
      <w:r>
        <w:rPr>
          <w:spacing w:val="10"/>
        </w:rPr>
        <w:t>1</w:t>
      </w:r>
      <w:r>
        <w:rPr>
          <w:rFonts w:ascii="SimSun" w:eastAsia="SimSun" w:hAnsi="SimSun" w:cs="SimSun"/>
          <w:spacing w:val="10"/>
        </w:rPr>
        <w:t>中的纯度技术</w:t>
      </w:r>
      <w:r>
        <w:rPr>
          <w:rFonts w:ascii="SimSun" w:eastAsia="SimSun" w:hAnsi="SimSun" w:cs="SimSun"/>
          <w:spacing w:val="9"/>
        </w:rPr>
        <w:t>指标计算得到的物质的量分数及其标准</w:t>
      </w:r>
      <w:r>
        <w:rPr>
          <w:rFonts w:ascii="SimSun" w:eastAsia="SimSun" w:hAnsi="SimSun" w:cs="SimSun"/>
        </w:rPr>
        <w:t xml:space="preserve"> </w:t>
      </w:r>
      <w:r>
        <w:rPr>
          <w:rFonts w:ascii="SimSun" w:eastAsia="SimSun" w:hAnsi="SimSun" w:cs="SimSun"/>
          <w:spacing w:val="5"/>
        </w:rPr>
        <w:t>不确定度。</w:t>
      </w:r>
    </w:p>
    <w:p>
      <w:pPr>
        <w:spacing w:line="268" w:lineRule="auto"/>
        <w:rPr>
          <w:rFonts w:ascii="SimSun" w:eastAsia="SimSun" w:hAnsi="SimSun" w:cs="SimSun"/>
        </w:rPr>
        <w:sectPr>
          <w:footerReference w:type="default" r:id="rId15"/>
          <w:type w:val="nextPage"/>
          <w:pgSz w:w="11906" w:h="16839"/>
          <w:pgMar w:top="1406" w:right="1047" w:bottom="1312" w:left="1425" w:header="0" w:footer="1134" w:gutter="0"/>
          <w:pgNumType w:start="10"/>
          <w:cols w:space="708"/>
          <w:titlePg w:val="0"/>
        </w:sectPr>
      </w:pPr>
    </w:p>
    <w:p>
      <w:pPr>
        <w:spacing w:before="42" w:line="265" w:lineRule="exact"/>
        <w:ind w:left="6098"/>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pStyle w:val="BodyText"/>
        <w:spacing w:before="281"/>
        <w:ind w:right="71"/>
        <w:jc w:val="right"/>
      </w:pPr>
      <w:r>
        <w:pict>
          <v:shape id="_x0000_s1025" style="width:6.25pt;height:0.5pt;margin-top:27.49pt;margin-left:256.54pt;position:absolute;z-index:251659264" coordorigin="0,0" coordsize="125,10" path="m4,4l119,4e" filled="f" strokecolor="black" strokeweight="0.5pt">
            <v:stroke endcap="round"/>
          </v:shape>
        </w:pict>
      </w:r>
      <w:r>
        <w:rPr>
          <w:i/>
          <w:iCs/>
          <w:spacing w:val="-8"/>
          <w:position w:val="4"/>
        </w:rPr>
        <w:t>u</w:t>
      </w:r>
      <w:r>
        <w:rPr>
          <w:spacing w:val="-8"/>
          <w:position w:val="4"/>
        </w:rPr>
        <w:t>(</w:t>
      </w:r>
      <w:r>
        <w:rPr>
          <w:i/>
          <w:iCs/>
          <w:spacing w:val="-8"/>
          <w:position w:val="4"/>
        </w:rPr>
        <w:t>x</w:t>
      </w:r>
      <w:r>
        <w:rPr>
          <w:spacing w:val="-8"/>
          <w:sz w:val="11"/>
          <w:szCs w:val="11"/>
        </w:rPr>
        <w:t>ij</w:t>
      </w:r>
      <w:r>
        <w:rPr>
          <w:spacing w:val="-8"/>
          <w:position w:val="4"/>
        </w:rPr>
        <w:t xml:space="preserve">) </w:t>
      </w:r>
      <w:r>
        <w:rPr>
          <w:rFonts w:ascii="Microsoft YaHei" w:eastAsia="Microsoft YaHei" w:hAnsi="Microsoft YaHei" w:cs="Microsoft YaHei"/>
          <w:spacing w:val="-8"/>
          <w:position w:val="4"/>
        </w:rPr>
        <w:t xml:space="preserve">= </w:t>
      </w:r>
      <w:r>
        <w:rPr>
          <w:position w:val="-18"/>
        </w:rPr>
        <w:drawing>
          <wp:inline distT="0" distB="0" distL="0" distR="0">
            <wp:extent cx="362432" cy="333422"/>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6"/>
                    <a:stretch>
                      <a:fillRect/>
                    </a:stretch>
                  </pic:blipFill>
                  <pic:spPr>
                    <a:xfrm>
                      <a:off x="0" y="0"/>
                      <a:ext cx="362432" cy="333422"/>
                    </a:xfrm>
                    <a:prstGeom prst="rect">
                      <a:avLst/>
                    </a:prstGeom>
                  </pic:spPr>
                </pic:pic>
              </a:graphicData>
            </a:graphic>
          </wp:inline>
        </w:drawing>
      </w:r>
      <w:r>
        <w:rPr>
          <w:rFonts w:ascii="Microsoft YaHei" w:eastAsia="Microsoft YaHei" w:hAnsi="Microsoft YaHei" w:cs="Microsoft YaHei"/>
          <w:spacing w:val="10"/>
          <w:position w:val="4"/>
        </w:rPr>
        <w:t xml:space="preserve"> </w:t>
      </w:r>
      <w:r>
        <w:rPr>
          <w:spacing w:val="-8"/>
          <w:position w:val="4"/>
        </w:rPr>
        <w:t>…</w:t>
      </w:r>
      <w:r>
        <w:rPr>
          <w:spacing w:val="-27"/>
          <w:position w:val="4"/>
        </w:rPr>
        <w:t xml:space="preserve"> </w:t>
      </w:r>
      <w:r>
        <w:rPr>
          <w:spacing w:val="-8"/>
          <w:position w:val="4"/>
        </w:rPr>
        <w:t>…</w:t>
      </w:r>
      <w:r>
        <w:rPr>
          <w:spacing w:val="-27"/>
          <w:position w:val="4"/>
        </w:rPr>
        <w:t xml:space="preserve"> </w:t>
      </w:r>
      <w:r>
        <w:rPr>
          <w:spacing w:val="-8"/>
          <w:position w:val="4"/>
        </w:rPr>
        <w:t>…</w:t>
      </w:r>
      <w:r>
        <w:rPr>
          <w:spacing w:val="-24"/>
          <w:position w:val="4"/>
        </w:rPr>
        <w:t xml:space="preserve"> </w:t>
      </w:r>
      <w:r>
        <w:rPr>
          <w:spacing w:val="-8"/>
          <w:position w:val="4"/>
        </w:rPr>
        <w:t>…</w:t>
      </w:r>
      <w:r>
        <w:rPr>
          <w:spacing w:val="-27"/>
          <w:position w:val="4"/>
        </w:rPr>
        <w:t xml:space="preserve"> </w:t>
      </w:r>
      <w:r>
        <w:rPr>
          <w:spacing w:val="-8"/>
          <w:position w:val="4"/>
        </w:rPr>
        <w:t>…</w:t>
      </w:r>
      <w:r>
        <w:rPr>
          <w:spacing w:val="-24"/>
          <w:position w:val="4"/>
        </w:rPr>
        <w:t xml:space="preserve"> </w:t>
      </w:r>
      <w:r>
        <w:rPr>
          <w:spacing w:val="-8"/>
          <w:position w:val="4"/>
        </w:rPr>
        <w:t>…</w:t>
      </w:r>
      <w:r>
        <w:rPr>
          <w:spacing w:val="-27"/>
          <w:position w:val="4"/>
        </w:rPr>
        <w:t xml:space="preserve"> </w:t>
      </w:r>
      <w:r>
        <w:rPr>
          <w:spacing w:val="-8"/>
          <w:position w:val="4"/>
        </w:rPr>
        <w:t>…</w:t>
      </w:r>
      <w:r>
        <w:rPr>
          <w:spacing w:val="-25"/>
          <w:position w:val="4"/>
        </w:rPr>
        <w:t xml:space="preserve"> </w:t>
      </w:r>
      <w:r>
        <w:rPr>
          <w:spacing w:val="-8"/>
          <w:position w:val="4"/>
        </w:rPr>
        <w:t>…</w:t>
      </w:r>
      <w:r>
        <w:rPr>
          <w:spacing w:val="-26"/>
          <w:position w:val="4"/>
        </w:rPr>
        <w:t xml:space="preserve"> </w:t>
      </w:r>
      <w:r>
        <w:rPr>
          <w:spacing w:val="-8"/>
          <w:position w:val="4"/>
        </w:rPr>
        <w:t>…</w:t>
      </w:r>
      <w:r>
        <w:rPr>
          <w:spacing w:val="-25"/>
          <w:position w:val="4"/>
        </w:rPr>
        <w:t xml:space="preserve"> </w:t>
      </w:r>
      <w:r>
        <w:rPr>
          <w:spacing w:val="-8"/>
          <w:position w:val="4"/>
        </w:rPr>
        <w:t>…</w:t>
      </w:r>
      <w:r>
        <w:rPr>
          <w:spacing w:val="-27"/>
          <w:position w:val="4"/>
        </w:rPr>
        <w:t xml:space="preserve"> </w:t>
      </w:r>
      <w:r>
        <w:rPr>
          <w:spacing w:val="-8"/>
          <w:position w:val="4"/>
        </w:rPr>
        <w:t>…</w:t>
      </w:r>
      <w:r>
        <w:rPr>
          <w:spacing w:val="-24"/>
          <w:position w:val="4"/>
        </w:rPr>
        <w:t xml:space="preserve"> </w:t>
      </w:r>
      <w:r>
        <w:rPr>
          <w:spacing w:val="-8"/>
          <w:position w:val="4"/>
        </w:rPr>
        <w:t>…</w:t>
      </w:r>
      <w:r>
        <w:rPr>
          <w:spacing w:val="-27"/>
          <w:position w:val="4"/>
        </w:rPr>
        <w:t xml:space="preserve"> </w:t>
      </w:r>
      <w:r>
        <w:rPr>
          <w:spacing w:val="-8"/>
          <w:position w:val="4"/>
        </w:rPr>
        <w:t>…</w:t>
      </w:r>
      <w:r>
        <w:rPr>
          <w:spacing w:val="-24"/>
          <w:position w:val="4"/>
        </w:rPr>
        <w:t xml:space="preserve"> </w:t>
      </w:r>
      <w:r>
        <w:rPr>
          <w:spacing w:val="-8"/>
          <w:position w:val="4"/>
        </w:rPr>
        <w:t>…</w:t>
      </w:r>
      <w:r>
        <w:rPr>
          <w:spacing w:val="-27"/>
          <w:position w:val="4"/>
        </w:rPr>
        <w:t xml:space="preserve"> </w:t>
      </w:r>
      <w:r>
        <w:rPr>
          <w:spacing w:val="-8"/>
          <w:position w:val="4"/>
        </w:rPr>
        <w:t>…</w:t>
      </w:r>
      <w:r>
        <w:rPr>
          <w:spacing w:val="-24"/>
          <w:position w:val="4"/>
        </w:rPr>
        <w:t xml:space="preserve"> </w:t>
      </w:r>
      <w:r>
        <w:rPr>
          <w:spacing w:val="-8"/>
          <w:position w:val="4"/>
        </w:rPr>
        <w:t>…</w:t>
      </w:r>
      <w:r>
        <w:rPr>
          <w:spacing w:val="-27"/>
          <w:position w:val="4"/>
        </w:rPr>
        <w:t xml:space="preserve"> </w:t>
      </w:r>
      <w:r>
        <w:rPr>
          <w:spacing w:val="-8"/>
          <w:position w:val="4"/>
        </w:rPr>
        <w:t>…</w:t>
      </w:r>
      <w:r>
        <w:rPr>
          <w:spacing w:val="-25"/>
          <w:position w:val="4"/>
        </w:rPr>
        <w:t xml:space="preserve"> </w:t>
      </w:r>
      <w:r>
        <w:rPr>
          <w:spacing w:val="-9"/>
          <w:position w:val="4"/>
        </w:rPr>
        <w:t>…(2)</w:t>
      </w:r>
    </w:p>
    <w:p>
      <w:pPr>
        <w:spacing w:line="241" w:lineRule="auto"/>
        <w:rPr>
          <w:rFonts w:ascii="Arial"/>
          <w:sz w:val="21"/>
        </w:rPr>
      </w:pPr>
    </w:p>
    <w:p>
      <w:pPr>
        <w:spacing w:line="242" w:lineRule="auto"/>
        <w:rPr>
          <w:rFonts w:ascii="Arial"/>
          <w:sz w:val="21"/>
        </w:rPr>
      </w:pPr>
    </w:p>
    <w:p>
      <w:pPr>
        <w:pStyle w:val="BodyText"/>
        <w:spacing w:before="65" w:line="230" w:lineRule="auto"/>
        <w:ind w:left="978"/>
        <w:rPr>
          <w:rFonts w:ascii="SimHei" w:eastAsia="SimHei" w:hAnsi="SimHei" w:cs="SimHei"/>
        </w:rPr>
      </w:pPr>
      <w:r>
        <w:rPr>
          <w:rFonts w:ascii="SimHei" w:eastAsia="SimHei" w:hAnsi="SimHei" w:cs="SimHei"/>
          <w:spacing w:val="7"/>
        </w:rPr>
        <w:t>表</w:t>
      </w:r>
      <w:r>
        <w:rPr>
          <w:rFonts w:ascii="SimHei" w:eastAsia="SimHei" w:hAnsi="SimHei" w:cs="SimHei"/>
          <w:spacing w:val="-40"/>
        </w:rPr>
        <w:t xml:space="preserve"> </w:t>
      </w:r>
      <w:r>
        <w:rPr>
          <w:spacing w:val="7"/>
        </w:rPr>
        <w:t xml:space="preserve">2    </w:t>
      </w:r>
      <w:r>
        <w:rPr>
          <w:rFonts w:ascii="SimHei" w:eastAsia="SimHei" w:hAnsi="SimHei" w:cs="SimHei"/>
          <w:spacing w:val="7"/>
        </w:rPr>
        <w:t>表</w:t>
      </w:r>
      <w:r>
        <w:rPr>
          <w:rFonts w:ascii="SimHei" w:eastAsia="SimHei" w:hAnsi="SimHei" w:cs="SimHei"/>
          <w:spacing w:val="-23"/>
        </w:rPr>
        <w:t xml:space="preserve"> </w:t>
      </w:r>
      <w:r>
        <w:rPr>
          <w:spacing w:val="7"/>
        </w:rPr>
        <w:t>1</w:t>
      </w:r>
      <w:r>
        <w:rPr>
          <w:spacing w:val="29"/>
        </w:rPr>
        <w:t xml:space="preserve"> </w:t>
      </w:r>
      <w:r>
        <w:rPr>
          <w:rFonts w:ascii="SimHei" w:eastAsia="SimHei" w:hAnsi="SimHei" w:cs="SimHei"/>
          <w:spacing w:val="7"/>
        </w:rPr>
        <w:t>中纯度指标使用公式（</w:t>
      </w:r>
      <w:r>
        <w:rPr>
          <w:spacing w:val="7"/>
        </w:rPr>
        <w:t>2</w:t>
      </w:r>
      <w:r>
        <w:rPr>
          <w:rFonts w:ascii="SimHei" w:eastAsia="SimHei" w:hAnsi="SimHei" w:cs="SimHei"/>
          <w:spacing w:val="7"/>
        </w:rPr>
        <w:t>）计算得到的物质的量分数及其标准不确定度</w:t>
      </w:r>
    </w:p>
    <w:p>
      <w:pPr>
        <w:spacing w:line="167" w:lineRule="exact"/>
      </w:pPr>
    </w:p>
    <w:tbl>
      <w:tblPr>
        <w:tblStyle w:val="TableNormal1"/>
        <w:tblW w:w="9295" w:type="dxa"/>
        <w:tblInd w:w="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994"/>
        <w:gridCol w:w="1040"/>
        <w:gridCol w:w="2073"/>
        <w:gridCol w:w="3188"/>
      </w:tblGrid>
      <w:tr>
        <w:tblPrEx>
          <w:tblW w:w="9295" w:type="dxa"/>
          <w:tblInd w:w="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17"/>
        </w:trPr>
        <w:tc>
          <w:tcPr>
            <w:tcW w:w="2994" w:type="dxa"/>
            <w:tcBorders>
              <w:top w:val="single" w:sz="10" w:space="0" w:color="000000"/>
              <w:left w:val="single" w:sz="10" w:space="0" w:color="000000"/>
              <w:bottom w:val="single" w:sz="10" w:space="0" w:color="000000"/>
            </w:tcBorders>
            <w:vAlign w:val="top"/>
          </w:tcPr>
          <w:p>
            <w:pPr>
              <w:spacing w:before="170" w:line="221" w:lineRule="auto"/>
              <w:ind w:left="1311"/>
              <w:rPr>
                <w:rFonts w:ascii="SimHei" w:eastAsia="SimHei" w:hAnsi="SimHei" w:cs="SimHei"/>
                <w:sz w:val="18"/>
                <w:szCs w:val="18"/>
              </w:rPr>
            </w:pPr>
            <w:r>
              <w:rPr>
                <w:rFonts w:ascii="SimHei" w:eastAsia="SimHei" w:hAnsi="SimHei" w:cs="SimHei"/>
                <w:spacing w:val="-5"/>
                <w:sz w:val="18"/>
                <w:szCs w:val="18"/>
              </w:rPr>
              <w:t>杂质</w:t>
            </w:r>
          </w:p>
        </w:tc>
        <w:tc>
          <w:tcPr>
            <w:tcW w:w="1040" w:type="dxa"/>
            <w:tcBorders>
              <w:top w:val="single" w:sz="10" w:space="0" w:color="000000"/>
              <w:bottom w:val="single" w:sz="10" w:space="0" w:color="000000"/>
              <w:right w:val="nil"/>
            </w:tcBorders>
            <w:vAlign w:val="top"/>
          </w:tcPr>
          <w:p>
            <w:pPr>
              <w:pStyle w:val="TableText"/>
              <w:spacing w:before="230" w:line="98" w:lineRule="exact"/>
              <w:ind w:left="798"/>
              <w:rPr>
                <w:sz w:val="21"/>
                <w:szCs w:val="21"/>
              </w:rPr>
            </w:pPr>
            <w:r>
              <w:pict>
                <v:shapetype id="_x0000_t202" coordsize="21600,21600" o:spt="202" path="m,l,21600r21600,l21600,xe">
                  <v:stroke joinstyle="miter"/>
                  <v:path gradientshapeok="t" o:connecttype="rect"/>
                </v:shapetype>
                <v:shape id="_x0000_s1026" type="#_x0000_t202" style="width:5.05pt;height:7.3pt;margin-top:13.94pt;margin-left:44.22pt;position:absolute;z-index:251658240" filled="f" stroked="f">
                  <o:lock v:ext="edit" aspectratio="f"/>
                  <v:textbox inset="0,0,0,0">
                    <w:txbxContent>
                      <w:p>
                        <w:pPr>
                          <w:pStyle w:val="TableText"/>
                          <w:spacing w:before="20" w:line="200" w:lineRule="auto"/>
                          <w:ind w:left="20"/>
                          <w:rPr>
                            <w:sz w:val="11"/>
                            <w:szCs w:val="11"/>
                          </w:rPr>
                        </w:pPr>
                        <w:r>
                          <w:rPr>
                            <w:spacing w:val="-1"/>
                            <w:sz w:val="11"/>
                            <w:szCs w:val="11"/>
                          </w:rPr>
                          <w:t>ij</w:t>
                        </w:r>
                      </w:p>
                    </w:txbxContent>
                  </v:textbox>
                </v:shape>
              </w:pict>
            </w:r>
            <w:r>
              <w:rPr>
                <w:i/>
                <w:iCs/>
                <w:spacing w:val="9"/>
                <w:position w:val="-2"/>
                <w:sz w:val="21"/>
                <w:szCs w:val="21"/>
              </w:rPr>
              <w:t>x</w:t>
            </w:r>
          </w:p>
        </w:tc>
        <w:tc>
          <w:tcPr>
            <w:tcW w:w="2073" w:type="dxa"/>
            <w:tcBorders>
              <w:top w:val="single" w:sz="10" w:space="0" w:color="000000"/>
              <w:left w:val="nil"/>
              <w:bottom w:val="single" w:sz="10" w:space="0" w:color="000000"/>
            </w:tcBorders>
            <w:vAlign w:val="top"/>
          </w:tcPr>
          <w:p>
            <w:pPr>
              <w:spacing w:before="171" w:line="219" w:lineRule="auto"/>
              <w:ind w:left="70"/>
              <w:rPr>
                <w:rFonts w:ascii="SimHei" w:eastAsia="SimHei" w:hAnsi="SimHei" w:cs="SimHei"/>
                <w:sz w:val="18"/>
                <w:szCs w:val="18"/>
              </w:rPr>
            </w:pPr>
            <w:r>
              <w:rPr>
                <w:rFonts w:ascii="SimHei" w:eastAsia="SimHei" w:hAnsi="SimHei" w:cs="SimHei"/>
                <w:spacing w:val="-11"/>
                <w:sz w:val="18"/>
                <w:szCs w:val="18"/>
              </w:rPr>
              <w:t>(</w:t>
            </w:r>
            <w:r>
              <w:rPr>
                <w:rFonts w:ascii="SimHei" w:eastAsia="SimHei" w:hAnsi="SimHei" w:cs="SimHei"/>
                <w:spacing w:val="-13"/>
                <w:sz w:val="18"/>
                <w:szCs w:val="18"/>
              </w:rPr>
              <w:t xml:space="preserve"> </w:t>
            </w:r>
            <w:r>
              <w:rPr>
                <w:rFonts w:ascii="SimHei" w:eastAsia="SimHei" w:hAnsi="SimHei" w:cs="SimHei"/>
                <w:spacing w:val="-11"/>
                <w:sz w:val="18"/>
                <w:szCs w:val="18"/>
              </w:rPr>
              <w:t>μmol·mol</w:t>
            </w:r>
            <w:r>
              <w:rPr>
                <w:rFonts w:ascii="SimHei" w:eastAsia="SimHei" w:hAnsi="SimHei" w:cs="SimHei"/>
                <w:spacing w:val="4"/>
                <w:position w:val="9"/>
                <w:sz w:val="8"/>
                <w:szCs w:val="8"/>
              </w:rPr>
              <w:t>-1</w:t>
            </w:r>
            <w:r>
              <w:rPr>
                <w:rFonts w:ascii="SimHei" w:eastAsia="SimHei" w:hAnsi="SimHei" w:cs="SimHei"/>
                <w:spacing w:val="4"/>
                <w:sz w:val="18"/>
                <w:szCs w:val="18"/>
              </w:rPr>
              <w:t>）</w:t>
            </w:r>
          </w:p>
        </w:tc>
        <w:tc>
          <w:tcPr>
            <w:tcW w:w="3188" w:type="dxa"/>
            <w:tcBorders>
              <w:top w:val="single" w:sz="10" w:space="0" w:color="000000"/>
              <w:bottom w:val="single" w:sz="10" w:space="0" w:color="000000"/>
              <w:right w:val="single" w:sz="10" w:space="0" w:color="000000"/>
            </w:tcBorders>
            <w:vAlign w:val="top"/>
          </w:tcPr>
          <w:p>
            <w:pPr>
              <w:pStyle w:val="TableText"/>
              <w:spacing w:before="170" w:line="204" w:lineRule="auto"/>
              <w:ind w:left="695"/>
              <w:rPr>
                <w:rFonts w:ascii="SimHei" w:eastAsia="SimHei" w:hAnsi="SimHei" w:cs="SimHei"/>
              </w:rPr>
            </w:pPr>
            <w:r>
              <w:rPr>
                <w:i/>
                <w:iCs/>
                <w:spacing w:val="-3"/>
                <w:sz w:val="21"/>
                <w:szCs w:val="21"/>
              </w:rPr>
              <w:t>u</w:t>
            </w:r>
            <w:r>
              <w:rPr>
                <w:spacing w:val="-3"/>
                <w:sz w:val="21"/>
                <w:szCs w:val="21"/>
              </w:rPr>
              <w:t>(</w:t>
            </w:r>
            <w:r>
              <w:rPr>
                <w:i/>
                <w:iCs/>
                <w:spacing w:val="-3"/>
                <w:sz w:val="21"/>
                <w:szCs w:val="21"/>
              </w:rPr>
              <w:t>x</w:t>
            </w:r>
            <w:r>
              <w:rPr>
                <w:spacing w:val="-3"/>
                <w:position w:val="-5"/>
                <w:sz w:val="11"/>
                <w:szCs w:val="11"/>
              </w:rPr>
              <w:t>ij</w:t>
            </w:r>
            <w:r>
              <w:rPr>
                <w:spacing w:val="-3"/>
                <w:sz w:val="21"/>
                <w:szCs w:val="21"/>
              </w:rPr>
              <w:t>)</w:t>
            </w:r>
            <w:r>
              <w:rPr>
                <w:spacing w:val="22"/>
                <w:w w:val="101"/>
                <w:sz w:val="21"/>
                <w:szCs w:val="21"/>
              </w:rPr>
              <w:t xml:space="preserve">  </w:t>
            </w:r>
            <w:r>
              <w:rPr>
                <w:rFonts w:ascii="SimHei" w:eastAsia="SimHei" w:hAnsi="SimHei" w:cs="SimHei"/>
                <w:spacing w:val="-3"/>
              </w:rPr>
              <w:t>(</w:t>
            </w:r>
            <w:r>
              <w:rPr>
                <w:rFonts w:ascii="SimHei" w:eastAsia="SimHei" w:hAnsi="SimHei" w:cs="SimHei"/>
                <w:spacing w:val="-3"/>
              </w:rPr>
              <w:t xml:space="preserve"> </w:t>
            </w:r>
            <w:r>
              <w:rPr>
                <w:rFonts w:ascii="SimHei" w:eastAsia="SimHei" w:hAnsi="SimHei" w:cs="SimHei"/>
                <w:spacing w:val="-3"/>
              </w:rPr>
              <w:t>μmol·mol</w:t>
            </w:r>
            <w:r>
              <w:rPr>
                <w:rFonts w:ascii="SimHei" w:eastAsia="SimHei" w:hAnsi="SimHei" w:cs="SimHei"/>
                <w:spacing w:val="-3"/>
                <w:position w:val="9"/>
                <w:sz w:val="8"/>
                <w:szCs w:val="8"/>
              </w:rPr>
              <w:t>-1</w:t>
            </w:r>
            <w:r>
              <w:rPr>
                <w:rFonts w:ascii="SimHei" w:eastAsia="SimHei" w:hAnsi="SimHei" w:cs="SimHei"/>
                <w:spacing w:val="-3"/>
              </w:rPr>
              <w:t>）</w:t>
            </w:r>
          </w:p>
        </w:tc>
      </w:tr>
      <w:tr>
        <w:tblPrEx>
          <w:tblW w:w="9295" w:type="dxa"/>
          <w:tblInd w:w="21" w:type="dxa"/>
          <w:tblLayout w:type="fixed"/>
        </w:tblPrEx>
        <w:trPr>
          <w:trHeight w:val="393"/>
        </w:trPr>
        <w:tc>
          <w:tcPr>
            <w:tcW w:w="2994" w:type="dxa"/>
            <w:tcBorders>
              <w:top w:val="single" w:sz="10" w:space="0" w:color="000000"/>
              <w:left w:val="single" w:sz="10" w:space="0" w:color="000000"/>
            </w:tcBorders>
            <w:vAlign w:val="top"/>
          </w:tcPr>
          <w:p>
            <w:pPr>
              <w:pStyle w:val="TableText"/>
              <w:spacing w:before="189" w:line="188" w:lineRule="auto"/>
              <w:ind w:left="1364"/>
            </w:pPr>
            <w:r>
              <w:rPr>
                <w:spacing w:val="-4"/>
              </w:rPr>
              <w:t>CO</w:t>
            </w:r>
          </w:p>
        </w:tc>
        <w:tc>
          <w:tcPr>
            <w:tcW w:w="3113" w:type="dxa"/>
            <w:gridSpan w:val="2"/>
            <w:tcBorders>
              <w:top w:val="single" w:sz="10" w:space="0" w:color="000000"/>
            </w:tcBorders>
            <w:vAlign w:val="top"/>
          </w:tcPr>
          <w:p>
            <w:pPr>
              <w:pStyle w:val="TableText"/>
              <w:spacing w:before="189" w:line="188" w:lineRule="auto"/>
              <w:ind w:left="1447"/>
            </w:pPr>
            <w:r>
              <w:rPr>
                <w:spacing w:val="-2"/>
              </w:rPr>
              <w:t>0.5</w:t>
            </w:r>
          </w:p>
        </w:tc>
        <w:tc>
          <w:tcPr>
            <w:tcW w:w="3188" w:type="dxa"/>
            <w:tcBorders>
              <w:top w:val="single" w:sz="10" w:space="0" w:color="000000"/>
              <w:right w:val="single" w:sz="10" w:space="0" w:color="000000"/>
            </w:tcBorders>
            <w:vAlign w:val="top"/>
          </w:tcPr>
          <w:p>
            <w:pPr>
              <w:pStyle w:val="TableText"/>
              <w:spacing w:before="189" w:line="188" w:lineRule="auto"/>
              <w:ind w:left="1485"/>
            </w:pPr>
            <w:r>
              <w:rPr>
                <w:spacing w:val="-2"/>
              </w:rPr>
              <w:t>0.3</w:t>
            </w:r>
          </w:p>
        </w:tc>
      </w:tr>
      <w:tr>
        <w:tblPrEx>
          <w:tblW w:w="9295" w:type="dxa"/>
          <w:tblInd w:w="21" w:type="dxa"/>
          <w:tblLayout w:type="fixed"/>
        </w:tblPrEx>
        <w:trPr>
          <w:trHeight w:val="402"/>
        </w:trPr>
        <w:tc>
          <w:tcPr>
            <w:tcW w:w="2994" w:type="dxa"/>
            <w:tcBorders>
              <w:left w:val="single" w:sz="10" w:space="0" w:color="000000"/>
            </w:tcBorders>
            <w:vAlign w:val="top"/>
          </w:tcPr>
          <w:p>
            <w:pPr>
              <w:pStyle w:val="TableText"/>
              <w:spacing w:before="201" w:line="194" w:lineRule="auto"/>
              <w:ind w:left="1335"/>
              <w:rPr>
                <w:sz w:val="11"/>
                <w:szCs w:val="11"/>
              </w:rPr>
            </w:pPr>
            <w:r>
              <w:rPr>
                <w:spacing w:val="-2"/>
              </w:rPr>
              <w:t>CO</w:t>
            </w:r>
            <w:r>
              <w:rPr>
                <w:spacing w:val="-2"/>
                <w:position w:val="-1"/>
                <w:sz w:val="11"/>
                <w:szCs w:val="11"/>
              </w:rPr>
              <w:t>2</w:t>
            </w:r>
          </w:p>
        </w:tc>
        <w:tc>
          <w:tcPr>
            <w:tcW w:w="3113" w:type="dxa"/>
            <w:gridSpan w:val="2"/>
            <w:vAlign w:val="top"/>
          </w:tcPr>
          <w:p>
            <w:pPr>
              <w:pStyle w:val="TableText"/>
              <w:spacing w:before="202" w:line="188" w:lineRule="auto"/>
              <w:ind w:left="1447"/>
            </w:pPr>
            <w:r>
              <w:rPr>
                <w:spacing w:val="-2"/>
              </w:rPr>
              <w:t>0.5</w:t>
            </w:r>
          </w:p>
        </w:tc>
        <w:tc>
          <w:tcPr>
            <w:tcW w:w="3188" w:type="dxa"/>
            <w:tcBorders>
              <w:right w:val="single" w:sz="10" w:space="0" w:color="000000"/>
            </w:tcBorders>
            <w:vAlign w:val="top"/>
          </w:tcPr>
          <w:p>
            <w:pPr>
              <w:pStyle w:val="TableText"/>
              <w:spacing w:before="202" w:line="188" w:lineRule="auto"/>
              <w:ind w:left="1485"/>
            </w:pPr>
            <w:r>
              <w:rPr>
                <w:spacing w:val="-2"/>
              </w:rPr>
              <w:t>0.3</w:t>
            </w:r>
          </w:p>
        </w:tc>
      </w:tr>
      <w:tr>
        <w:tblPrEx>
          <w:tblW w:w="9295" w:type="dxa"/>
          <w:tblInd w:w="21" w:type="dxa"/>
          <w:tblLayout w:type="fixed"/>
        </w:tblPrEx>
        <w:trPr>
          <w:trHeight w:val="402"/>
        </w:trPr>
        <w:tc>
          <w:tcPr>
            <w:tcW w:w="2994" w:type="dxa"/>
            <w:tcBorders>
              <w:left w:val="single" w:sz="10" w:space="0" w:color="000000"/>
            </w:tcBorders>
            <w:vAlign w:val="top"/>
          </w:tcPr>
          <w:p>
            <w:pPr>
              <w:pStyle w:val="TableText"/>
              <w:spacing w:before="204" w:line="204" w:lineRule="auto"/>
              <w:ind w:left="1306"/>
              <w:rPr>
                <w:sz w:val="11"/>
                <w:szCs w:val="11"/>
              </w:rPr>
            </w:pPr>
            <w:r>
              <w:rPr>
                <w:spacing w:val="-1"/>
              </w:rPr>
              <w:t>C</w:t>
            </w:r>
            <w:r>
              <w:rPr>
                <w:spacing w:val="-1"/>
                <w:sz w:val="11"/>
                <w:szCs w:val="11"/>
              </w:rPr>
              <w:t>x</w:t>
            </w:r>
            <w:r>
              <w:rPr>
                <w:spacing w:val="-1"/>
              </w:rPr>
              <w:t>H</w:t>
            </w:r>
            <w:r>
              <w:rPr>
                <w:spacing w:val="-1"/>
                <w:sz w:val="11"/>
                <w:szCs w:val="11"/>
              </w:rPr>
              <w:t>y</w:t>
            </w:r>
          </w:p>
        </w:tc>
        <w:tc>
          <w:tcPr>
            <w:tcW w:w="3113" w:type="dxa"/>
            <w:gridSpan w:val="2"/>
            <w:vAlign w:val="top"/>
          </w:tcPr>
          <w:p>
            <w:pPr>
              <w:pStyle w:val="TableText"/>
              <w:spacing w:before="205" w:line="188" w:lineRule="auto"/>
              <w:ind w:left="1402"/>
            </w:pPr>
            <w:r>
              <w:rPr>
                <w:spacing w:val="-2"/>
              </w:rPr>
              <w:t>0.25</w:t>
            </w:r>
          </w:p>
        </w:tc>
        <w:tc>
          <w:tcPr>
            <w:tcW w:w="3188" w:type="dxa"/>
            <w:tcBorders>
              <w:right w:val="single" w:sz="10" w:space="0" w:color="000000"/>
            </w:tcBorders>
            <w:vAlign w:val="top"/>
          </w:tcPr>
          <w:p>
            <w:pPr>
              <w:pStyle w:val="TableText"/>
              <w:spacing w:before="205" w:line="188" w:lineRule="auto"/>
              <w:ind w:left="1442"/>
            </w:pPr>
            <w:r>
              <w:rPr>
                <w:spacing w:val="-2"/>
              </w:rPr>
              <w:t>0.15</w:t>
            </w:r>
          </w:p>
        </w:tc>
      </w:tr>
      <w:tr>
        <w:tblPrEx>
          <w:tblW w:w="9295" w:type="dxa"/>
          <w:tblInd w:w="21" w:type="dxa"/>
          <w:tblLayout w:type="fixed"/>
        </w:tblPrEx>
        <w:trPr>
          <w:trHeight w:val="402"/>
        </w:trPr>
        <w:tc>
          <w:tcPr>
            <w:tcW w:w="2994" w:type="dxa"/>
            <w:tcBorders>
              <w:left w:val="single" w:sz="10" w:space="0" w:color="000000"/>
            </w:tcBorders>
            <w:vAlign w:val="top"/>
          </w:tcPr>
          <w:p>
            <w:pPr>
              <w:pStyle w:val="TableText"/>
              <w:spacing w:before="206" w:line="188" w:lineRule="auto"/>
              <w:ind w:left="1351"/>
            </w:pPr>
            <w:r>
              <w:rPr>
                <w:spacing w:val="1"/>
              </w:rPr>
              <w:t>NO</w:t>
            </w:r>
          </w:p>
        </w:tc>
        <w:tc>
          <w:tcPr>
            <w:tcW w:w="3113" w:type="dxa"/>
            <w:gridSpan w:val="2"/>
            <w:vAlign w:val="top"/>
          </w:tcPr>
          <w:p>
            <w:pPr>
              <w:pStyle w:val="TableText"/>
              <w:spacing w:before="206" w:line="188" w:lineRule="auto"/>
              <w:ind w:left="1402"/>
            </w:pPr>
            <w:r>
              <w:rPr>
                <w:spacing w:val="-2"/>
              </w:rPr>
              <w:t>0.05</w:t>
            </w:r>
          </w:p>
        </w:tc>
        <w:tc>
          <w:tcPr>
            <w:tcW w:w="3188" w:type="dxa"/>
            <w:tcBorders>
              <w:right w:val="single" w:sz="10" w:space="0" w:color="000000"/>
            </w:tcBorders>
            <w:vAlign w:val="top"/>
          </w:tcPr>
          <w:p>
            <w:pPr>
              <w:pStyle w:val="TableText"/>
              <w:spacing w:before="206" w:line="188" w:lineRule="auto"/>
              <w:ind w:left="1442"/>
            </w:pPr>
            <w:r>
              <w:rPr>
                <w:spacing w:val="-2"/>
              </w:rPr>
              <w:t>0.03</w:t>
            </w:r>
          </w:p>
        </w:tc>
      </w:tr>
      <w:tr>
        <w:tblPrEx>
          <w:tblW w:w="9295" w:type="dxa"/>
          <w:tblInd w:w="21" w:type="dxa"/>
          <w:tblLayout w:type="fixed"/>
        </w:tblPrEx>
        <w:trPr>
          <w:trHeight w:val="402"/>
        </w:trPr>
        <w:tc>
          <w:tcPr>
            <w:tcW w:w="2994" w:type="dxa"/>
            <w:tcBorders>
              <w:left w:val="single" w:sz="10" w:space="0" w:color="000000"/>
            </w:tcBorders>
            <w:vAlign w:val="top"/>
          </w:tcPr>
          <w:p>
            <w:pPr>
              <w:pStyle w:val="TableText"/>
              <w:spacing w:before="209" w:line="194" w:lineRule="auto"/>
              <w:ind w:left="1322"/>
              <w:rPr>
                <w:sz w:val="11"/>
                <w:szCs w:val="11"/>
              </w:rPr>
            </w:pPr>
            <w:r>
              <w:t>NO</w:t>
            </w:r>
            <w:r>
              <w:rPr>
                <w:spacing w:val="3"/>
                <w:position w:val="-1"/>
                <w:sz w:val="11"/>
                <w:szCs w:val="11"/>
              </w:rPr>
              <w:t>2</w:t>
            </w:r>
          </w:p>
        </w:tc>
        <w:tc>
          <w:tcPr>
            <w:tcW w:w="3113" w:type="dxa"/>
            <w:gridSpan w:val="2"/>
            <w:vAlign w:val="top"/>
          </w:tcPr>
          <w:p>
            <w:pPr>
              <w:pStyle w:val="TableText"/>
              <w:spacing w:before="210" w:line="188" w:lineRule="auto"/>
              <w:ind w:left="1402"/>
            </w:pPr>
            <w:r>
              <w:rPr>
                <w:spacing w:val="-2"/>
              </w:rPr>
              <w:t>0.05</w:t>
            </w:r>
          </w:p>
        </w:tc>
        <w:tc>
          <w:tcPr>
            <w:tcW w:w="3188" w:type="dxa"/>
            <w:tcBorders>
              <w:right w:val="single" w:sz="10" w:space="0" w:color="000000"/>
            </w:tcBorders>
            <w:vAlign w:val="top"/>
          </w:tcPr>
          <w:p>
            <w:pPr>
              <w:pStyle w:val="TableText"/>
              <w:spacing w:before="210" w:line="188" w:lineRule="auto"/>
              <w:ind w:left="1442"/>
            </w:pPr>
            <w:r>
              <w:rPr>
                <w:spacing w:val="-2"/>
              </w:rPr>
              <w:t>0.03</w:t>
            </w:r>
          </w:p>
        </w:tc>
      </w:tr>
      <w:tr>
        <w:tblPrEx>
          <w:tblW w:w="9295" w:type="dxa"/>
          <w:tblInd w:w="21" w:type="dxa"/>
          <w:tblLayout w:type="fixed"/>
        </w:tblPrEx>
        <w:trPr>
          <w:trHeight w:val="402"/>
        </w:trPr>
        <w:tc>
          <w:tcPr>
            <w:tcW w:w="2994" w:type="dxa"/>
            <w:tcBorders>
              <w:left w:val="single" w:sz="10" w:space="0" w:color="000000"/>
            </w:tcBorders>
            <w:vAlign w:val="top"/>
          </w:tcPr>
          <w:p>
            <w:pPr>
              <w:pStyle w:val="TableText"/>
              <w:spacing w:before="212" w:line="194" w:lineRule="auto"/>
              <w:ind w:left="1350"/>
              <w:rPr>
                <w:sz w:val="11"/>
                <w:szCs w:val="11"/>
              </w:rPr>
            </w:pPr>
            <w:r>
              <w:rPr>
                <w:spacing w:val="-3"/>
              </w:rPr>
              <w:t>SO</w:t>
            </w:r>
            <w:r>
              <w:rPr>
                <w:spacing w:val="-3"/>
                <w:position w:val="-1"/>
                <w:sz w:val="11"/>
                <w:szCs w:val="11"/>
              </w:rPr>
              <w:t>2</w:t>
            </w:r>
          </w:p>
        </w:tc>
        <w:tc>
          <w:tcPr>
            <w:tcW w:w="3113" w:type="dxa"/>
            <w:gridSpan w:val="2"/>
            <w:vAlign w:val="top"/>
          </w:tcPr>
          <w:p>
            <w:pPr>
              <w:pStyle w:val="TableText"/>
              <w:spacing w:before="213" w:line="188" w:lineRule="auto"/>
              <w:ind w:left="1402"/>
            </w:pPr>
            <w:r>
              <w:rPr>
                <w:spacing w:val="-2"/>
              </w:rPr>
              <w:t>0.05</w:t>
            </w:r>
          </w:p>
        </w:tc>
        <w:tc>
          <w:tcPr>
            <w:tcW w:w="3188" w:type="dxa"/>
            <w:tcBorders>
              <w:right w:val="single" w:sz="10" w:space="0" w:color="000000"/>
            </w:tcBorders>
            <w:vAlign w:val="top"/>
          </w:tcPr>
          <w:p>
            <w:pPr>
              <w:pStyle w:val="TableText"/>
              <w:spacing w:before="213" w:line="188" w:lineRule="auto"/>
              <w:ind w:left="1442"/>
            </w:pPr>
            <w:r>
              <w:rPr>
                <w:spacing w:val="-2"/>
              </w:rPr>
              <w:t>0.03</w:t>
            </w:r>
          </w:p>
        </w:tc>
      </w:tr>
      <w:tr>
        <w:tblPrEx>
          <w:tblW w:w="9295" w:type="dxa"/>
          <w:tblInd w:w="21" w:type="dxa"/>
          <w:tblLayout w:type="fixed"/>
        </w:tblPrEx>
        <w:trPr>
          <w:trHeight w:val="402"/>
        </w:trPr>
        <w:tc>
          <w:tcPr>
            <w:tcW w:w="2994" w:type="dxa"/>
            <w:tcBorders>
              <w:left w:val="single" w:sz="10" w:space="0" w:color="000000"/>
            </w:tcBorders>
            <w:vAlign w:val="top"/>
          </w:tcPr>
          <w:p>
            <w:pPr>
              <w:pStyle w:val="TableText"/>
              <w:spacing w:before="216" w:line="189" w:lineRule="auto"/>
              <w:ind w:left="1390"/>
            </w:pPr>
            <w:r>
              <w:rPr>
                <w:spacing w:val="-1"/>
              </w:rPr>
              <w:t>Ar</w:t>
            </w:r>
          </w:p>
        </w:tc>
        <w:tc>
          <w:tcPr>
            <w:tcW w:w="3113" w:type="dxa"/>
            <w:gridSpan w:val="2"/>
            <w:vAlign w:val="top"/>
          </w:tcPr>
          <w:p>
            <w:pPr>
              <w:pStyle w:val="TableText"/>
              <w:spacing w:before="216" w:line="188" w:lineRule="auto"/>
              <w:ind w:left="1468"/>
            </w:pPr>
            <w:r>
              <w:rPr>
                <w:spacing w:val="-2"/>
              </w:rPr>
              <w:t>25</w:t>
            </w:r>
          </w:p>
        </w:tc>
        <w:tc>
          <w:tcPr>
            <w:tcW w:w="3188" w:type="dxa"/>
            <w:tcBorders>
              <w:right w:val="single" w:sz="10" w:space="0" w:color="000000"/>
            </w:tcBorders>
            <w:vAlign w:val="top"/>
          </w:tcPr>
          <w:p>
            <w:pPr>
              <w:pStyle w:val="TableText"/>
              <w:spacing w:before="216" w:line="188" w:lineRule="auto"/>
              <w:ind w:left="1524"/>
            </w:pPr>
            <w:r>
              <w:rPr>
                <w:spacing w:val="-10"/>
              </w:rPr>
              <w:t>15</w:t>
            </w:r>
          </w:p>
        </w:tc>
      </w:tr>
      <w:tr>
        <w:tblPrEx>
          <w:tblW w:w="9295" w:type="dxa"/>
          <w:tblInd w:w="21" w:type="dxa"/>
          <w:tblLayout w:type="fixed"/>
        </w:tblPrEx>
        <w:trPr>
          <w:trHeight w:val="426"/>
        </w:trPr>
        <w:tc>
          <w:tcPr>
            <w:tcW w:w="2994" w:type="dxa"/>
            <w:tcBorders>
              <w:left w:val="single" w:sz="10" w:space="0" w:color="000000"/>
              <w:bottom w:val="single" w:sz="10" w:space="0" w:color="000000"/>
            </w:tcBorders>
            <w:vAlign w:val="top"/>
          </w:tcPr>
          <w:p>
            <w:pPr>
              <w:pStyle w:val="TableText"/>
              <w:spacing w:before="219" w:line="194" w:lineRule="auto"/>
              <w:ind w:left="1327"/>
            </w:pPr>
            <w:r>
              <w:rPr>
                <w:spacing w:val="-1"/>
              </w:rPr>
              <w:t>H</w:t>
            </w:r>
            <w:r>
              <w:rPr>
                <w:spacing w:val="-1"/>
                <w:position w:val="-1"/>
                <w:sz w:val="11"/>
                <w:szCs w:val="11"/>
              </w:rPr>
              <w:t>2</w:t>
            </w:r>
            <w:r>
              <w:rPr>
                <w:spacing w:val="-1"/>
              </w:rPr>
              <w:t>O</w:t>
            </w:r>
          </w:p>
        </w:tc>
        <w:tc>
          <w:tcPr>
            <w:tcW w:w="3113" w:type="dxa"/>
            <w:gridSpan w:val="2"/>
            <w:tcBorders>
              <w:bottom w:val="single" w:sz="10" w:space="0" w:color="000000"/>
            </w:tcBorders>
            <w:vAlign w:val="top"/>
          </w:tcPr>
          <w:p>
            <w:pPr>
              <w:pStyle w:val="TableText"/>
              <w:spacing w:before="220" w:line="188" w:lineRule="auto"/>
              <w:ind w:left="1447"/>
            </w:pPr>
            <w:r>
              <w:rPr>
                <w:spacing w:val="-2"/>
              </w:rPr>
              <w:t>0.5</w:t>
            </w:r>
          </w:p>
        </w:tc>
        <w:tc>
          <w:tcPr>
            <w:tcW w:w="3188" w:type="dxa"/>
            <w:tcBorders>
              <w:bottom w:val="single" w:sz="10" w:space="0" w:color="000000"/>
              <w:right w:val="single" w:sz="10" w:space="0" w:color="000000"/>
            </w:tcBorders>
            <w:vAlign w:val="top"/>
          </w:tcPr>
          <w:p>
            <w:pPr>
              <w:pStyle w:val="TableText"/>
              <w:spacing w:before="220" w:line="188" w:lineRule="auto"/>
              <w:ind w:left="1485"/>
            </w:pPr>
            <w:r>
              <w:rPr>
                <w:spacing w:val="-2"/>
              </w:rPr>
              <w:t>0.3</w:t>
            </w:r>
          </w:p>
        </w:tc>
      </w:tr>
    </w:tbl>
    <w:p>
      <w:pPr>
        <w:spacing w:line="269" w:lineRule="auto"/>
        <w:rPr>
          <w:rFonts w:ascii="Arial"/>
          <w:sz w:val="21"/>
        </w:rPr>
      </w:pPr>
    </w:p>
    <w:p>
      <w:pPr>
        <w:spacing w:line="270" w:lineRule="auto"/>
        <w:rPr>
          <w:rFonts w:ascii="Arial"/>
          <w:sz w:val="21"/>
        </w:rPr>
      </w:pPr>
    </w:p>
    <w:p>
      <w:pPr>
        <w:spacing w:before="65" w:line="230" w:lineRule="auto"/>
        <w:outlineLvl w:val="1"/>
        <w:rPr>
          <w:rFonts w:ascii="SimHei" w:eastAsia="SimHei" w:hAnsi="SimHei" w:cs="SimHei"/>
          <w:sz w:val="20"/>
          <w:szCs w:val="20"/>
        </w:rPr>
      </w:pPr>
      <w:r>
        <w:rPr>
          <w:rFonts w:ascii="SimHei" w:eastAsia="SimHei" w:hAnsi="SimHei" w:cs="SimHei"/>
          <w:spacing w:val="7"/>
          <w:sz w:val="20"/>
          <w:szCs w:val="20"/>
        </w:rPr>
        <w:t>6.4</w:t>
      </w:r>
      <w:r>
        <w:rPr>
          <w:rFonts w:ascii="SimHei" w:eastAsia="SimHei" w:hAnsi="SimHei" w:cs="SimHei"/>
          <w:spacing w:val="7"/>
          <w:sz w:val="20"/>
          <w:szCs w:val="20"/>
        </w:rPr>
        <w:t xml:space="preserve">  </w:t>
      </w:r>
      <w:r>
        <w:rPr>
          <w:rFonts w:ascii="SimHei" w:eastAsia="SimHei" w:hAnsi="SimHei" w:cs="SimHei"/>
          <w:spacing w:val="7"/>
          <w:sz w:val="20"/>
          <w:szCs w:val="20"/>
        </w:rPr>
        <w:t>不进行纯度分析</w:t>
      </w:r>
    </w:p>
    <w:p>
      <w:pPr>
        <w:spacing w:before="218" w:line="228" w:lineRule="auto"/>
        <w:ind w:left="420"/>
        <w:rPr>
          <w:rFonts w:ascii="SimSun" w:eastAsia="SimSun" w:hAnsi="SimSun" w:cs="SimSun"/>
          <w:sz w:val="20"/>
          <w:szCs w:val="20"/>
        </w:rPr>
      </w:pPr>
      <w:r>
        <w:rPr>
          <w:rFonts w:ascii="SimSun" w:eastAsia="SimSun" w:hAnsi="SimSun" w:cs="SimSun"/>
          <w:spacing w:val="9"/>
          <w:sz w:val="20"/>
          <w:szCs w:val="20"/>
        </w:rPr>
        <w:t>对于既不关键也不重要的杂质，则无须进行纯度分析。</w:t>
      </w:r>
    </w:p>
    <w:p>
      <w:pPr>
        <w:spacing w:before="221" w:line="229" w:lineRule="auto"/>
        <w:outlineLvl w:val="1"/>
        <w:rPr>
          <w:rFonts w:ascii="SimHei" w:eastAsia="SimHei" w:hAnsi="SimHei" w:cs="SimHei"/>
          <w:sz w:val="20"/>
          <w:szCs w:val="20"/>
        </w:rPr>
      </w:pPr>
      <w:r>
        <w:rPr>
          <w:rFonts w:ascii="SimHei" w:eastAsia="SimHei" w:hAnsi="SimHei" w:cs="SimHei"/>
          <w:spacing w:val="8"/>
          <w:sz w:val="20"/>
          <w:szCs w:val="20"/>
        </w:rPr>
        <w:t>6.5</w:t>
      </w:r>
      <w:r>
        <w:rPr>
          <w:rFonts w:ascii="SimHei" w:eastAsia="SimHei" w:hAnsi="SimHei" w:cs="SimHei"/>
          <w:spacing w:val="8"/>
          <w:sz w:val="20"/>
          <w:szCs w:val="20"/>
        </w:rPr>
        <w:t xml:space="preserve">  </w:t>
      </w:r>
      <w:r>
        <w:rPr>
          <w:rFonts w:ascii="SimHei" w:eastAsia="SimHei" w:hAnsi="SimHei" w:cs="SimHei"/>
          <w:spacing w:val="8"/>
          <w:sz w:val="20"/>
          <w:szCs w:val="20"/>
        </w:rPr>
        <w:t>未检出（但预计存在）杂质的物质的量分数的估算</w:t>
      </w:r>
    </w:p>
    <w:p>
      <w:pPr>
        <w:spacing w:before="220" w:line="258" w:lineRule="auto"/>
        <w:ind w:left="14" w:firstLine="407"/>
        <w:rPr>
          <w:rFonts w:ascii="SimSun" w:eastAsia="SimSun" w:hAnsi="SimSun" w:cs="SimSun"/>
          <w:sz w:val="20"/>
          <w:szCs w:val="20"/>
        </w:rPr>
      </w:pPr>
      <w:r>
        <w:rPr>
          <w:rFonts w:ascii="SimSun" w:eastAsia="SimSun" w:hAnsi="SimSun" w:cs="SimSun"/>
          <w:spacing w:val="8"/>
          <w:sz w:val="20"/>
          <w:szCs w:val="20"/>
        </w:rPr>
        <w:t>有时，预计原料中存在某种杂质（通过经验知识或由第</w:t>
      </w:r>
      <w:r>
        <w:rPr>
          <w:rFonts w:ascii="SimSun" w:eastAsia="SimSun" w:hAnsi="SimSun" w:cs="SimSun"/>
          <w:spacing w:val="7"/>
          <w:sz w:val="20"/>
          <w:szCs w:val="20"/>
        </w:rPr>
        <w:t>三方，如原料的生产商，提供的信息</w:t>
      </w:r>
      <w:r>
        <w:rPr>
          <w:rFonts w:ascii="SimSun" w:eastAsia="SimSun" w:hAnsi="SimSun" w:cs="SimSun"/>
          <w:spacing w:val="-3"/>
          <w:sz w:val="20"/>
          <w:szCs w:val="20"/>
        </w:rPr>
        <w:t>），</w:t>
      </w:r>
      <w:r>
        <w:rPr>
          <w:rFonts w:ascii="SimSun" w:eastAsia="SimSun" w:hAnsi="SimSun" w:cs="SimSun"/>
          <w:spacing w:val="7"/>
          <w:sz w:val="20"/>
          <w:szCs w:val="20"/>
        </w:rPr>
        <w:t xml:space="preserve">但 </w:t>
      </w:r>
      <w:r>
        <w:rPr>
          <w:rFonts w:ascii="SimSun" w:eastAsia="SimSun" w:hAnsi="SimSun" w:cs="SimSun"/>
          <w:spacing w:val="4"/>
          <w:sz w:val="20"/>
          <w:szCs w:val="20"/>
        </w:rPr>
        <w:t>当进行溯源性或参考性纯度分析时，该杂质不能由所用分析方法检出，或其含量低于分析方法的检出限。</w:t>
      </w:r>
    </w:p>
    <w:p>
      <w:pPr>
        <w:spacing w:before="32" w:line="273" w:lineRule="auto"/>
        <w:ind w:left="5" w:right="70" w:firstLine="414"/>
        <w:rPr>
          <w:rFonts w:ascii="SimSun" w:eastAsia="SimSun" w:hAnsi="SimSun" w:cs="SimSun"/>
          <w:sz w:val="20"/>
          <w:szCs w:val="20"/>
        </w:rPr>
      </w:pPr>
      <w:r>
        <w:rPr>
          <w:rFonts w:ascii="SimSun" w:eastAsia="SimSun" w:hAnsi="SimSun" w:cs="SimSun"/>
          <w:spacing w:val="10"/>
          <w:sz w:val="20"/>
          <w:szCs w:val="20"/>
        </w:rPr>
        <w:t>在这种情况下，如果没有一种更合适和</w:t>
      </w:r>
      <w:r>
        <w:rPr>
          <w:rFonts w:ascii="Calibri" w:eastAsia="Calibri" w:hAnsi="Calibri" w:cs="Calibri"/>
          <w:spacing w:val="10"/>
          <w:sz w:val="20"/>
          <w:szCs w:val="20"/>
        </w:rPr>
        <w:t>/</w:t>
      </w:r>
      <w:r>
        <w:rPr>
          <w:rFonts w:ascii="SimSun" w:eastAsia="SimSun" w:hAnsi="SimSun" w:cs="SimSun"/>
          <w:spacing w:val="10"/>
          <w:sz w:val="20"/>
          <w:szCs w:val="20"/>
        </w:rPr>
        <w:t>或更灵敏的分析方法，预计存在杂质的物质的量分数应设</w:t>
      </w:r>
      <w:r>
        <w:rPr>
          <w:rFonts w:ascii="SimSun" w:eastAsia="SimSun" w:hAnsi="SimSun" w:cs="SimSun"/>
          <w:spacing w:val="17"/>
          <w:sz w:val="20"/>
          <w:szCs w:val="20"/>
        </w:rPr>
        <w:t xml:space="preserve"> </w:t>
      </w:r>
      <w:r>
        <w:rPr>
          <w:rFonts w:ascii="SimSun" w:eastAsia="SimSun" w:hAnsi="SimSun" w:cs="SimSun"/>
          <w:spacing w:val="8"/>
          <w:sz w:val="20"/>
          <w:szCs w:val="20"/>
        </w:rPr>
        <w:t>定为分析方法检出限的一半。</w:t>
      </w:r>
    </w:p>
    <w:p>
      <w:pPr>
        <w:pStyle w:val="BodyText"/>
        <w:spacing w:before="64" w:line="268" w:lineRule="auto"/>
        <w:ind w:left="2" w:right="70" w:firstLine="419"/>
        <w:rPr>
          <w:rFonts w:ascii="SimSun" w:eastAsia="SimSun" w:hAnsi="SimSun" w:cs="SimSun"/>
        </w:rPr>
      </w:pPr>
      <w:r>
        <w:rPr>
          <w:rFonts w:ascii="SimSun" w:eastAsia="SimSun" w:hAnsi="SimSun" w:cs="SimSun"/>
          <w:spacing w:val="12"/>
        </w:rPr>
        <w:t>使用该方法得到的未检出杂质的不确定度在从零到分析方法检出限区间内服从矩形分布，也就是</w:t>
      </w:r>
      <w:r>
        <w:rPr>
          <w:rFonts w:ascii="SimSun" w:eastAsia="SimSun" w:hAnsi="SimSun" w:cs="SimSun"/>
          <w:spacing w:val="18"/>
        </w:rPr>
        <w:t xml:space="preserve"> </w:t>
      </w:r>
      <w:r>
        <w:rPr>
          <w:rFonts w:ascii="SimSun" w:eastAsia="SimSun" w:hAnsi="SimSun" w:cs="SimSun"/>
          <w:spacing w:val="8"/>
        </w:rPr>
        <w:t>说，假定原料中该杂质含量出现在零到检出限之间的概率是相</w:t>
      </w:r>
      <w:r>
        <w:rPr>
          <w:rFonts w:ascii="SimSun" w:eastAsia="SimSun" w:hAnsi="SimSun" w:cs="SimSun"/>
          <w:spacing w:val="7"/>
        </w:rPr>
        <w:t>等的。因此，未检出的杂质含量按矩形概</w:t>
      </w:r>
      <w:r>
        <w:rPr>
          <w:rFonts w:ascii="SimSun" w:eastAsia="SimSun" w:hAnsi="SimSun" w:cs="SimSun"/>
        </w:rPr>
        <w:t xml:space="preserve"> </w:t>
      </w:r>
      <w:r>
        <w:rPr>
          <w:rFonts w:ascii="SimSun" w:eastAsia="SimSun" w:hAnsi="SimSun" w:cs="SimSun"/>
          <w:spacing w:val="8"/>
        </w:rPr>
        <w:t>率分布处理，由公式（</w:t>
      </w:r>
      <w:r>
        <w:rPr>
          <w:spacing w:val="8"/>
        </w:rPr>
        <w:t>2</w:t>
      </w:r>
      <w:r>
        <w:rPr>
          <w:rFonts w:ascii="SimSun" w:eastAsia="SimSun" w:hAnsi="SimSun" w:cs="SimSun"/>
          <w:spacing w:val="8"/>
        </w:rPr>
        <w:t>）确定其标准不确定度。</w:t>
      </w:r>
    </w:p>
    <w:p>
      <w:pPr>
        <w:spacing w:line="311" w:lineRule="auto"/>
        <w:rPr>
          <w:rFonts w:ascii="Arial"/>
          <w:sz w:val="21"/>
        </w:rPr>
      </w:pPr>
    </w:p>
    <w:p>
      <w:pPr>
        <w:spacing w:before="66" w:line="230" w:lineRule="auto"/>
        <w:ind w:left="1"/>
        <w:outlineLvl w:val="0"/>
        <w:rPr>
          <w:rFonts w:ascii="SimHei" w:eastAsia="SimHei" w:hAnsi="SimHei" w:cs="SimHei"/>
          <w:sz w:val="20"/>
          <w:szCs w:val="20"/>
        </w:rPr>
      </w:pPr>
      <w:r>
        <w:rPr>
          <w:rFonts w:ascii="SimHei" w:eastAsia="SimHei" w:hAnsi="SimHei" w:cs="SimHei"/>
          <w:spacing w:val="7"/>
          <w:sz w:val="20"/>
          <w:szCs w:val="20"/>
        </w:rPr>
        <w:t>7</w:t>
      </w:r>
      <w:r>
        <w:rPr>
          <w:rFonts w:ascii="SimHei" w:eastAsia="SimHei" w:hAnsi="SimHei" w:cs="SimHei"/>
          <w:spacing w:val="7"/>
          <w:sz w:val="20"/>
          <w:szCs w:val="20"/>
        </w:rPr>
        <w:t xml:space="preserve">  </w:t>
      </w:r>
      <w:r>
        <w:rPr>
          <w:rFonts w:ascii="SimHei" w:eastAsia="SimHei" w:hAnsi="SimHei" w:cs="SimHei"/>
          <w:spacing w:val="7"/>
          <w:sz w:val="20"/>
          <w:szCs w:val="20"/>
        </w:rPr>
        <w:t>纯度数据的使用</w:t>
      </w:r>
    </w:p>
    <w:p>
      <w:pPr>
        <w:spacing w:line="307" w:lineRule="auto"/>
        <w:rPr>
          <w:rFonts w:ascii="Arial"/>
          <w:sz w:val="21"/>
        </w:rPr>
        <w:sectPr>
          <w:footerReference w:type="default" r:id="rId17"/>
          <w:pgSz w:w="11906" w:h="16839"/>
          <w:pgMar w:top="1406" w:right="1063" w:bottom="1313" w:left="1425" w:header="0" w:footer="1134" w:gutter="0"/>
          <w:pgNumType w:start="11"/>
          <w:cols w:space="708"/>
        </w:sectPr>
      </w:pPr>
    </w:p>
    <w:p>
      <w:pPr>
        <w:spacing w:before="65" w:line="230" w:lineRule="auto"/>
        <w:ind w:left="1"/>
        <w:outlineLvl w:val="1"/>
        <w:rPr>
          <w:rFonts w:ascii="SimHei" w:eastAsia="SimHei" w:hAnsi="SimHei" w:cs="SimHei"/>
          <w:sz w:val="20"/>
          <w:szCs w:val="20"/>
        </w:rPr>
      </w:pPr>
      <w:r>
        <w:rPr>
          <w:rFonts w:ascii="SimHei" w:eastAsia="SimHei" w:hAnsi="SimHei" w:cs="SimHei"/>
          <w:spacing w:val="8"/>
          <w:sz w:val="20"/>
          <w:szCs w:val="20"/>
        </w:rPr>
        <w:t>7.1</w:t>
      </w:r>
      <w:r>
        <w:rPr>
          <w:rFonts w:ascii="SimHei" w:eastAsia="SimHei" w:hAnsi="SimHei" w:cs="SimHei"/>
          <w:spacing w:val="8"/>
          <w:sz w:val="20"/>
          <w:szCs w:val="20"/>
        </w:rPr>
        <w:t xml:space="preserve">  </w:t>
      </w:r>
      <w:r>
        <w:rPr>
          <w:rFonts w:ascii="SimHei" w:eastAsia="SimHei" w:hAnsi="SimHei" w:cs="SimHei"/>
          <w:spacing w:val="8"/>
          <w:sz w:val="20"/>
          <w:szCs w:val="20"/>
        </w:rPr>
        <w:t>主组分的物质的量分数的计算</w:t>
      </w:r>
    </w:p>
    <w:p>
      <w:pPr>
        <w:pStyle w:val="BodyText"/>
        <w:spacing w:before="219" w:line="228" w:lineRule="auto"/>
        <w:ind w:left="420"/>
        <w:rPr>
          <w:rFonts w:ascii="SimSun" w:eastAsia="SimSun" w:hAnsi="SimSun" w:cs="SimSun"/>
        </w:rPr>
      </w:pPr>
      <w:r>
        <w:rPr>
          <w:rFonts w:ascii="SimSun" w:eastAsia="SimSun" w:hAnsi="SimSun" w:cs="SimSun"/>
          <w:spacing w:val="9"/>
        </w:rPr>
        <w:t>所分析原料中主组分的物质的量分数由公式（</w:t>
      </w:r>
      <w:r>
        <w:rPr>
          <w:spacing w:val="9"/>
        </w:rPr>
        <w:t>3</w:t>
      </w:r>
      <w:r>
        <w:rPr>
          <w:rFonts w:ascii="SimSun" w:eastAsia="SimSun" w:hAnsi="SimSun" w:cs="SimSun"/>
          <w:spacing w:val="9"/>
        </w:rPr>
        <w:t>）进行计算：</w:t>
      </w:r>
    </w:p>
    <w:p>
      <w:pPr>
        <w:pStyle w:val="BodyText"/>
        <w:spacing w:before="128" w:line="222" w:lineRule="auto"/>
        <w:ind w:left="4011"/>
      </w:pPr>
      <w:r>
        <w:rPr>
          <w:i/>
          <w:iCs/>
          <w:spacing w:val="-6"/>
          <w:position w:val="1"/>
        </w:rPr>
        <w:t>x</w:t>
      </w:r>
      <w:r>
        <w:rPr>
          <w:spacing w:val="-6"/>
          <w:position w:val="-3"/>
          <w:sz w:val="11"/>
          <w:szCs w:val="11"/>
        </w:rPr>
        <w:t xml:space="preserve">kj   </w:t>
      </w:r>
      <w:r>
        <w:rPr>
          <w:rFonts w:ascii="Microsoft YaHei" w:eastAsia="Microsoft YaHei" w:hAnsi="Microsoft YaHei" w:cs="Microsoft YaHei"/>
          <w:spacing w:val="-6"/>
          <w:position w:val="1"/>
        </w:rPr>
        <w:t xml:space="preserve">= </w:t>
      </w:r>
      <w:r>
        <w:rPr>
          <w:spacing w:val="-6"/>
          <w:position w:val="1"/>
        </w:rPr>
        <w:t>1</w:t>
      </w:r>
      <w:r>
        <w:rPr>
          <w:position w:val="1"/>
        </w:rPr>
        <w:t xml:space="preserve"> </w:t>
      </w:r>
      <w:r>
        <w:rPr>
          <w:rFonts w:ascii="Microsoft YaHei" w:eastAsia="Microsoft YaHei" w:hAnsi="Microsoft YaHei" w:cs="Microsoft YaHei"/>
          <w:spacing w:val="-2"/>
          <w:w w:val="56"/>
          <w:position w:val="1"/>
        </w:rPr>
        <w:t>一</w:t>
      </w:r>
      <w:r>
        <w:rPr>
          <w:rFonts w:ascii="Microsoft YaHei" w:eastAsia="Microsoft YaHei" w:hAnsi="Microsoft YaHei" w:cs="Microsoft YaHei"/>
          <w:spacing w:val="8"/>
          <w:position w:val="1"/>
        </w:rPr>
        <w:t xml:space="preserve">  </w:t>
      </w:r>
      <w:r>
        <w:rPr>
          <w:position w:val="-5"/>
        </w:rPr>
        <w:drawing>
          <wp:inline distT="0" distB="0" distL="0" distR="0">
            <wp:extent cx="125141" cy="19576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8"/>
                    <a:stretch>
                      <a:fillRect/>
                    </a:stretch>
                  </pic:blipFill>
                  <pic:spPr>
                    <a:xfrm>
                      <a:off x="0" y="0"/>
                      <a:ext cx="125141" cy="195761"/>
                    </a:xfrm>
                    <a:prstGeom prst="rect">
                      <a:avLst/>
                    </a:prstGeom>
                  </pic:spPr>
                </pic:pic>
              </a:graphicData>
            </a:graphic>
          </wp:inline>
        </w:drawing>
      </w:r>
      <w:r>
        <w:rPr>
          <w:rFonts w:ascii="Microsoft YaHei" w:eastAsia="Microsoft YaHei" w:hAnsi="Microsoft YaHei" w:cs="Microsoft YaHei"/>
          <w:spacing w:val="-20"/>
          <w:position w:val="1"/>
        </w:rPr>
        <w:t xml:space="preserve"> </w:t>
      </w:r>
      <w:r>
        <w:rPr>
          <w:i/>
          <w:iCs/>
          <w:spacing w:val="-6"/>
          <w:position w:val="1"/>
        </w:rPr>
        <w:t>x</w:t>
      </w:r>
      <w:r>
        <w:rPr>
          <w:spacing w:val="-6"/>
          <w:position w:val="-3"/>
          <w:sz w:val="11"/>
          <w:szCs w:val="11"/>
        </w:rPr>
        <w:t xml:space="preserve">ij            </w:t>
      </w:r>
      <w:r>
        <w:rPr>
          <w:spacing w:val="-6"/>
          <w:position w:val="1"/>
        </w:rPr>
        <w:t>…</w:t>
      </w:r>
      <w:r>
        <w:rPr>
          <w:spacing w:val="-26"/>
          <w:position w:val="1"/>
        </w:rPr>
        <w:t xml:space="preserve"> </w:t>
      </w:r>
      <w:r>
        <w:rPr>
          <w:spacing w:val="-6"/>
          <w:position w:val="1"/>
        </w:rPr>
        <w:t>…</w:t>
      </w:r>
      <w:r>
        <w:rPr>
          <w:spacing w:val="-27"/>
          <w:position w:val="1"/>
        </w:rPr>
        <w:t xml:space="preserve"> </w:t>
      </w:r>
      <w:r>
        <w:rPr>
          <w:spacing w:val="-6"/>
          <w:position w:val="1"/>
        </w:rPr>
        <w:t>…</w:t>
      </w:r>
      <w:r>
        <w:rPr>
          <w:spacing w:val="-25"/>
          <w:position w:val="1"/>
        </w:rPr>
        <w:t xml:space="preserve"> </w:t>
      </w:r>
      <w:r>
        <w:rPr>
          <w:spacing w:val="-6"/>
          <w:position w:val="1"/>
        </w:rPr>
        <w:t>…</w:t>
      </w:r>
      <w:r>
        <w:rPr>
          <w:spacing w:val="-26"/>
          <w:position w:val="1"/>
        </w:rPr>
        <w:t xml:space="preserve"> </w:t>
      </w:r>
      <w:r>
        <w:rPr>
          <w:spacing w:val="-6"/>
          <w:position w:val="1"/>
        </w:rPr>
        <w:t>…</w:t>
      </w:r>
      <w:r>
        <w:rPr>
          <w:spacing w:val="-25"/>
          <w:position w:val="1"/>
        </w:rPr>
        <w:t xml:space="preserve"> </w:t>
      </w:r>
      <w:r>
        <w:rPr>
          <w:spacing w:val="-6"/>
          <w:position w:val="1"/>
        </w:rPr>
        <w:t>…</w:t>
      </w:r>
      <w:r>
        <w:rPr>
          <w:spacing w:val="-27"/>
          <w:position w:val="1"/>
        </w:rPr>
        <w:t xml:space="preserve"> </w:t>
      </w:r>
      <w:r>
        <w:rPr>
          <w:spacing w:val="-6"/>
          <w:position w:val="1"/>
        </w:rPr>
        <w:t>…</w:t>
      </w:r>
      <w:r>
        <w:rPr>
          <w:spacing w:val="-24"/>
          <w:position w:val="1"/>
        </w:rPr>
        <w:t xml:space="preserve"> </w:t>
      </w:r>
      <w:r>
        <w:rPr>
          <w:spacing w:val="-6"/>
          <w:position w:val="1"/>
        </w:rPr>
        <w:t>…</w:t>
      </w:r>
      <w:r>
        <w:rPr>
          <w:spacing w:val="-27"/>
          <w:position w:val="1"/>
        </w:rPr>
        <w:t xml:space="preserve"> </w:t>
      </w:r>
      <w:r>
        <w:rPr>
          <w:spacing w:val="-6"/>
          <w:position w:val="1"/>
        </w:rPr>
        <w:t>…</w:t>
      </w:r>
      <w:r>
        <w:rPr>
          <w:spacing w:val="-24"/>
          <w:position w:val="1"/>
        </w:rPr>
        <w:t xml:space="preserve"> </w:t>
      </w:r>
      <w:r>
        <w:rPr>
          <w:spacing w:val="-6"/>
          <w:position w:val="1"/>
        </w:rPr>
        <w:t>…</w:t>
      </w:r>
      <w:r>
        <w:rPr>
          <w:spacing w:val="-27"/>
          <w:position w:val="1"/>
        </w:rPr>
        <w:t xml:space="preserve"> </w:t>
      </w:r>
      <w:r>
        <w:rPr>
          <w:spacing w:val="-6"/>
          <w:position w:val="1"/>
        </w:rPr>
        <w:t>…</w:t>
      </w:r>
      <w:r>
        <w:rPr>
          <w:spacing w:val="-24"/>
          <w:position w:val="1"/>
        </w:rPr>
        <w:t xml:space="preserve"> </w:t>
      </w:r>
      <w:r>
        <w:rPr>
          <w:spacing w:val="-6"/>
          <w:position w:val="1"/>
        </w:rPr>
        <w:t>…</w:t>
      </w:r>
      <w:r>
        <w:rPr>
          <w:spacing w:val="-27"/>
          <w:position w:val="1"/>
        </w:rPr>
        <w:t xml:space="preserve"> </w:t>
      </w:r>
      <w:r>
        <w:rPr>
          <w:spacing w:val="-6"/>
          <w:position w:val="1"/>
        </w:rPr>
        <w:t>…</w:t>
      </w:r>
      <w:r>
        <w:rPr>
          <w:spacing w:val="-25"/>
          <w:position w:val="1"/>
        </w:rPr>
        <w:t xml:space="preserve"> </w:t>
      </w:r>
      <w:r>
        <w:rPr>
          <w:spacing w:val="-6"/>
          <w:position w:val="1"/>
        </w:rPr>
        <w:t>…</w:t>
      </w:r>
      <w:r>
        <w:rPr>
          <w:spacing w:val="-26"/>
          <w:position w:val="1"/>
        </w:rPr>
        <w:t xml:space="preserve"> </w:t>
      </w:r>
      <w:r>
        <w:rPr>
          <w:spacing w:val="-6"/>
          <w:position w:val="1"/>
        </w:rPr>
        <w:t>…</w:t>
      </w:r>
      <w:r>
        <w:rPr>
          <w:spacing w:val="-25"/>
          <w:position w:val="1"/>
        </w:rPr>
        <w:t xml:space="preserve"> </w:t>
      </w:r>
      <w:r>
        <w:rPr>
          <w:spacing w:val="-6"/>
          <w:position w:val="1"/>
        </w:rPr>
        <w:t>…</w:t>
      </w:r>
      <w:r>
        <w:rPr>
          <w:spacing w:val="-27"/>
          <w:position w:val="1"/>
        </w:rPr>
        <w:t xml:space="preserve"> </w:t>
      </w:r>
      <w:r>
        <w:rPr>
          <w:spacing w:val="-6"/>
          <w:position w:val="1"/>
        </w:rPr>
        <w:t>…(3)</w:t>
      </w:r>
    </w:p>
    <w:p>
      <w:pPr>
        <w:pStyle w:val="BodyText"/>
        <w:spacing w:line="226" w:lineRule="auto"/>
        <w:ind w:left="4732"/>
        <w:rPr>
          <w:sz w:val="11"/>
          <w:szCs w:val="11"/>
        </w:rPr>
      </w:pP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w:t>
      </w:r>
      <w:r>
        <w:rPr>
          <w:spacing w:val="-6"/>
          <w:w w:val="95"/>
          <w:sz w:val="11"/>
          <w:szCs w:val="11"/>
        </w:rPr>
        <w:t>1</w:t>
      </w: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牛</w:t>
      </w:r>
      <w:r>
        <w:rPr>
          <w:i/>
          <w:iCs/>
          <w:spacing w:val="-6"/>
          <w:w w:val="95"/>
          <w:sz w:val="11"/>
          <w:szCs w:val="11"/>
        </w:rPr>
        <w:t>k</w:t>
      </w:r>
    </w:p>
    <w:p>
      <w:pPr>
        <w:pStyle w:val="BodyText"/>
        <w:spacing w:before="67" w:line="257" w:lineRule="auto"/>
        <w:ind w:right="70" w:firstLine="444"/>
        <w:rPr>
          <w:rFonts w:ascii="SimSun" w:eastAsia="SimSun" w:hAnsi="SimSun" w:cs="SimSun"/>
        </w:rPr>
      </w:pPr>
      <w:r>
        <w:rPr>
          <w:rFonts w:ascii="SimSun" w:eastAsia="SimSun" w:hAnsi="SimSun" w:cs="SimSun"/>
          <w:spacing w:val="8"/>
        </w:rPr>
        <w:t>以物质的量分数表示的“纯</w:t>
      </w:r>
      <w:r>
        <w:rPr>
          <w:rFonts w:ascii="SimSun" w:eastAsia="SimSun" w:hAnsi="SimSun" w:cs="SimSun"/>
          <w:spacing w:val="-70"/>
        </w:rPr>
        <w:t xml:space="preserve"> </w:t>
      </w:r>
      <w:r>
        <w:rPr>
          <w:rFonts w:ascii="SimSun" w:eastAsia="SimSun" w:hAnsi="SimSun" w:cs="SimSun"/>
          <w:spacing w:val="8"/>
        </w:rPr>
        <w:t>”组分的标准不确定度使用</w:t>
      </w:r>
      <w:r>
        <w:rPr>
          <w:rFonts w:ascii="SimSun" w:eastAsia="SimSun" w:hAnsi="SimSun" w:cs="SimSun"/>
          <w:spacing w:val="-42"/>
        </w:rPr>
        <w:t xml:space="preserve"> </w:t>
      </w:r>
      <w:r>
        <w:t>ISO</w:t>
      </w:r>
      <w:r>
        <w:rPr>
          <w:spacing w:val="8"/>
        </w:rPr>
        <w:t>/</w:t>
      </w:r>
      <w:r>
        <w:t>IEC</w:t>
      </w:r>
      <w:r>
        <w:rPr>
          <w:spacing w:val="8"/>
        </w:rPr>
        <w:t xml:space="preserve">  </w:t>
      </w:r>
      <w:r>
        <w:rPr>
          <w:rFonts w:ascii="SimSun" w:eastAsia="SimSun" w:hAnsi="SimSun" w:cs="SimSun"/>
          <w:spacing w:val="8"/>
        </w:rPr>
        <w:t>指南</w:t>
      </w:r>
      <w:r>
        <w:rPr>
          <w:rFonts w:ascii="SimSun" w:eastAsia="SimSun" w:hAnsi="SimSun" w:cs="SimSun"/>
          <w:spacing w:val="-37"/>
        </w:rPr>
        <w:t xml:space="preserve"> </w:t>
      </w:r>
      <w:r>
        <w:rPr>
          <w:spacing w:val="8"/>
        </w:rPr>
        <w:t>98</w:t>
      </w:r>
      <w:r>
        <w:rPr>
          <w:spacing w:val="7"/>
        </w:rPr>
        <w:t>-3 (</w:t>
      </w:r>
      <w:r>
        <w:t>GUM</w:t>
      </w:r>
      <w:r>
        <w:rPr>
          <w:spacing w:val="7"/>
        </w:rPr>
        <w:t>)</w:t>
      </w:r>
      <w:r>
        <w:rPr>
          <w:rFonts w:ascii="SimSun" w:eastAsia="SimSun" w:hAnsi="SimSun" w:cs="SimSun"/>
          <w:spacing w:val="7"/>
        </w:rPr>
        <w:t>中规定的不确定</w:t>
      </w:r>
      <w:r>
        <w:rPr>
          <w:rFonts w:ascii="SimSun" w:eastAsia="SimSun" w:hAnsi="SimSun" w:cs="SimSun"/>
        </w:rPr>
        <w:t xml:space="preserve"> </w:t>
      </w:r>
      <w:r>
        <w:rPr>
          <w:rFonts w:ascii="SimSun" w:eastAsia="SimSun" w:hAnsi="SimSun" w:cs="SimSun"/>
          <w:spacing w:val="8"/>
        </w:rPr>
        <w:t>度传递规则由公式（</w:t>
      </w:r>
      <w:r>
        <w:rPr>
          <w:spacing w:val="8"/>
        </w:rPr>
        <w:t>4</w:t>
      </w:r>
      <w:r>
        <w:rPr>
          <w:rFonts w:ascii="SimSun" w:eastAsia="SimSun" w:hAnsi="SimSun" w:cs="SimSun"/>
          <w:spacing w:val="8"/>
        </w:rPr>
        <w:t>）进行计算：</w:t>
      </w:r>
    </w:p>
    <w:p>
      <w:pPr>
        <w:pStyle w:val="BodyText"/>
        <w:spacing w:before="129" w:line="222" w:lineRule="auto"/>
        <w:ind w:left="3806"/>
      </w:pPr>
      <w:r>
        <w:rPr>
          <w:i/>
          <w:iCs/>
          <w:spacing w:val="-5"/>
        </w:rPr>
        <w:t>u</w:t>
      </w:r>
      <w:r>
        <w:rPr>
          <w:i/>
          <w:iCs/>
          <w:spacing w:val="-14"/>
        </w:rPr>
        <w:t xml:space="preserve"> </w:t>
      </w:r>
      <w:r>
        <w:rPr>
          <w:spacing w:val="-5"/>
          <w:position w:val="9"/>
          <w:sz w:val="11"/>
          <w:szCs w:val="11"/>
        </w:rPr>
        <w:t>2</w:t>
      </w:r>
      <w:r>
        <w:rPr>
          <w:spacing w:val="16"/>
          <w:w w:val="102"/>
          <w:position w:val="9"/>
          <w:sz w:val="11"/>
          <w:szCs w:val="11"/>
        </w:rPr>
        <w:t xml:space="preserve"> </w:t>
      </w:r>
      <w:r>
        <w:rPr>
          <w:spacing w:val="-5"/>
        </w:rPr>
        <w:t>(</w:t>
      </w:r>
      <w:r>
        <w:rPr>
          <w:i/>
          <w:iCs/>
          <w:spacing w:val="-5"/>
        </w:rPr>
        <w:t>x</w:t>
      </w:r>
      <w:r>
        <w:rPr>
          <w:spacing w:val="-5"/>
          <w:position w:val="-4"/>
          <w:sz w:val="11"/>
          <w:szCs w:val="11"/>
        </w:rPr>
        <w:t>kj</w:t>
      </w:r>
      <w:r>
        <w:rPr>
          <w:spacing w:val="7"/>
          <w:position w:val="-4"/>
          <w:sz w:val="11"/>
          <w:szCs w:val="11"/>
        </w:rPr>
        <w:t xml:space="preserve"> </w:t>
      </w:r>
      <w:r>
        <w:rPr>
          <w:spacing w:val="-5"/>
        </w:rPr>
        <w:t xml:space="preserve">) </w:t>
      </w:r>
      <w:r>
        <w:rPr>
          <w:rFonts w:ascii="Microsoft YaHei" w:eastAsia="Microsoft YaHei" w:hAnsi="Microsoft YaHei" w:cs="Microsoft YaHei"/>
          <w:spacing w:val="-5"/>
        </w:rPr>
        <w:t xml:space="preserve">=  </w:t>
      </w:r>
      <w:r>
        <w:rPr>
          <w:position w:val="-6"/>
        </w:rPr>
        <w:drawing>
          <wp:inline distT="0" distB="0" distL="0" distR="0">
            <wp:extent cx="125141" cy="195761"/>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9"/>
                    <a:stretch>
                      <a:fillRect/>
                    </a:stretch>
                  </pic:blipFill>
                  <pic:spPr>
                    <a:xfrm>
                      <a:off x="0" y="0"/>
                      <a:ext cx="125141" cy="195761"/>
                    </a:xfrm>
                    <a:prstGeom prst="rect">
                      <a:avLst/>
                    </a:prstGeom>
                  </pic:spPr>
                </pic:pic>
              </a:graphicData>
            </a:graphic>
          </wp:inline>
        </w:drawing>
      </w:r>
      <w:r>
        <w:rPr>
          <w:rFonts w:ascii="Microsoft YaHei" w:eastAsia="Microsoft YaHei" w:hAnsi="Microsoft YaHei" w:cs="Microsoft YaHei"/>
          <w:spacing w:val="-23"/>
        </w:rPr>
        <w:t xml:space="preserve"> </w:t>
      </w:r>
      <w:r>
        <w:rPr>
          <w:i/>
          <w:iCs/>
          <w:spacing w:val="-5"/>
        </w:rPr>
        <w:t>u</w:t>
      </w:r>
      <w:r>
        <w:rPr>
          <w:i/>
          <w:iCs/>
          <w:spacing w:val="-18"/>
        </w:rPr>
        <w:t xml:space="preserve"> </w:t>
      </w:r>
      <w:r>
        <w:rPr>
          <w:spacing w:val="-5"/>
          <w:position w:val="9"/>
          <w:sz w:val="11"/>
          <w:szCs w:val="11"/>
        </w:rPr>
        <w:t>2</w:t>
      </w:r>
      <w:r>
        <w:rPr>
          <w:spacing w:val="16"/>
          <w:w w:val="102"/>
          <w:position w:val="9"/>
          <w:sz w:val="11"/>
          <w:szCs w:val="11"/>
        </w:rPr>
        <w:t xml:space="preserve"> </w:t>
      </w:r>
      <w:r>
        <w:rPr>
          <w:spacing w:val="-5"/>
        </w:rPr>
        <w:t>(</w:t>
      </w:r>
      <w:r>
        <w:rPr>
          <w:i/>
          <w:iCs/>
          <w:spacing w:val="-5"/>
        </w:rPr>
        <w:t>x</w:t>
      </w:r>
      <w:r>
        <w:rPr>
          <w:spacing w:val="-5"/>
          <w:position w:val="-4"/>
          <w:sz w:val="11"/>
          <w:szCs w:val="11"/>
        </w:rPr>
        <w:t>ij</w:t>
      </w:r>
      <w:r>
        <w:rPr>
          <w:spacing w:val="7"/>
          <w:w w:val="102"/>
          <w:position w:val="-4"/>
          <w:sz w:val="11"/>
          <w:szCs w:val="11"/>
        </w:rPr>
        <w:t xml:space="preserve"> </w:t>
      </w:r>
      <w:r>
        <w:rPr>
          <w:spacing w:val="-5"/>
        </w:rPr>
        <w:t>)</w:t>
      </w:r>
      <w:r>
        <w:rPr>
          <w:spacing w:val="7"/>
        </w:rPr>
        <w:t xml:space="preserve"> </w:t>
      </w:r>
      <w:r>
        <w:rPr>
          <w:spacing w:val="-5"/>
        </w:rPr>
        <w:t>…</w:t>
      </w:r>
      <w:r>
        <w:rPr>
          <w:spacing w:val="-27"/>
        </w:rPr>
        <w:t xml:space="preserve"> </w:t>
      </w:r>
      <w:r>
        <w:rPr>
          <w:spacing w:val="-5"/>
        </w:rPr>
        <w:t>…</w:t>
      </w:r>
      <w:r>
        <w:rPr>
          <w:spacing w:val="-27"/>
        </w:rPr>
        <w:t xml:space="preserve"> </w:t>
      </w:r>
      <w:r>
        <w:rPr>
          <w:spacing w:val="-5"/>
        </w:rPr>
        <w:t>…</w:t>
      </w:r>
      <w:r>
        <w:rPr>
          <w:spacing w:val="-24"/>
        </w:rPr>
        <w:t xml:space="preserve"> </w:t>
      </w:r>
      <w:r>
        <w:rPr>
          <w:spacing w:val="-5"/>
        </w:rPr>
        <w:t>…</w:t>
      </w:r>
      <w:r>
        <w:rPr>
          <w:spacing w:val="-27"/>
        </w:rPr>
        <w:t xml:space="preserve"> </w:t>
      </w:r>
      <w:r>
        <w:rPr>
          <w:spacing w:val="-5"/>
        </w:rPr>
        <w:t>…</w:t>
      </w:r>
      <w:r>
        <w:rPr>
          <w:spacing w:val="-25"/>
        </w:rPr>
        <w:t xml:space="preserve"> </w:t>
      </w:r>
      <w:r>
        <w:rPr>
          <w:spacing w:val="-5"/>
        </w:rPr>
        <w:t>…</w:t>
      </w:r>
      <w:r>
        <w:rPr>
          <w:spacing w:val="-26"/>
        </w:rPr>
        <w:t xml:space="preserve"> </w:t>
      </w:r>
      <w:r>
        <w:rPr>
          <w:spacing w:val="-5"/>
        </w:rPr>
        <w:t>…</w:t>
      </w:r>
      <w:r>
        <w:rPr>
          <w:spacing w:val="-25"/>
        </w:rPr>
        <w:t xml:space="preserve"> </w:t>
      </w:r>
      <w:r>
        <w:rPr>
          <w:spacing w:val="-5"/>
        </w:rPr>
        <w:t>…</w:t>
      </w:r>
      <w:r>
        <w:rPr>
          <w:spacing w:val="-27"/>
        </w:rPr>
        <w:t xml:space="preserve"> </w:t>
      </w:r>
      <w:r>
        <w:rPr>
          <w:spacing w:val="-5"/>
        </w:rPr>
        <w:t>…</w:t>
      </w:r>
      <w:r>
        <w:rPr>
          <w:spacing w:val="-24"/>
        </w:rPr>
        <w:t xml:space="preserve"> </w:t>
      </w:r>
      <w:r>
        <w:rPr>
          <w:spacing w:val="-5"/>
        </w:rPr>
        <w:t>…</w:t>
      </w:r>
      <w:r>
        <w:rPr>
          <w:spacing w:val="-27"/>
        </w:rPr>
        <w:t xml:space="preserve"> </w:t>
      </w:r>
      <w:r>
        <w:rPr>
          <w:spacing w:val="-5"/>
        </w:rPr>
        <w:t>…</w:t>
      </w:r>
      <w:r>
        <w:rPr>
          <w:spacing w:val="-24"/>
        </w:rPr>
        <w:t xml:space="preserve"> </w:t>
      </w:r>
      <w:r>
        <w:rPr>
          <w:spacing w:val="-8"/>
        </w:rPr>
        <w:t>…</w:t>
      </w:r>
      <w:r>
        <w:rPr>
          <w:spacing w:val="-27"/>
        </w:rPr>
        <w:t xml:space="preserve"> </w:t>
      </w:r>
      <w:r>
        <w:rPr>
          <w:spacing w:val="-8"/>
        </w:rPr>
        <w:t>…</w:t>
      </w:r>
      <w:r>
        <w:rPr>
          <w:spacing w:val="-24"/>
        </w:rPr>
        <w:t xml:space="preserve"> </w:t>
      </w:r>
      <w:r>
        <w:rPr>
          <w:spacing w:val="-8"/>
        </w:rPr>
        <w:t>…</w:t>
      </w:r>
      <w:r>
        <w:rPr>
          <w:spacing w:val="-27"/>
        </w:rPr>
        <w:t xml:space="preserve"> </w:t>
      </w:r>
      <w:r>
        <w:rPr>
          <w:spacing w:val="-8"/>
        </w:rPr>
        <w:t>…</w:t>
      </w:r>
      <w:r>
        <w:rPr>
          <w:spacing w:val="-25"/>
        </w:rPr>
        <w:t xml:space="preserve"> </w:t>
      </w:r>
      <w:r>
        <w:rPr>
          <w:spacing w:val="-8"/>
        </w:rPr>
        <w:t>…</w:t>
      </w:r>
      <w:r>
        <w:rPr>
          <w:spacing w:val="-26"/>
        </w:rPr>
        <w:t xml:space="preserve"> </w:t>
      </w:r>
      <w:r>
        <w:rPr>
          <w:spacing w:val="-8"/>
        </w:rPr>
        <w:t>…(4)</w:t>
      </w:r>
    </w:p>
    <w:p>
      <w:pPr>
        <w:pStyle w:val="BodyText"/>
        <w:spacing w:line="226" w:lineRule="auto"/>
        <w:ind w:left="4616"/>
        <w:rPr>
          <w:sz w:val="11"/>
          <w:szCs w:val="11"/>
        </w:rPr>
      </w:pPr>
      <w:r>
        <w:rPr>
          <w:spacing w:val="-6"/>
          <w:w w:val="95"/>
          <w:sz w:val="11"/>
          <w:szCs w:val="11"/>
        </w:rPr>
        <w:t>i</w:t>
      </w:r>
      <w:r>
        <w:rPr>
          <w:spacing w:val="-13"/>
          <w:sz w:val="11"/>
          <w:szCs w:val="11"/>
        </w:rPr>
        <w:t xml:space="preserve"> </w:t>
      </w:r>
      <w:r>
        <w:rPr>
          <w:rFonts w:ascii="Microsoft YaHei" w:eastAsia="Microsoft YaHei" w:hAnsi="Microsoft YaHei" w:cs="Microsoft YaHei"/>
          <w:spacing w:val="-6"/>
          <w:w w:val="95"/>
          <w:sz w:val="11"/>
          <w:szCs w:val="11"/>
        </w:rPr>
        <w:t>=</w:t>
      </w:r>
      <w:r>
        <w:rPr>
          <w:spacing w:val="-6"/>
          <w:w w:val="95"/>
          <w:sz w:val="11"/>
          <w:szCs w:val="11"/>
        </w:rPr>
        <w:t>1</w:t>
      </w: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牛</w:t>
      </w:r>
      <w:r>
        <w:rPr>
          <w:i/>
          <w:iCs/>
          <w:spacing w:val="-6"/>
          <w:w w:val="95"/>
          <w:sz w:val="11"/>
          <w:szCs w:val="11"/>
        </w:rPr>
        <w:t>k</w:t>
      </w:r>
    </w:p>
    <w:p>
      <w:pPr>
        <w:spacing w:before="66" w:line="227" w:lineRule="auto"/>
        <w:ind w:left="315"/>
        <w:rPr>
          <w:rFonts w:ascii="SimSun" w:eastAsia="SimSun" w:hAnsi="SimSun" w:cs="SimSun"/>
          <w:sz w:val="20"/>
          <w:szCs w:val="20"/>
        </w:rPr>
      </w:pPr>
      <w:r>
        <w:rPr>
          <w:rFonts w:ascii="SimSun" w:eastAsia="SimSun" w:hAnsi="SimSun" w:cs="SimSun"/>
          <w:spacing w:val="10"/>
          <w:sz w:val="20"/>
          <w:szCs w:val="20"/>
        </w:rPr>
        <w:t>每种杂质的物质的量分数的不确定度评定均应考虑所有的相关因素。这些因素包括，但不限于，校</w:t>
      </w:r>
    </w:p>
    <w:p>
      <w:pPr>
        <w:spacing w:line="227" w:lineRule="auto"/>
        <w:rPr>
          <w:rFonts w:ascii="SimSun" w:eastAsia="SimSun" w:hAnsi="SimSun" w:cs="SimSun"/>
          <w:sz w:val="20"/>
          <w:szCs w:val="20"/>
        </w:rPr>
        <w:sectPr>
          <w:footerReference w:type="default" r:id="rId20"/>
          <w:type w:val="nextPage"/>
          <w:pgSz w:w="11906" w:h="16839"/>
          <w:pgMar w:top="1406" w:right="1063" w:bottom="1313" w:left="1425" w:header="0" w:footer="1134" w:gutter="0"/>
          <w:pgNumType w:start="12"/>
          <w:cols w:space="708"/>
          <w:titlePg w:val="0"/>
        </w:sectPr>
      </w:pPr>
    </w:p>
    <w:p>
      <w:pPr>
        <w:spacing w:before="42" w:line="265" w:lineRule="exact"/>
        <w:jc w:val="right"/>
        <w:rPr>
          <w:rFonts w:ascii="SimHei" w:eastAsia="SimHei" w:hAnsi="SimHei" w:cs="SimHei"/>
          <w:sz w:val="20"/>
          <w:szCs w:val="20"/>
        </w:rPr>
      </w:pPr>
      <w:r>
        <w:rPr>
          <w:rFonts w:ascii="SimHei" w:eastAsia="SimHei" w:hAnsi="SimHei" w:cs="SimHei"/>
          <w:position w:val="1"/>
          <w:sz w:val="20"/>
          <w:szCs w:val="20"/>
        </w:rPr>
        <w:t>GB</w:t>
      </w:r>
      <w:r>
        <w:rPr>
          <w:rFonts w:ascii="SimHei" w:eastAsia="SimHei" w:hAnsi="SimHei" w:cs="SimHei"/>
          <w:spacing w:val="7"/>
          <w:position w:val="1"/>
          <w:sz w:val="20"/>
          <w:szCs w:val="20"/>
        </w:rPr>
        <w:t>/T</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38521</w:t>
      </w:r>
      <w:r>
        <w:rPr>
          <w:rFonts w:ascii="SimSun" w:eastAsia="SimSun" w:hAnsi="SimSun" w:cs="SimSun"/>
          <w:spacing w:val="7"/>
          <w:position w:val="1"/>
          <w:sz w:val="20"/>
          <w:szCs w:val="20"/>
        </w:rPr>
        <w:t>—</w:t>
      </w:r>
      <w:r>
        <w:rPr>
          <w:rFonts w:ascii="SimHei" w:eastAsia="SimHei" w:hAnsi="SimHei" w:cs="SimHei"/>
          <w:position w:val="1"/>
          <w:sz w:val="20"/>
          <w:szCs w:val="20"/>
        </w:rPr>
        <w:t>xxxx</w:t>
      </w:r>
      <w:r>
        <w:rPr>
          <w:rFonts w:ascii="SimHei" w:eastAsia="SimHei" w:hAnsi="SimHei" w:cs="SimHei"/>
          <w:spacing w:val="7"/>
          <w:position w:val="1"/>
          <w:sz w:val="20"/>
          <w:szCs w:val="20"/>
        </w:rPr>
        <w:t>/</w:t>
      </w:r>
      <w:r>
        <w:rPr>
          <w:rFonts w:ascii="SimHei" w:eastAsia="SimHei" w:hAnsi="SimHei" w:cs="SimHei"/>
          <w:position w:val="1"/>
          <w:sz w:val="20"/>
          <w:szCs w:val="20"/>
        </w:rPr>
        <w:t>ISO</w:t>
      </w:r>
      <w:r>
        <w:rPr>
          <w:rFonts w:ascii="SimHei" w:eastAsia="SimHei" w:hAnsi="SimHei" w:cs="SimHei"/>
          <w:spacing w:val="7"/>
          <w:position w:val="1"/>
          <w:sz w:val="20"/>
          <w:szCs w:val="20"/>
        </w:rPr>
        <w:t xml:space="preserve"> </w:t>
      </w:r>
      <w:r>
        <w:rPr>
          <w:rFonts w:ascii="SimHei" w:eastAsia="SimHei" w:hAnsi="SimHei" w:cs="SimHei"/>
          <w:spacing w:val="7"/>
          <w:position w:val="1"/>
          <w:sz w:val="20"/>
          <w:szCs w:val="20"/>
        </w:rPr>
        <w:t>19229:2019</w:t>
      </w:r>
    </w:p>
    <w:p>
      <w:pPr>
        <w:spacing w:before="265" w:line="225" w:lineRule="auto"/>
        <w:ind w:left="6"/>
        <w:rPr>
          <w:rFonts w:ascii="SimSun" w:eastAsia="SimSun" w:hAnsi="SimSun" w:cs="SimSun"/>
          <w:sz w:val="20"/>
          <w:szCs w:val="20"/>
        </w:rPr>
      </w:pPr>
      <w:r>
        <w:rPr>
          <w:rFonts w:ascii="SimSun" w:eastAsia="SimSun" w:hAnsi="SimSun" w:cs="SimSun"/>
          <w:spacing w:val="9"/>
          <w:sz w:val="20"/>
          <w:szCs w:val="20"/>
        </w:rPr>
        <w:t>准标准的不确定度，分析的重复性和复现性,以及相对响应因子的使用。</w:t>
      </w:r>
    </w:p>
    <w:p>
      <w:pPr>
        <w:spacing w:before="224" w:line="230" w:lineRule="auto"/>
        <w:ind w:left="5"/>
        <w:outlineLvl w:val="1"/>
        <w:rPr>
          <w:rFonts w:ascii="SimHei" w:eastAsia="SimHei" w:hAnsi="SimHei" w:cs="SimHei"/>
          <w:sz w:val="20"/>
          <w:szCs w:val="20"/>
        </w:rPr>
      </w:pPr>
      <w:r>
        <w:rPr>
          <w:rFonts w:ascii="SimHei" w:eastAsia="SimHei" w:hAnsi="SimHei" w:cs="SimHei"/>
          <w:spacing w:val="7"/>
          <w:sz w:val="20"/>
          <w:szCs w:val="20"/>
        </w:rPr>
        <w:t>7.2</w:t>
      </w:r>
      <w:r>
        <w:rPr>
          <w:rFonts w:ascii="SimHei" w:eastAsia="SimHei" w:hAnsi="SimHei" w:cs="SimHei"/>
          <w:spacing w:val="7"/>
          <w:sz w:val="20"/>
          <w:szCs w:val="20"/>
        </w:rPr>
        <w:t xml:space="preserve">  </w:t>
      </w:r>
      <w:r>
        <w:rPr>
          <w:rFonts w:ascii="SimHei" w:eastAsia="SimHei" w:hAnsi="SimHei" w:cs="SimHei"/>
          <w:spacing w:val="7"/>
          <w:sz w:val="20"/>
          <w:szCs w:val="20"/>
        </w:rPr>
        <w:t>主组分质量分数的计算</w:t>
      </w:r>
    </w:p>
    <w:p>
      <w:pPr>
        <w:pStyle w:val="BodyText"/>
        <w:spacing w:before="219" w:line="257" w:lineRule="auto"/>
        <w:ind w:right="1" w:firstLine="437"/>
        <w:rPr>
          <w:rFonts w:ascii="SimSun" w:eastAsia="SimSun" w:hAnsi="SimSun" w:cs="SimSun"/>
        </w:rPr>
      </w:pPr>
      <w:r>
        <w:rPr>
          <w:rFonts w:ascii="SimSun" w:eastAsia="SimSun" w:hAnsi="SimSun" w:cs="SimSun"/>
          <w:spacing w:val="7"/>
        </w:rPr>
        <w:t>当纯度分析中使用的测量标准或有证标准物质的纯度数据以质量分数表示时，主组分的质量比分数</w:t>
      </w:r>
      <w:r>
        <w:rPr>
          <w:rFonts w:ascii="SimSun" w:eastAsia="SimSun" w:hAnsi="SimSun" w:cs="SimSun"/>
          <w:spacing w:val="9"/>
        </w:rPr>
        <w:t xml:space="preserve"> </w:t>
      </w:r>
      <w:r>
        <w:rPr>
          <w:i/>
          <w:iCs/>
        </w:rPr>
        <w:t>w</w:t>
      </w:r>
      <w:r>
        <w:rPr>
          <w:position w:val="-1"/>
          <w:sz w:val="13"/>
          <w:szCs w:val="13"/>
        </w:rPr>
        <w:t>kj</w:t>
      </w:r>
      <w:r>
        <w:rPr>
          <w:spacing w:val="5"/>
          <w:position w:val="-1"/>
          <w:sz w:val="13"/>
          <w:szCs w:val="13"/>
        </w:rPr>
        <w:t xml:space="preserve">  </w:t>
      </w:r>
      <w:r>
        <w:rPr>
          <w:rFonts w:ascii="SimSun" w:eastAsia="SimSun" w:hAnsi="SimSun" w:cs="SimSun"/>
          <w:spacing w:val="5"/>
        </w:rPr>
        <w:t>由公式（</w:t>
      </w:r>
      <w:r>
        <w:rPr>
          <w:spacing w:val="5"/>
        </w:rPr>
        <w:t>5</w:t>
      </w:r>
      <w:r>
        <w:rPr>
          <w:rFonts w:ascii="SimSun" w:eastAsia="SimSun" w:hAnsi="SimSun" w:cs="SimSun"/>
          <w:spacing w:val="5"/>
        </w:rPr>
        <w:t>）进行计算：</w:t>
      </w:r>
    </w:p>
    <w:p>
      <w:pPr>
        <w:pStyle w:val="BodyText"/>
        <w:spacing w:before="128" w:line="222" w:lineRule="auto"/>
        <w:ind w:right="1"/>
        <w:jc w:val="right"/>
      </w:pPr>
      <w:r>
        <w:rPr>
          <w:i/>
          <w:iCs/>
          <w:spacing w:val="2"/>
          <w:position w:val="1"/>
        </w:rPr>
        <w:t>w</w:t>
      </w:r>
      <w:r>
        <w:rPr>
          <w:spacing w:val="2"/>
          <w:position w:val="-3"/>
          <w:sz w:val="11"/>
          <w:szCs w:val="11"/>
        </w:rPr>
        <w:t>kj</w:t>
      </w:r>
      <w:r>
        <w:rPr>
          <w:spacing w:val="15"/>
          <w:w w:val="101"/>
          <w:position w:val="-3"/>
          <w:sz w:val="11"/>
          <w:szCs w:val="11"/>
        </w:rPr>
        <w:t xml:space="preserve">  </w:t>
      </w:r>
      <w:r>
        <w:rPr>
          <w:rFonts w:ascii="Microsoft YaHei" w:eastAsia="Microsoft YaHei" w:hAnsi="Microsoft YaHei" w:cs="Microsoft YaHei"/>
          <w:spacing w:val="-8"/>
          <w:position w:val="1"/>
        </w:rPr>
        <w:t>=</w:t>
      </w:r>
      <w:r>
        <w:rPr>
          <w:rFonts w:ascii="Microsoft YaHei" w:eastAsia="Microsoft YaHei" w:hAnsi="Microsoft YaHei" w:cs="Microsoft YaHei"/>
          <w:spacing w:val="-7"/>
          <w:position w:val="1"/>
        </w:rPr>
        <w:t xml:space="preserve"> </w:t>
      </w:r>
      <w:r>
        <w:rPr>
          <w:spacing w:val="-8"/>
          <w:position w:val="1"/>
        </w:rPr>
        <w:t>1</w:t>
      </w:r>
      <w:r>
        <w:rPr>
          <w:spacing w:val="-14"/>
          <w:position w:val="1"/>
        </w:rPr>
        <w:t xml:space="preserve"> </w:t>
      </w:r>
      <w:r>
        <w:rPr>
          <w:rFonts w:ascii="Microsoft YaHei" w:eastAsia="Microsoft YaHei" w:hAnsi="Microsoft YaHei" w:cs="Microsoft YaHei"/>
          <w:spacing w:val="-8"/>
          <w:position w:val="1"/>
        </w:rPr>
        <w:t>-</w:t>
      </w:r>
      <w:r>
        <w:rPr>
          <w:rFonts w:ascii="Microsoft YaHei" w:eastAsia="Microsoft YaHei" w:hAnsi="Microsoft YaHei" w:cs="Microsoft YaHei"/>
          <w:spacing w:val="8"/>
          <w:position w:val="1"/>
        </w:rPr>
        <w:t xml:space="preserve">  </w:t>
      </w:r>
      <w:r>
        <w:rPr>
          <w:position w:val="-5"/>
        </w:rPr>
        <w:drawing>
          <wp:inline distT="0" distB="0" distL="0" distR="0">
            <wp:extent cx="125141" cy="19576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1"/>
                    <a:stretch>
                      <a:fillRect/>
                    </a:stretch>
                  </pic:blipFill>
                  <pic:spPr>
                    <a:xfrm>
                      <a:off x="0" y="0"/>
                      <a:ext cx="125141" cy="195762"/>
                    </a:xfrm>
                    <a:prstGeom prst="rect">
                      <a:avLst/>
                    </a:prstGeom>
                  </pic:spPr>
                </pic:pic>
              </a:graphicData>
            </a:graphic>
          </wp:inline>
        </w:drawing>
      </w:r>
      <w:r>
        <w:rPr>
          <w:rFonts w:ascii="Microsoft YaHei" w:eastAsia="Microsoft YaHei" w:hAnsi="Microsoft YaHei" w:cs="Microsoft YaHei"/>
          <w:spacing w:val="-14"/>
          <w:position w:val="1"/>
        </w:rPr>
        <w:t xml:space="preserve"> </w:t>
      </w:r>
      <w:r>
        <w:rPr>
          <w:i/>
          <w:iCs/>
          <w:spacing w:val="-8"/>
          <w:position w:val="1"/>
        </w:rPr>
        <w:t>w</w:t>
      </w:r>
      <w:r>
        <w:rPr>
          <w:spacing w:val="-9"/>
          <w:position w:val="-3"/>
          <w:sz w:val="11"/>
          <w:szCs w:val="11"/>
        </w:rPr>
        <w:t xml:space="preserve">ij   </w:t>
      </w:r>
      <w:r>
        <w:rPr>
          <w:spacing w:val="-9"/>
          <w:position w:val="1"/>
        </w:rPr>
        <w:t>…</w:t>
      </w:r>
      <w:r>
        <w:rPr>
          <w:spacing w:val="-27"/>
          <w:position w:val="1"/>
        </w:rPr>
        <w:t xml:space="preserve"> </w:t>
      </w:r>
      <w:r>
        <w:rPr>
          <w:spacing w:val="-9"/>
          <w:position w:val="1"/>
        </w:rPr>
        <w:t>…</w:t>
      </w:r>
      <w:r>
        <w:rPr>
          <w:spacing w:val="-27"/>
          <w:position w:val="1"/>
        </w:rPr>
        <w:t xml:space="preserve"> </w:t>
      </w:r>
      <w:r>
        <w:rPr>
          <w:spacing w:val="-9"/>
          <w:position w:val="1"/>
        </w:rPr>
        <w:t>…</w:t>
      </w:r>
      <w:r>
        <w:rPr>
          <w:spacing w:val="-24"/>
          <w:position w:val="1"/>
        </w:rPr>
        <w:t xml:space="preserve"> </w:t>
      </w:r>
      <w:r>
        <w:rPr>
          <w:spacing w:val="-9"/>
          <w:position w:val="1"/>
        </w:rPr>
        <w:t>…</w:t>
      </w:r>
      <w:r>
        <w:rPr>
          <w:spacing w:val="-27"/>
          <w:position w:val="1"/>
        </w:rPr>
        <w:t xml:space="preserve"> </w:t>
      </w:r>
      <w:r>
        <w:rPr>
          <w:spacing w:val="-9"/>
          <w:position w:val="1"/>
        </w:rPr>
        <w:t>…</w:t>
      </w:r>
      <w:r>
        <w:rPr>
          <w:spacing w:val="-25"/>
          <w:position w:val="1"/>
        </w:rPr>
        <w:t xml:space="preserve"> </w:t>
      </w:r>
      <w:r>
        <w:rPr>
          <w:spacing w:val="-9"/>
          <w:position w:val="1"/>
        </w:rPr>
        <w:t>…</w:t>
      </w:r>
      <w:r>
        <w:rPr>
          <w:spacing w:val="-26"/>
          <w:position w:val="1"/>
        </w:rPr>
        <w:t xml:space="preserve"> </w:t>
      </w:r>
      <w:r>
        <w:rPr>
          <w:spacing w:val="-9"/>
          <w:position w:val="1"/>
        </w:rPr>
        <w:t>…</w:t>
      </w:r>
      <w:r>
        <w:rPr>
          <w:spacing w:val="-25"/>
          <w:position w:val="1"/>
        </w:rPr>
        <w:t xml:space="preserve"> </w:t>
      </w:r>
      <w:r>
        <w:rPr>
          <w:spacing w:val="-9"/>
          <w:position w:val="1"/>
        </w:rPr>
        <w:t>…</w:t>
      </w:r>
      <w:r>
        <w:rPr>
          <w:spacing w:val="-27"/>
          <w:position w:val="1"/>
        </w:rPr>
        <w:t xml:space="preserve"> </w:t>
      </w:r>
      <w:r>
        <w:rPr>
          <w:spacing w:val="-9"/>
          <w:position w:val="1"/>
        </w:rPr>
        <w:t>…</w:t>
      </w:r>
      <w:r>
        <w:rPr>
          <w:spacing w:val="-24"/>
          <w:position w:val="1"/>
        </w:rPr>
        <w:t xml:space="preserve"> </w:t>
      </w:r>
      <w:r>
        <w:rPr>
          <w:spacing w:val="-9"/>
          <w:position w:val="1"/>
        </w:rPr>
        <w:t>…</w:t>
      </w:r>
      <w:r>
        <w:rPr>
          <w:spacing w:val="-27"/>
          <w:position w:val="1"/>
        </w:rPr>
        <w:t xml:space="preserve"> </w:t>
      </w:r>
      <w:r>
        <w:rPr>
          <w:spacing w:val="-9"/>
          <w:position w:val="1"/>
        </w:rPr>
        <w:t>…</w:t>
      </w:r>
      <w:r>
        <w:rPr>
          <w:spacing w:val="-24"/>
          <w:position w:val="1"/>
        </w:rPr>
        <w:t xml:space="preserve"> </w:t>
      </w:r>
      <w:r>
        <w:rPr>
          <w:spacing w:val="-9"/>
          <w:position w:val="1"/>
        </w:rPr>
        <w:t>…</w:t>
      </w:r>
      <w:r>
        <w:rPr>
          <w:spacing w:val="-27"/>
          <w:position w:val="1"/>
        </w:rPr>
        <w:t xml:space="preserve"> </w:t>
      </w:r>
      <w:r>
        <w:rPr>
          <w:spacing w:val="-9"/>
          <w:position w:val="1"/>
        </w:rPr>
        <w:t>…</w:t>
      </w:r>
      <w:r>
        <w:rPr>
          <w:spacing w:val="-24"/>
          <w:position w:val="1"/>
        </w:rPr>
        <w:t xml:space="preserve"> </w:t>
      </w:r>
      <w:r>
        <w:rPr>
          <w:spacing w:val="-9"/>
          <w:position w:val="1"/>
        </w:rPr>
        <w:t>…</w:t>
      </w:r>
      <w:r>
        <w:rPr>
          <w:spacing w:val="-27"/>
          <w:position w:val="1"/>
        </w:rPr>
        <w:t xml:space="preserve"> </w:t>
      </w:r>
      <w:r>
        <w:rPr>
          <w:spacing w:val="-9"/>
          <w:position w:val="1"/>
        </w:rPr>
        <w:t>…</w:t>
      </w:r>
      <w:r>
        <w:rPr>
          <w:spacing w:val="-25"/>
          <w:position w:val="1"/>
        </w:rPr>
        <w:t xml:space="preserve"> </w:t>
      </w:r>
      <w:r>
        <w:rPr>
          <w:spacing w:val="-9"/>
          <w:position w:val="1"/>
        </w:rPr>
        <w:t>…</w:t>
      </w:r>
      <w:r>
        <w:rPr>
          <w:spacing w:val="-26"/>
          <w:position w:val="1"/>
        </w:rPr>
        <w:t xml:space="preserve"> </w:t>
      </w:r>
      <w:r>
        <w:rPr>
          <w:spacing w:val="-9"/>
          <w:position w:val="1"/>
        </w:rPr>
        <w:t>…(5)</w:t>
      </w:r>
    </w:p>
    <w:p>
      <w:pPr>
        <w:pStyle w:val="BodyText"/>
        <w:spacing w:line="226" w:lineRule="auto"/>
        <w:ind w:left="4947"/>
        <w:rPr>
          <w:sz w:val="11"/>
          <w:szCs w:val="11"/>
        </w:rPr>
      </w:pP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w:t>
      </w:r>
      <w:r>
        <w:rPr>
          <w:spacing w:val="-6"/>
          <w:w w:val="95"/>
          <w:sz w:val="11"/>
          <w:szCs w:val="11"/>
        </w:rPr>
        <w:t>1</w:t>
      </w: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士</w:t>
      </w:r>
      <w:r>
        <w:rPr>
          <w:i/>
          <w:iCs/>
          <w:spacing w:val="-6"/>
          <w:w w:val="95"/>
          <w:sz w:val="11"/>
          <w:szCs w:val="11"/>
        </w:rPr>
        <w:t>k</w:t>
      </w:r>
    </w:p>
    <w:p>
      <w:pPr>
        <w:pStyle w:val="BodyText"/>
        <w:spacing w:before="66" w:line="228" w:lineRule="auto"/>
        <w:ind w:left="425"/>
        <w:rPr>
          <w:rFonts w:ascii="SimSun" w:eastAsia="SimSun" w:hAnsi="SimSun" w:cs="SimSun"/>
        </w:rPr>
      </w:pPr>
      <w:r>
        <w:rPr>
          <w:rFonts w:ascii="SimSun" w:eastAsia="SimSun" w:hAnsi="SimSun" w:cs="SimSun"/>
          <w:spacing w:val="8"/>
        </w:rPr>
        <w:t>其相关的标准不确定度由公式（</w:t>
      </w:r>
      <w:r>
        <w:rPr>
          <w:spacing w:val="8"/>
        </w:rPr>
        <w:t>6</w:t>
      </w:r>
      <w:r>
        <w:rPr>
          <w:rFonts w:ascii="SimSun" w:eastAsia="SimSun" w:hAnsi="SimSun" w:cs="SimSun"/>
          <w:spacing w:val="8"/>
        </w:rPr>
        <w:t>）计算：</w:t>
      </w:r>
    </w:p>
    <w:p>
      <w:pPr>
        <w:pStyle w:val="BodyText"/>
        <w:spacing w:before="128" w:line="222" w:lineRule="auto"/>
        <w:ind w:right="1"/>
        <w:jc w:val="right"/>
      </w:pPr>
      <w:r>
        <w:rPr>
          <w:i/>
          <w:iCs/>
          <w:spacing w:val="-6"/>
        </w:rPr>
        <w:t>u</w:t>
      </w:r>
      <w:r>
        <w:rPr>
          <w:i/>
          <w:iCs/>
          <w:spacing w:val="-17"/>
        </w:rPr>
        <w:t xml:space="preserve"> </w:t>
      </w:r>
      <w:r>
        <w:rPr>
          <w:spacing w:val="-6"/>
          <w:position w:val="9"/>
          <w:sz w:val="11"/>
          <w:szCs w:val="11"/>
        </w:rPr>
        <w:t>2</w:t>
      </w:r>
      <w:r>
        <w:rPr>
          <w:spacing w:val="16"/>
          <w:w w:val="103"/>
          <w:position w:val="9"/>
          <w:sz w:val="11"/>
          <w:szCs w:val="11"/>
        </w:rPr>
        <w:t xml:space="preserve"> </w:t>
      </w:r>
      <w:r>
        <w:rPr>
          <w:spacing w:val="-6"/>
        </w:rPr>
        <w:t>(</w:t>
      </w:r>
      <w:r>
        <w:rPr>
          <w:i/>
          <w:iCs/>
          <w:spacing w:val="-6"/>
        </w:rPr>
        <w:t>w</w:t>
      </w:r>
      <w:r>
        <w:rPr>
          <w:spacing w:val="-6"/>
          <w:position w:val="-4"/>
          <w:sz w:val="11"/>
          <w:szCs w:val="11"/>
        </w:rPr>
        <w:t>kj</w:t>
      </w:r>
      <w:r>
        <w:rPr>
          <w:spacing w:val="7"/>
          <w:position w:val="-4"/>
          <w:sz w:val="11"/>
          <w:szCs w:val="11"/>
        </w:rPr>
        <w:t xml:space="preserve"> </w:t>
      </w:r>
      <w:r>
        <w:rPr>
          <w:spacing w:val="-6"/>
        </w:rPr>
        <w:t xml:space="preserve">) </w:t>
      </w:r>
      <w:r>
        <w:rPr>
          <w:rFonts w:ascii="Microsoft YaHei" w:eastAsia="Microsoft YaHei" w:hAnsi="Microsoft YaHei" w:cs="Microsoft YaHei"/>
          <w:spacing w:val="-6"/>
        </w:rPr>
        <w:t>=</w:t>
      </w:r>
      <w:r>
        <w:rPr>
          <w:rFonts w:ascii="Microsoft YaHei" w:eastAsia="Microsoft YaHei" w:hAnsi="Microsoft YaHei" w:cs="Microsoft YaHei"/>
          <w:spacing w:val="8"/>
        </w:rPr>
        <w:t xml:space="preserve">  </w:t>
      </w:r>
      <w:r>
        <w:rPr>
          <w:position w:val="-6"/>
        </w:rPr>
        <w:drawing>
          <wp:inline distT="0" distB="0" distL="0" distR="0">
            <wp:extent cx="125141" cy="19576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2"/>
                    <a:stretch>
                      <a:fillRect/>
                    </a:stretch>
                  </pic:blipFill>
                  <pic:spPr>
                    <a:xfrm>
                      <a:off x="0" y="0"/>
                      <a:ext cx="125141" cy="195761"/>
                    </a:xfrm>
                    <a:prstGeom prst="rect">
                      <a:avLst/>
                    </a:prstGeom>
                  </pic:spPr>
                </pic:pic>
              </a:graphicData>
            </a:graphic>
          </wp:inline>
        </w:drawing>
      </w:r>
      <w:r>
        <w:rPr>
          <w:rFonts w:ascii="Microsoft YaHei" w:eastAsia="Microsoft YaHei" w:hAnsi="Microsoft YaHei" w:cs="Microsoft YaHei"/>
          <w:spacing w:val="-23"/>
        </w:rPr>
        <w:t xml:space="preserve"> </w:t>
      </w:r>
      <w:r>
        <w:rPr>
          <w:i/>
          <w:iCs/>
          <w:spacing w:val="-6"/>
        </w:rPr>
        <w:t>u</w:t>
      </w:r>
      <w:r>
        <w:rPr>
          <w:i/>
          <w:iCs/>
          <w:spacing w:val="-18"/>
        </w:rPr>
        <w:t xml:space="preserve"> </w:t>
      </w:r>
      <w:r>
        <w:rPr>
          <w:spacing w:val="-6"/>
          <w:position w:val="9"/>
          <w:sz w:val="11"/>
          <w:szCs w:val="11"/>
        </w:rPr>
        <w:t>2</w:t>
      </w:r>
      <w:r>
        <w:rPr>
          <w:spacing w:val="16"/>
          <w:w w:val="103"/>
          <w:position w:val="9"/>
          <w:sz w:val="11"/>
          <w:szCs w:val="11"/>
        </w:rPr>
        <w:t xml:space="preserve"> </w:t>
      </w:r>
      <w:r>
        <w:rPr>
          <w:spacing w:val="-6"/>
        </w:rPr>
        <w:t>(</w:t>
      </w:r>
      <w:r>
        <w:rPr>
          <w:i/>
          <w:iCs/>
          <w:spacing w:val="-6"/>
        </w:rPr>
        <w:t>w</w:t>
      </w:r>
      <w:r>
        <w:rPr>
          <w:spacing w:val="-6"/>
          <w:position w:val="-4"/>
          <w:sz w:val="11"/>
          <w:szCs w:val="11"/>
        </w:rPr>
        <w:t>ij</w:t>
      </w:r>
      <w:r>
        <w:rPr>
          <w:spacing w:val="7"/>
          <w:w w:val="102"/>
          <w:position w:val="-4"/>
          <w:sz w:val="11"/>
          <w:szCs w:val="11"/>
        </w:rPr>
        <w:t xml:space="preserve"> </w:t>
      </w:r>
      <w:r>
        <w:rPr>
          <w:spacing w:val="-6"/>
        </w:rPr>
        <w:t>)</w:t>
      </w:r>
      <w:r>
        <w:rPr>
          <w:spacing w:val="19"/>
        </w:rPr>
        <w:t xml:space="preserve"> </w:t>
      </w:r>
      <w:r>
        <w:rPr>
          <w:spacing w:val="-6"/>
        </w:rPr>
        <w:t>…</w:t>
      </w:r>
      <w:r>
        <w:rPr>
          <w:spacing w:val="-27"/>
        </w:rPr>
        <w:t xml:space="preserve"> </w:t>
      </w:r>
      <w:r>
        <w:rPr>
          <w:spacing w:val="-6"/>
        </w:rPr>
        <w:t>…</w:t>
      </w:r>
      <w:r>
        <w:rPr>
          <w:spacing w:val="-27"/>
        </w:rPr>
        <w:t xml:space="preserve"> </w:t>
      </w:r>
      <w:r>
        <w:rPr>
          <w:spacing w:val="-6"/>
        </w:rPr>
        <w:t>…</w:t>
      </w:r>
      <w:r>
        <w:rPr>
          <w:spacing w:val="-24"/>
        </w:rPr>
        <w:t xml:space="preserve"> </w:t>
      </w:r>
      <w:r>
        <w:rPr>
          <w:spacing w:val="-6"/>
        </w:rPr>
        <w:t>…</w:t>
      </w:r>
      <w:r>
        <w:rPr>
          <w:spacing w:val="-27"/>
        </w:rPr>
        <w:t xml:space="preserve"> </w:t>
      </w:r>
      <w:r>
        <w:rPr>
          <w:spacing w:val="-6"/>
        </w:rPr>
        <w:t>…</w:t>
      </w:r>
      <w:r>
        <w:rPr>
          <w:spacing w:val="-24"/>
        </w:rPr>
        <w:t xml:space="preserve"> </w:t>
      </w:r>
      <w:r>
        <w:rPr>
          <w:spacing w:val="-6"/>
        </w:rPr>
        <w:t>…</w:t>
      </w:r>
      <w:r>
        <w:rPr>
          <w:spacing w:val="-27"/>
        </w:rPr>
        <w:t xml:space="preserve"> </w:t>
      </w:r>
      <w:r>
        <w:rPr>
          <w:spacing w:val="-6"/>
        </w:rPr>
        <w:t>…</w:t>
      </w:r>
      <w:r>
        <w:rPr>
          <w:spacing w:val="-25"/>
        </w:rPr>
        <w:t xml:space="preserve"> </w:t>
      </w:r>
      <w:r>
        <w:rPr>
          <w:spacing w:val="-9"/>
        </w:rPr>
        <w:t>…</w:t>
      </w:r>
      <w:r>
        <w:rPr>
          <w:spacing w:val="-26"/>
        </w:rPr>
        <w:t xml:space="preserve"> </w:t>
      </w:r>
      <w:r>
        <w:rPr>
          <w:spacing w:val="-9"/>
        </w:rPr>
        <w:t>…</w:t>
      </w:r>
      <w:r>
        <w:rPr>
          <w:spacing w:val="-25"/>
        </w:rPr>
        <w:t xml:space="preserve"> </w:t>
      </w:r>
      <w:r>
        <w:rPr>
          <w:spacing w:val="-9"/>
        </w:rPr>
        <w:t>…</w:t>
      </w:r>
      <w:r>
        <w:rPr>
          <w:spacing w:val="-27"/>
        </w:rPr>
        <w:t xml:space="preserve"> </w:t>
      </w:r>
      <w:r>
        <w:rPr>
          <w:spacing w:val="-9"/>
        </w:rPr>
        <w:t>…</w:t>
      </w:r>
      <w:r>
        <w:rPr>
          <w:spacing w:val="-24"/>
        </w:rPr>
        <w:t xml:space="preserve"> </w:t>
      </w:r>
      <w:r>
        <w:rPr>
          <w:spacing w:val="-9"/>
        </w:rPr>
        <w:t>…</w:t>
      </w:r>
      <w:r>
        <w:rPr>
          <w:spacing w:val="-27"/>
        </w:rPr>
        <w:t xml:space="preserve"> </w:t>
      </w:r>
      <w:r>
        <w:rPr>
          <w:spacing w:val="-9"/>
        </w:rPr>
        <w:t>…</w:t>
      </w:r>
      <w:r>
        <w:rPr>
          <w:spacing w:val="-24"/>
        </w:rPr>
        <w:t xml:space="preserve"> </w:t>
      </w:r>
      <w:r>
        <w:rPr>
          <w:spacing w:val="-9"/>
        </w:rPr>
        <w:t>…</w:t>
      </w:r>
      <w:r>
        <w:rPr>
          <w:spacing w:val="-27"/>
        </w:rPr>
        <w:t xml:space="preserve"> </w:t>
      </w:r>
      <w:r>
        <w:rPr>
          <w:spacing w:val="-9"/>
        </w:rPr>
        <w:t>…</w:t>
      </w:r>
      <w:r>
        <w:rPr>
          <w:spacing w:val="-24"/>
        </w:rPr>
        <w:t xml:space="preserve"> </w:t>
      </w:r>
      <w:r>
        <w:rPr>
          <w:spacing w:val="-9"/>
        </w:rPr>
        <w:t>…</w:t>
      </w:r>
      <w:r>
        <w:rPr>
          <w:spacing w:val="-27"/>
        </w:rPr>
        <w:t xml:space="preserve"> </w:t>
      </w:r>
      <w:r>
        <w:rPr>
          <w:spacing w:val="-9"/>
        </w:rPr>
        <w:t>…(6)</w:t>
      </w:r>
    </w:p>
    <w:p>
      <w:pPr>
        <w:pStyle w:val="BodyText"/>
        <w:spacing w:line="226" w:lineRule="auto"/>
        <w:ind w:left="4576"/>
        <w:rPr>
          <w:sz w:val="11"/>
          <w:szCs w:val="11"/>
        </w:rPr>
      </w:pP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w:t>
      </w:r>
      <w:r>
        <w:rPr>
          <w:spacing w:val="-6"/>
          <w:w w:val="95"/>
          <w:sz w:val="11"/>
          <w:szCs w:val="11"/>
        </w:rPr>
        <w:t>1</w:t>
      </w: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士</w:t>
      </w:r>
      <w:r>
        <w:rPr>
          <w:i/>
          <w:iCs/>
          <w:spacing w:val="-6"/>
          <w:w w:val="95"/>
          <w:sz w:val="11"/>
          <w:szCs w:val="11"/>
        </w:rPr>
        <w:t>k</w:t>
      </w:r>
    </w:p>
    <w:p>
      <w:pPr>
        <w:pStyle w:val="BodyText"/>
        <w:spacing w:before="67" w:line="257" w:lineRule="auto"/>
        <w:ind w:left="21" w:right="1" w:firstLine="406"/>
        <w:rPr>
          <w:rFonts w:ascii="SimSun" w:eastAsia="SimSun" w:hAnsi="SimSun" w:cs="SimSun"/>
        </w:rPr>
      </w:pPr>
      <w:r>
        <w:rPr>
          <w:rFonts w:ascii="SimSun" w:eastAsia="SimSun" w:hAnsi="SimSun" w:cs="SimSun"/>
          <w:spacing w:val="8"/>
        </w:rPr>
        <w:t>如果纯度数据需要以摩尔含量（比如，物质</w:t>
      </w:r>
      <w:r>
        <w:rPr>
          <w:rFonts w:ascii="SimSun" w:eastAsia="SimSun" w:hAnsi="SimSun" w:cs="SimSun"/>
          <w:spacing w:val="7"/>
        </w:rPr>
        <w:t>的量分数）的形式给出，则应已知所有关键和重要杂质</w:t>
      </w:r>
      <w:r>
        <w:rPr>
          <w:rFonts w:ascii="SimSun" w:eastAsia="SimSun" w:hAnsi="SimSun" w:cs="SimSun"/>
        </w:rPr>
        <w:t xml:space="preserve"> </w:t>
      </w:r>
      <w:r>
        <w:rPr>
          <w:rFonts w:ascii="SimSun" w:eastAsia="SimSun" w:hAnsi="SimSun" w:cs="SimSun"/>
          <w:spacing w:val="7"/>
        </w:rPr>
        <w:t>的质量分数及其相关的标准不确定度，应按</w:t>
      </w:r>
      <w:r>
        <w:rPr>
          <w:rFonts w:ascii="SimSun" w:eastAsia="SimSun" w:hAnsi="SimSun" w:cs="SimSun"/>
          <w:spacing w:val="-24"/>
        </w:rPr>
        <w:t xml:space="preserve"> </w:t>
      </w:r>
      <w:r>
        <w:t>ISO</w:t>
      </w:r>
      <w:r>
        <w:rPr>
          <w:spacing w:val="30"/>
          <w:w w:val="101"/>
        </w:rPr>
        <w:t xml:space="preserve"> </w:t>
      </w:r>
      <w:r>
        <w:rPr>
          <w:spacing w:val="7"/>
        </w:rPr>
        <w:t>14912</w:t>
      </w:r>
      <w:r>
        <w:rPr>
          <w:spacing w:val="26"/>
          <w:w w:val="101"/>
        </w:rPr>
        <w:t xml:space="preserve"> </w:t>
      </w:r>
      <w:r>
        <w:rPr>
          <w:rFonts w:ascii="SimSun" w:eastAsia="SimSun" w:hAnsi="SimSun" w:cs="SimSun"/>
          <w:spacing w:val="7"/>
        </w:rPr>
        <w:t>的规定进行数据换算和不确定度评估。</w:t>
      </w:r>
    </w:p>
    <w:p>
      <w:pPr>
        <w:spacing w:before="222" w:line="230" w:lineRule="auto"/>
        <w:ind w:left="5"/>
        <w:outlineLvl w:val="1"/>
        <w:rPr>
          <w:rFonts w:ascii="SimHei" w:eastAsia="SimHei" w:hAnsi="SimHei" w:cs="SimHei"/>
          <w:sz w:val="20"/>
          <w:szCs w:val="20"/>
        </w:rPr>
      </w:pPr>
      <w:r>
        <w:rPr>
          <w:rFonts w:ascii="SimHei" w:eastAsia="SimHei" w:hAnsi="SimHei" w:cs="SimHei"/>
          <w:spacing w:val="7"/>
          <w:sz w:val="20"/>
          <w:szCs w:val="20"/>
        </w:rPr>
        <w:t>7.3</w:t>
      </w:r>
      <w:r>
        <w:rPr>
          <w:rFonts w:ascii="SimHei" w:eastAsia="SimHei" w:hAnsi="SimHei" w:cs="SimHei"/>
          <w:spacing w:val="7"/>
          <w:sz w:val="20"/>
          <w:szCs w:val="20"/>
        </w:rPr>
        <w:t xml:space="preserve">  </w:t>
      </w:r>
      <w:r>
        <w:rPr>
          <w:rFonts w:ascii="SimHei" w:eastAsia="SimHei" w:hAnsi="SimHei" w:cs="SimHei"/>
          <w:spacing w:val="7"/>
          <w:sz w:val="20"/>
          <w:szCs w:val="20"/>
        </w:rPr>
        <w:t>主组分体积分数的计算</w:t>
      </w:r>
    </w:p>
    <w:p>
      <w:pPr>
        <w:pStyle w:val="BodyText"/>
        <w:spacing w:before="186" w:line="273" w:lineRule="auto"/>
        <w:ind w:left="5" w:right="3" w:firstLine="418"/>
        <w:rPr>
          <w:rFonts w:ascii="SimSun" w:eastAsia="SimSun" w:hAnsi="SimSun" w:cs="SimSun"/>
        </w:rPr>
      </w:pPr>
      <w:r>
        <w:rPr>
          <w:rFonts w:ascii="SimSun" w:eastAsia="SimSun" w:hAnsi="SimSun" w:cs="SimSun"/>
          <w:spacing w:val="11"/>
        </w:rPr>
        <w:t>对于气体，纯度数据通常以体积分数</w:t>
      </w:r>
      <w:r>
        <w:rPr>
          <w:spacing w:val="11"/>
        </w:rPr>
        <w:t>(</w:t>
      </w:r>
      <w:r>
        <w:rPr>
          <w:i/>
          <w:iCs/>
          <w:spacing w:val="11"/>
        </w:rPr>
        <w:t>ϕ</w:t>
      </w:r>
      <w:r>
        <w:rPr>
          <w:spacing w:val="11"/>
        </w:rPr>
        <w:t>)</w:t>
      </w:r>
      <w:r>
        <w:rPr>
          <w:rFonts w:ascii="SimSun" w:eastAsia="SimSun" w:hAnsi="SimSun" w:cs="SimSun"/>
          <w:spacing w:val="11"/>
        </w:rPr>
        <w:t>给出。当组分含量以小于一个特定的值的形式给出时，应</w:t>
      </w:r>
      <w:r>
        <w:rPr>
          <w:rFonts w:ascii="SimSun" w:eastAsia="SimSun" w:hAnsi="SimSun" w:cs="SimSun"/>
          <w:spacing w:val="1"/>
        </w:rPr>
        <w:t xml:space="preserve"> </w:t>
      </w:r>
      <w:r>
        <w:rPr>
          <w:rFonts w:ascii="SimSun" w:eastAsia="SimSun" w:hAnsi="SimSun" w:cs="SimSun"/>
          <w:spacing w:val="8"/>
        </w:rPr>
        <w:t>使用</w:t>
      </w:r>
      <w:r>
        <w:rPr>
          <w:rFonts w:ascii="SimSun" w:eastAsia="SimSun" w:hAnsi="SimSun" w:cs="SimSun"/>
          <w:spacing w:val="-31"/>
        </w:rPr>
        <w:t xml:space="preserve"> </w:t>
      </w:r>
      <w:r>
        <w:rPr>
          <w:spacing w:val="8"/>
        </w:rPr>
        <w:t>6.3</w:t>
      </w:r>
      <w:r>
        <w:rPr>
          <w:spacing w:val="32"/>
        </w:rPr>
        <w:t xml:space="preserve"> </w:t>
      </w:r>
      <w:r>
        <w:rPr>
          <w:rFonts w:ascii="SimSun" w:eastAsia="SimSun" w:hAnsi="SimSun" w:cs="SimSun"/>
          <w:spacing w:val="8"/>
        </w:rPr>
        <w:t>中的方法估算组分的体积分数及其相关的标准不确定度。此时，</w:t>
      </w:r>
      <w:r>
        <w:rPr>
          <w:i/>
          <w:iCs/>
        </w:rPr>
        <w:t>L</w:t>
      </w:r>
      <w:r>
        <w:rPr>
          <w:position w:val="-1"/>
          <w:sz w:val="13"/>
          <w:szCs w:val="13"/>
        </w:rPr>
        <w:t>ij</w:t>
      </w:r>
      <w:r>
        <w:rPr>
          <w:spacing w:val="11"/>
          <w:w w:val="101"/>
          <w:position w:val="-1"/>
          <w:sz w:val="13"/>
          <w:szCs w:val="13"/>
        </w:rPr>
        <w:t xml:space="preserve"> </w:t>
      </w:r>
      <w:r>
        <w:rPr>
          <w:rFonts w:ascii="SimSun" w:eastAsia="SimSun" w:hAnsi="SimSun" w:cs="SimSun"/>
          <w:spacing w:val="8"/>
        </w:rPr>
        <w:t>表示目标组分的上限值。</w:t>
      </w:r>
    </w:p>
    <w:p>
      <w:pPr>
        <w:pStyle w:val="BodyText"/>
        <w:spacing w:before="32" w:line="277" w:lineRule="exact"/>
        <w:ind w:left="426"/>
        <w:rPr>
          <w:rFonts w:ascii="SimSun" w:eastAsia="SimSun" w:hAnsi="SimSun" w:cs="SimSun"/>
        </w:rPr>
      </w:pPr>
      <w:r>
        <w:rPr>
          <w:rFonts w:ascii="SimSun" w:eastAsia="SimSun" w:hAnsi="SimSun" w:cs="SimSun"/>
          <w:spacing w:val="6"/>
          <w:position w:val="2"/>
        </w:rPr>
        <w:t>主组分的体积分数</w:t>
      </w:r>
      <w:r>
        <w:rPr>
          <w:i/>
          <w:iCs/>
          <w:spacing w:val="6"/>
          <w:position w:val="2"/>
        </w:rPr>
        <w:t>ϕ</w:t>
      </w:r>
      <w:r>
        <w:rPr>
          <w:position w:val="1"/>
          <w:sz w:val="13"/>
          <w:szCs w:val="13"/>
        </w:rPr>
        <w:t>kj</w:t>
      </w:r>
      <w:r>
        <w:rPr>
          <w:spacing w:val="6"/>
          <w:position w:val="1"/>
          <w:sz w:val="13"/>
          <w:szCs w:val="13"/>
        </w:rPr>
        <w:t xml:space="preserve">  </w:t>
      </w:r>
      <w:r>
        <w:rPr>
          <w:rFonts w:ascii="SimSun" w:eastAsia="SimSun" w:hAnsi="SimSun" w:cs="SimSun"/>
          <w:spacing w:val="6"/>
          <w:position w:val="2"/>
        </w:rPr>
        <w:t>由公式（</w:t>
      </w:r>
      <w:r>
        <w:rPr>
          <w:spacing w:val="6"/>
          <w:position w:val="2"/>
        </w:rPr>
        <w:t>7</w:t>
      </w:r>
      <w:r>
        <w:rPr>
          <w:rFonts w:ascii="SimSun" w:eastAsia="SimSun" w:hAnsi="SimSun" w:cs="SimSun"/>
          <w:spacing w:val="6"/>
          <w:position w:val="2"/>
        </w:rPr>
        <w:t>）进行计算：</w:t>
      </w:r>
    </w:p>
    <w:p>
      <w:pPr>
        <w:pStyle w:val="BodyText"/>
        <w:spacing w:before="131" w:line="217" w:lineRule="auto"/>
        <w:ind w:right="1"/>
        <w:jc w:val="right"/>
      </w:pPr>
      <w:r>
        <w:rPr>
          <w:rFonts w:ascii="Arial" w:eastAsia="Arial" w:hAnsi="Arial" w:cs="Arial"/>
          <w:i/>
          <w:iCs/>
          <w:spacing w:val="-7"/>
          <w:sz w:val="21"/>
          <w:szCs w:val="21"/>
        </w:rPr>
        <w:t>φ</w:t>
      </w:r>
      <w:r>
        <w:rPr>
          <w:spacing w:val="-7"/>
          <w:position w:val="-4"/>
          <w:sz w:val="11"/>
          <w:szCs w:val="11"/>
        </w:rPr>
        <w:t xml:space="preserve">kj   </w:t>
      </w:r>
      <w:r>
        <w:rPr>
          <w:rFonts w:ascii="Microsoft YaHei" w:eastAsia="Microsoft YaHei" w:hAnsi="Microsoft YaHei" w:cs="Microsoft YaHei"/>
          <w:spacing w:val="-7"/>
        </w:rPr>
        <w:t xml:space="preserve">= </w:t>
      </w:r>
      <w:r>
        <w:rPr>
          <w:spacing w:val="-7"/>
        </w:rPr>
        <w:t>1</w:t>
      </w:r>
      <w:r>
        <w:rPr>
          <w:spacing w:val="-15"/>
        </w:rPr>
        <w:t xml:space="preserve"> </w:t>
      </w:r>
      <w:r>
        <w:rPr>
          <w:rFonts w:ascii="Microsoft YaHei" w:eastAsia="Microsoft YaHei" w:hAnsi="Microsoft YaHei" w:cs="Microsoft YaHei"/>
          <w:spacing w:val="-7"/>
        </w:rPr>
        <w:t xml:space="preserve">-  </w:t>
      </w:r>
      <w:r>
        <w:rPr>
          <w:position w:val="-5"/>
        </w:rPr>
        <w:drawing>
          <wp:inline distT="0" distB="0" distL="0" distR="0">
            <wp:extent cx="125141" cy="195762"/>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3"/>
                    <a:stretch>
                      <a:fillRect/>
                    </a:stretch>
                  </pic:blipFill>
                  <pic:spPr>
                    <a:xfrm>
                      <a:off x="0" y="0"/>
                      <a:ext cx="125141" cy="195762"/>
                    </a:xfrm>
                    <a:prstGeom prst="rect">
                      <a:avLst/>
                    </a:prstGeom>
                  </pic:spPr>
                </pic:pic>
              </a:graphicData>
            </a:graphic>
          </wp:inline>
        </w:drawing>
      </w:r>
      <w:r>
        <w:rPr>
          <w:rFonts w:ascii="Arial" w:eastAsia="Arial" w:hAnsi="Arial" w:cs="Arial"/>
          <w:i/>
          <w:iCs/>
          <w:spacing w:val="-7"/>
          <w:sz w:val="21"/>
          <w:szCs w:val="21"/>
        </w:rPr>
        <w:t>φ</w:t>
      </w:r>
      <w:r>
        <w:rPr>
          <w:spacing w:val="-7"/>
          <w:position w:val="-4"/>
          <w:sz w:val="11"/>
          <w:szCs w:val="11"/>
        </w:rPr>
        <w:t xml:space="preserve">ij    </w:t>
      </w:r>
      <w:r>
        <w:rPr>
          <w:spacing w:val="-7"/>
          <w:position w:val="1"/>
        </w:rPr>
        <w:t>…</w:t>
      </w:r>
      <w:r>
        <w:rPr>
          <w:spacing w:val="-27"/>
          <w:position w:val="1"/>
        </w:rPr>
        <w:t xml:space="preserve"> </w:t>
      </w:r>
      <w:r>
        <w:rPr>
          <w:spacing w:val="-7"/>
          <w:position w:val="1"/>
        </w:rPr>
        <w:t>…</w:t>
      </w:r>
      <w:r>
        <w:rPr>
          <w:spacing w:val="-26"/>
          <w:position w:val="1"/>
        </w:rPr>
        <w:t xml:space="preserve"> </w:t>
      </w:r>
      <w:r>
        <w:rPr>
          <w:spacing w:val="-7"/>
          <w:position w:val="1"/>
        </w:rPr>
        <w:t>…</w:t>
      </w:r>
      <w:r>
        <w:rPr>
          <w:spacing w:val="-25"/>
          <w:position w:val="1"/>
        </w:rPr>
        <w:t xml:space="preserve"> </w:t>
      </w:r>
      <w:r>
        <w:rPr>
          <w:spacing w:val="-8"/>
          <w:position w:val="1"/>
        </w:rPr>
        <w:t>…</w:t>
      </w:r>
      <w:r>
        <w:rPr>
          <w:spacing w:val="-27"/>
          <w:position w:val="1"/>
        </w:rPr>
        <w:t xml:space="preserve"> </w:t>
      </w:r>
      <w:r>
        <w:rPr>
          <w:spacing w:val="-8"/>
          <w:position w:val="1"/>
        </w:rPr>
        <w:t>…</w:t>
      </w:r>
      <w:r>
        <w:rPr>
          <w:spacing w:val="-24"/>
          <w:position w:val="1"/>
        </w:rPr>
        <w:t xml:space="preserve"> </w:t>
      </w:r>
      <w:r>
        <w:rPr>
          <w:spacing w:val="-8"/>
          <w:position w:val="1"/>
        </w:rPr>
        <w:t>…</w:t>
      </w:r>
      <w:r>
        <w:rPr>
          <w:spacing w:val="-27"/>
          <w:position w:val="1"/>
        </w:rPr>
        <w:t xml:space="preserve"> </w:t>
      </w:r>
      <w:r>
        <w:rPr>
          <w:spacing w:val="-8"/>
          <w:position w:val="1"/>
        </w:rPr>
        <w:t>…</w:t>
      </w:r>
      <w:r>
        <w:rPr>
          <w:spacing w:val="-24"/>
          <w:position w:val="1"/>
        </w:rPr>
        <w:t xml:space="preserve"> </w:t>
      </w:r>
      <w:r>
        <w:rPr>
          <w:spacing w:val="-8"/>
          <w:position w:val="1"/>
        </w:rPr>
        <w:t>…</w:t>
      </w:r>
      <w:r>
        <w:rPr>
          <w:spacing w:val="-27"/>
          <w:position w:val="1"/>
        </w:rPr>
        <w:t xml:space="preserve"> </w:t>
      </w:r>
      <w:r>
        <w:rPr>
          <w:spacing w:val="-8"/>
          <w:position w:val="1"/>
        </w:rPr>
        <w:t>…</w:t>
      </w:r>
      <w:r>
        <w:rPr>
          <w:spacing w:val="-24"/>
          <w:position w:val="1"/>
        </w:rPr>
        <w:t xml:space="preserve"> </w:t>
      </w:r>
      <w:r>
        <w:rPr>
          <w:spacing w:val="-8"/>
          <w:position w:val="1"/>
        </w:rPr>
        <w:t>…</w:t>
      </w:r>
      <w:r>
        <w:rPr>
          <w:spacing w:val="-27"/>
          <w:position w:val="1"/>
        </w:rPr>
        <w:t xml:space="preserve"> </w:t>
      </w:r>
      <w:r>
        <w:rPr>
          <w:spacing w:val="-8"/>
          <w:position w:val="1"/>
        </w:rPr>
        <w:t>…</w:t>
      </w:r>
      <w:r>
        <w:rPr>
          <w:spacing w:val="-25"/>
          <w:position w:val="1"/>
        </w:rPr>
        <w:t xml:space="preserve"> </w:t>
      </w:r>
      <w:r>
        <w:rPr>
          <w:spacing w:val="-8"/>
          <w:position w:val="1"/>
        </w:rPr>
        <w:t>…</w:t>
      </w:r>
      <w:r>
        <w:rPr>
          <w:spacing w:val="-26"/>
          <w:position w:val="1"/>
        </w:rPr>
        <w:t xml:space="preserve"> </w:t>
      </w:r>
      <w:r>
        <w:rPr>
          <w:spacing w:val="-8"/>
          <w:position w:val="1"/>
        </w:rPr>
        <w:t>…</w:t>
      </w:r>
      <w:r>
        <w:rPr>
          <w:spacing w:val="-25"/>
          <w:position w:val="1"/>
        </w:rPr>
        <w:t xml:space="preserve"> </w:t>
      </w:r>
      <w:r>
        <w:rPr>
          <w:spacing w:val="-8"/>
          <w:position w:val="1"/>
        </w:rPr>
        <w:t>…</w:t>
      </w:r>
      <w:r>
        <w:rPr>
          <w:spacing w:val="-27"/>
          <w:position w:val="1"/>
        </w:rPr>
        <w:t xml:space="preserve"> </w:t>
      </w:r>
      <w:r>
        <w:rPr>
          <w:spacing w:val="-8"/>
          <w:position w:val="1"/>
        </w:rPr>
        <w:t>…</w:t>
      </w:r>
      <w:r>
        <w:rPr>
          <w:spacing w:val="-24"/>
          <w:position w:val="1"/>
        </w:rPr>
        <w:t xml:space="preserve"> </w:t>
      </w:r>
      <w:r>
        <w:rPr>
          <w:spacing w:val="-8"/>
          <w:position w:val="1"/>
        </w:rPr>
        <w:t>…</w:t>
      </w:r>
      <w:r>
        <w:rPr>
          <w:spacing w:val="-27"/>
          <w:position w:val="1"/>
        </w:rPr>
        <w:t xml:space="preserve"> </w:t>
      </w:r>
      <w:r>
        <w:rPr>
          <w:spacing w:val="-8"/>
          <w:position w:val="1"/>
        </w:rPr>
        <w:t>…</w:t>
      </w:r>
      <w:r>
        <w:rPr>
          <w:spacing w:val="-24"/>
          <w:position w:val="1"/>
        </w:rPr>
        <w:t xml:space="preserve"> </w:t>
      </w:r>
      <w:r>
        <w:rPr>
          <w:spacing w:val="-8"/>
          <w:position w:val="1"/>
        </w:rPr>
        <w:t>…(7)</w:t>
      </w:r>
    </w:p>
    <w:p>
      <w:pPr>
        <w:pStyle w:val="BodyText"/>
        <w:spacing w:before="1" w:line="226" w:lineRule="auto"/>
        <w:ind w:left="4778"/>
        <w:rPr>
          <w:sz w:val="11"/>
          <w:szCs w:val="11"/>
        </w:rPr>
      </w:pP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w:t>
      </w:r>
      <w:r>
        <w:rPr>
          <w:spacing w:val="-6"/>
          <w:w w:val="95"/>
          <w:sz w:val="11"/>
          <w:szCs w:val="11"/>
        </w:rPr>
        <w:t>1</w:t>
      </w:r>
      <w:r>
        <w:rPr>
          <w:i/>
          <w:iCs/>
          <w:spacing w:val="-6"/>
          <w:w w:val="95"/>
          <w:sz w:val="11"/>
          <w:szCs w:val="11"/>
        </w:rPr>
        <w:t>,i</w:t>
      </w:r>
      <w:r>
        <w:rPr>
          <w:i/>
          <w:iCs/>
          <w:spacing w:val="-14"/>
          <w:sz w:val="11"/>
          <w:szCs w:val="11"/>
        </w:rPr>
        <w:t xml:space="preserve"> </w:t>
      </w:r>
      <w:r>
        <w:rPr>
          <w:rFonts w:ascii="Microsoft YaHei" w:eastAsia="Microsoft YaHei" w:hAnsi="Microsoft YaHei" w:cs="Microsoft YaHei"/>
          <w:spacing w:val="-6"/>
          <w:w w:val="95"/>
          <w:sz w:val="11"/>
          <w:szCs w:val="11"/>
        </w:rPr>
        <w:t>士</w:t>
      </w:r>
      <w:r>
        <w:rPr>
          <w:i/>
          <w:iCs/>
          <w:spacing w:val="-6"/>
          <w:w w:val="95"/>
          <w:sz w:val="11"/>
          <w:szCs w:val="11"/>
        </w:rPr>
        <w:t>k</w:t>
      </w:r>
    </w:p>
    <w:p>
      <w:pPr>
        <w:pStyle w:val="BodyText"/>
        <w:spacing w:before="65" w:line="228" w:lineRule="auto"/>
        <w:ind w:left="531"/>
        <w:rPr>
          <w:rFonts w:ascii="SimSun" w:eastAsia="SimSun" w:hAnsi="SimSun" w:cs="SimSun"/>
        </w:rPr>
      </w:pPr>
      <w:r>
        <w:rPr>
          <w:rFonts w:ascii="SimSun" w:eastAsia="SimSun" w:hAnsi="SimSun" w:cs="SimSun"/>
          <w:spacing w:val="8"/>
        </w:rPr>
        <w:t>其相关的标准不确定度由公式（</w:t>
      </w:r>
      <w:r>
        <w:rPr>
          <w:spacing w:val="8"/>
        </w:rPr>
        <w:t>8</w:t>
      </w:r>
      <w:r>
        <w:rPr>
          <w:rFonts w:ascii="SimSun" w:eastAsia="SimSun" w:hAnsi="SimSun" w:cs="SimSun"/>
          <w:spacing w:val="8"/>
        </w:rPr>
        <w:t>）进行计算：</w:t>
      </w:r>
    </w:p>
    <w:p>
      <w:pPr>
        <w:pStyle w:val="BodyText"/>
        <w:spacing w:before="128" w:line="222" w:lineRule="auto"/>
        <w:ind w:right="1"/>
        <w:jc w:val="right"/>
      </w:pPr>
      <w:r>
        <w:rPr>
          <w:i/>
          <w:iCs/>
          <w:spacing w:val="-5"/>
        </w:rPr>
        <w:t>u</w:t>
      </w:r>
      <w:r>
        <w:rPr>
          <w:i/>
          <w:iCs/>
          <w:spacing w:val="1"/>
        </w:rPr>
        <w:t xml:space="preserve"> </w:t>
      </w:r>
      <w:r>
        <w:rPr>
          <w:spacing w:val="-5"/>
          <w:position w:val="9"/>
          <w:sz w:val="11"/>
          <w:szCs w:val="11"/>
        </w:rPr>
        <w:t>2</w:t>
      </w:r>
      <w:r>
        <w:rPr>
          <w:spacing w:val="16"/>
          <w:w w:val="103"/>
          <w:position w:val="9"/>
          <w:sz w:val="11"/>
          <w:szCs w:val="11"/>
        </w:rPr>
        <w:t xml:space="preserve"> </w:t>
      </w:r>
      <w:r>
        <w:rPr>
          <w:spacing w:val="-5"/>
        </w:rPr>
        <w:t>(</w:t>
      </w:r>
      <w:r>
        <w:rPr>
          <w:rFonts w:ascii="Arial" w:eastAsia="Arial" w:hAnsi="Arial" w:cs="Arial"/>
          <w:i/>
          <w:iCs/>
          <w:spacing w:val="-5"/>
          <w:sz w:val="21"/>
          <w:szCs w:val="21"/>
        </w:rPr>
        <w:t>φ</w:t>
      </w:r>
      <w:r>
        <w:rPr>
          <w:spacing w:val="-5"/>
          <w:position w:val="-4"/>
          <w:sz w:val="11"/>
          <w:szCs w:val="11"/>
        </w:rPr>
        <w:t>kj</w:t>
      </w:r>
      <w:r>
        <w:rPr>
          <w:spacing w:val="7"/>
          <w:position w:val="-4"/>
          <w:sz w:val="11"/>
          <w:szCs w:val="11"/>
        </w:rPr>
        <w:t xml:space="preserve"> </w:t>
      </w:r>
      <w:r>
        <w:rPr>
          <w:spacing w:val="-5"/>
        </w:rPr>
        <w:t>)</w:t>
      </w:r>
      <w:r>
        <w:rPr>
          <w:spacing w:val="3"/>
        </w:rPr>
        <w:t xml:space="preserve"> </w:t>
      </w:r>
      <w:r>
        <w:rPr>
          <w:rFonts w:ascii="Microsoft YaHei" w:eastAsia="Microsoft YaHei" w:hAnsi="Microsoft YaHei" w:cs="Microsoft YaHei"/>
          <w:spacing w:val="-20"/>
        </w:rPr>
        <w:t>=</w:t>
      </w:r>
      <w:r>
        <w:rPr>
          <w:rFonts w:ascii="Microsoft YaHei" w:eastAsia="Microsoft YaHei" w:hAnsi="Microsoft YaHei" w:cs="Microsoft YaHei"/>
          <w:spacing w:val="8"/>
        </w:rPr>
        <w:t xml:space="preserve">  </w:t>
      </w:r>
      <w:r>
        <w:rPr>
          <w:position w:val="-6"/>
        </w:rPr>
        <w:drawing>
          <wp:inline distT="0" distB="0" distL="0" distR="0">
            <wp:extent cx="125141" cy="195762"/>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4"/>
                    <a:stretch>
                      <a:fillRect/>
                    </a:stretch>
                  </pic:blipFill>
                  <pic:spPr>
                    <a:xfrm>
                      <a:off x="0" y="0"/>
                      <a:ext cx="125141" cy="195762"/>
                    </a:xfrm>
                    <a:prstGeom prst="rect">
                      <a:avLst/>
                    </a:prstGeom>
                  </pic:spPr>
                </pic:pic>
              </a:graphicData>
            </a:graphic>
          </wp:inline>
        </w:drawing>
      </w:r>
      <w:r>
        <w:rPr>
          <w:rFonts w:ascii="Microsoft YaHei" w:eastAsia="Microsoft YaHei" w:hAnsi="Microsoft YaHei" w:cs="Microsoft YaHei"/>
          <w:spacing w:val="-21"/>
        </w:rPr>
        <w:t xml:space="preserve"> </w:t>
      </w:r>
      <w:r>
        <w:rPr>
          <w:i/>
          <w:iCs/>
          <w:spacing w:val="-20"/>
        </w:rPr>
        <w:t>u</w:t>
      </w:r>
      <w:r>
        <w:rPr>
          <w:i/>
          <w:iCs/>
          <w:spacing w:val="-18"/>
        </w:rPr>
        <w:t xml:space="preserve"> </w:t>
      </w:r>
      <w:r>
        <w:rPr>
          <w:spacing w:val="-2"/>
          <w:position w:val="9"/>
          <w:sz w:val="11"/>
          <w:szCs w:val="11"/>
        </w:rPr>
        <w:t>2</w:t>
      </w:r>
      <w:r>
        <w:rPr>
          <w:spacing w:val="16"/>
          <w:w w:val="101"/>
          <w:position w:val="9"/>
          <w:sz w:val="11"/>
          <w:szCs w:val="11"/>
        </w:rPr>
        <w:t xml:space="preserve"> </w:t>
      </w:r>
      <w:r>
        <w:rPr>
          <w:spacing w:val="11"/>
        </w:rPr>
        <w:t>(</w:t>
      </w:r>
      <w:r>
        <w:rPr>
          <w:rFonts w:ascii="Arial" w:eastAsia="Arial" w:hAnsi="Arial" w:cs="Arial"/>
          <w:i/>
          <w:iCs/>
          <w:spacing w:val="11"/>
          <w:sz w:val="21"/>
          <w:szCs w:val="21"/>
        </w:rPr>
        <w:t>φ</w:t>
      </w:r>
      <w:r>
        <w:rPr>
          <w:w w:val="8"/>
          <w:position w:val="-4"/>
          <w:sz w:val="11"/>
          <w:szCs w:val="11"/>
        </w:rPr>
        <w:t>ij</w:t>
      </w:r>
      <w:r>
        <w:rPr>
          <w:spacing w:val="7"/>
          <w:w w:val="102"/>
          <w:position w:val="-4"/>
          <w:sz w:val="11"/>
          <w:szCs w:val="11"/>
        </w:rPr>
        <w:t xml:space="preserve"> </w:t>
      </w:r>
      <w:r>
        <w:rPr>
          <w:spacing w:val="-13"/>
        </w:rPr>
        <w:t>)</w:t>
      </w:r>
      <w:r>
        <w:rPr>
          <w:spacing w:val="20"/>
          <w:w w:val="101"/>
        </w:rPr>
        <w:t xml:space="preserve"> </w:t>
      </w:r>
      <w:r>
        <w:rPr>
          <w:spacing w:val="-13"/>
        </w:rPr>
        <w:t>…</w:t>
      </w:r>
      <w:r>
        <w:rPr>
          <w:spacing w:val="-27"/>
        </w:rPr>
        <w:t xml:space="preserve"> </w:t>
      </w:r>
      <w:r>
        <w:rPr>
          <w:spacing w:val="-12"/>
        </w:rPr>
        <w:t>…</w:t>
      </w:r>
      <w:r>
        <w:rPr>
          <w:spacing w:val="-27"/>
        </w:rPr>
        <w:t xml:space="preserve"> </w:t>
      </w:r>
      <w:r>
        <w:rPr>
          <w:spacing w:val="-12"/>
        </w:rPr>
        <w:t>…</w:t>
      </w:r>
      <w:r>
        <w:rPr>
          <w:spacing w:val="-24"/>
        </w:rPr>
        <w:t xml:space="preserve"> </w:t>
      </w:r>
      <w:r>
        <w:rPr>
          <w:spacing w:val="-12"/>
        </w:rPr>
        <w:t>…</w:t>
      </w:r>
      <w:r>
        <w:rPr>
          <w:spacing w:val="-27"/>
        </w:rPr>
        <w:t xml:space="preserve"> </w:t>
      </w:r>
      <w:r>
        <w:rPr>
          <w:spacing w:val="-12"/>
        </w:rPr>
        <w:t>…</w:t>
      </w:r>
      <w:r>
        <w:rPr>
          <w:spacing w:val="-24"/>
        </w:rPr>
        <w:t xml:space="preserve"> </w:t>
      </w:r>
      <w:r>
        <w:rPr>
          <w:spacing w:val="-12"/>
        </w:rPr>
        <w:t>…</w:t>
      </w:r>
      <w:r>
        <w:rPr>
          <w:spacing w:val="-27"/>
        </w:rPr>
        <w:t xml:space="preserve"> </w:t>
      </w:r>
      <w:r>
        <w:rPr>
          <w:spacing w:val="-12"/>
        </w:rPr>
        <w:t>…</w:t>
      </w:r>
      <w:r>
        <w:rPr>
          <w:spacing w:val="-25"/>
        </w:rPr>
        <w:t xml:space="preserve"> </w:t>
      </w:r>
      <w:r>
        <w:rPr>
          <w:spacing w:val="-12"/>
        </w:rPr>
        <w:t>…</w:t>
      </w:r>
      <w:r>
        <w:rPr>
          <w:spacing w:val="-26"/>
        </w:rPr>
        <w:t xml:space="preserve"> </w:t>
      </w:r>
      <w:r>
        <w:rPr>
          <w:spacing w:val="-12"/>
        </w:rPr>
        <w:t>…</w:t>
      </w:r>
      <w:r>
        <w:rPr>
          <w:spacing w:val="-25"/>
        </w:rPr>
        <w:t xml:space="preserve"> </w:t>
      </w:r>
      <w:r>
        <w:rPr>
          <w:spacing w:val="-12"/>
        </w:rPr>
        <w:t>…</w:t>
      </w:r>
      <w:r>
        <w:rPr>
          <w:spacing w:val="-27"/>
        </w:rPr>
        <w:t xml:space="preserve"> </w:t>
      </w:r>
      <w:r>
        <w:rPr>
          <w:spacing w:val="-12"/>
        </w:rPr>
        <w:t>…</w:t>
      </w:r>
      <w:r>
        <w:rPr>
          <w:spacing w:val="-24"/>
        </w:rPr>
        <w:t xml:space="preserve"> </w:t>
      </w:r>
      <w:r>
        <w:rPr>
          <w:spacing w:val="-12"/>
        </w:rPr>
        <w:t>…</w:t>
      </w:r>
      <w:r>
        <w:rPr>
          <w:spacing w:val="-27"/>
        </w:rPr>
        <w:t xml:space="preserve"> </w:t>
      </w:r>
      <w:r>
        <w:rPr>
          <w:spacing w:val="-12"/>
        </w:rPr>
        <w:t>…</w:t>
      </w:r>
      <w:r>
        <w:rPr>
          <w:spacing w:val="-24"/>
        </w:rPr>
        <w:t xml:space="preserve"> </w:t>
      </w:r>
      <w:r>
        <w:rPr>
          <w:spacing w:val="-12"/>
        </w:rPr>
        <w:t>…</w:t>
      </w:r>
      <w:r>
        <w:rPr>
          <w:spacing w:val="-27"/>
        </w:rPr>
        <w:t xml:space="preserve"> </w:t>
      </w:r>
      <w:r>
        <w:rPr>
          <w:spacing w:val="-12"/>
        </w:rPr>
        <w:t>…</w:t>
      </w:r>
      <w:r>
        <w:rPr>
          <w:spacing w:val="-24"/>
        </w:rPr>
        <w:t xml:space="preserve"> </w:t>
      </w:r>
      <w:r>
        <w:rPr>
          <w:spacing w:val="-12"/>
        </w:rPr>
        <w:t>…</w:t>
      </w:r>
      <w:r>
        <w:rPr>
          <w:spacing w:val="-27"/>
        </w:rPr>
        <w:t xml:space="preserve"> </w:t>
      </w:r>
      <w:r>
        <w:rPr>
          <w:spacing w:val="-12"/>
        </w:rPr>
        <w:t>…(8</w:t>
      </w:r>
      <w:r>
        <w:rPr>
          <w:spacing w:val="-10"/>
        </w:rPr>
        <w:t>)</w:t>
      </w:r>
    </w:p>
    <w:p>
      <w:pPr>
        <w:pStyle w:val="BodyText"/>
        <w:spacing w:line="226" w:lineRule="auto"/>
        <w:ind w:left="4614"/>
        <w:rPr>
          <w:sz w:val="11"/>
          <w:szCs w:val="11"/>
        </w:rPr>
      </w:pP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w:t>
      </w:r>
      <w:r>
        <w:rPr>
          <w:spacing w:val="-6"/>
          <w:w w:val="95"/>
          <w:sz w:val="11"/>
          <w:szCs w:val="11"/>
        </w:rPr>
        <w:t>1</w:t>
      </w:r>
      <w:r>
        <w:rPr>
          <w:i/>
          <w:iCs/>
          <w:spacing w:val="-6"/>
          <w:w w:val="95"/>
          <w:sz w:val="11"/>
          <w:szCs w:val="11"/>
        </w:rPr>
        <w:t>,i</w:t>
      </w:r>
      <w:r>
        <w:rPr>
          <w:i/>
          <w:iCs/>
          <w:spacing w:val="-13"/>
          <w:sz w:val="11"/>
          <w:szCs w:val="11"/>
        </w:rPr>
        <w:t xml:space="preserve"> </w:t>
      </w:r>
      <w:r>
        <w:rPr>
          <w:rFonts w:ascii="Microsoft YaHei" w:eastAsia="Microsoft YaHei" w:hAnsi="Microsoft YaHei" w:cs="Microsoft YaHei"/>
          <w:spacing w:val="-6"/>
          <w:w w:val="95"/>
          <w:sz w:val="11"/>
          <w:szCs w:val="11"/>
        </w:rPr>
        <w:t>士</w:t>
      </w:r>
      <w:r>
        <w:rPr>
          <w:i/>
          <w:iCs/>
          <w:spacing w:val="-6"/>
          <w:w w:val="95"/>
          <w:sz w:val="11"/>
          <w:szCs w:val="11"/>
        </w:rPr>
        <w:t>k</w:t>
      </w:r>
    </w:p>
    <w:p>
      <w:pPr>
        <w:pStyle w:val="BodyText"/>
        <w:spacing w:before="62"/>
        <w:ind w:left="6" w:right="3" w:firstLine="441"/>
        <w:rPr>
          <w:rFonts w:ascii="SimSun" w:eastAsia="SimSun" w:hAnsi="SimSun" w:cs="SimSun"/>
          <w:sz w:val="22"/>
          <w:szCs w:val="22"/>
        </w:rPr>
      </w:pPr>
      <w:r>
        <w:rPr>
          <w:rFonts w:ascii="SimSun" w:eastAsia="SimSun" w:hAnsi="SimSun" w:cs="SimSun"/>
          <w:spacing w:val="3"/>
          <w:sz w:val="22"/>
          <w:szCs w:val="22"/>
        </w:rPr>
        <w:t>如果纯度需要以质量比分数、物质的量分数或其他的量给出</w:t>
      </w:r>
      <w:r>
        <w:rPr>
          <w:rFonts w:ascii="SimSun" w:eastAsia="SimSun" w:hAnsi="SimSun" w:cs="SimSun"/>
          <w:spacing w:val="3"/>
        </w:rPr>
        <w:t>，应按</w:t>
      </w:r>
      <w:r>
        <w:rPr>
          <w:rFonts w:ascii="SimSun" w:eastAsia="SimSun" w:hAnsi="SimSun" w:cs="SimSun"/>
          <w:spacing w:val="-32"/>
        </w:rPr>
        <w:t xml:space="preserve"> </w:t>
      </w:r>
      <w:r>
        <w:t>ISO</w:t>
      </w:r>
      <w:r>
        <w:rPr>
          <w:spacing w:val="33"/>
        </w:rPr>
        <w:t xml:space="preserve"> </w:t>
      </w:r>
      <w:r>
        <w:rPr>
          <w:spacing w:val="3"/>
        </w:rPr>
        <w:t>14912</w:t>
      </w:r>
      <w:r>
        <w:rPr>
          <w:spacing w:val="31"/>
          <w:w w:val="101"/>
        </w:rPr>
        <w:t xml:space="preserve"> </w:t>
      </w:r>
      <w:r>
        <w:rPr>
          <w:rFonts w:ascii="SimSun" w:eastAsia="SimSun" w:hAnsi="SimSun" w:cs="SimSun"/>
          <w:spacing w:val="3"/>
        </w:rPr>
        <w:t>的规定进行数据</w:t>
      </w:r>
      <w:r>
        <w:rPr>
          <w:rFonts w:ascii="SimSun" w:eastAsia="SimSun" w:hAnsi="SimSun" w:cs="SimSun"/>
        </w:rPr>
        <w:t xml:space="preserve"> </w:t>
      </w:r>
      <w:r>
        <w:rPr>
          <w:rFonts w:ascii="SimSun" w:eastAsia="SimSun" w:hAnsi="SimSun" w:cs="SimSun"/>
          <w:spacing w:val="7"/>
        </w:rPr>
        <w:t>换算和不确定度评估</w:t>
      </w:r>
      <w:r>
        <w:rPr>
          <w:rFonts w:ascii="SimSun" w:eastAsia="SimSun" w:hAnsi="SimSun" w:cs="SimSun"/>
          <w:spacing w:val="7"/>
          <w:sz w:val="22"/>
          <w:szCs w:val="22"/>
        </w:rPr>
        <w:t>。</w:t>
      </w:r>
    </w:p>
    <w:p>
      <w:pPr>
        <w:spacing w:before="213" w:line="230" w:lineRule="auto"/>
        <w:ind w:left="5"/>
        <w:outlineLvl w:val="1"/>
        <w:rPr>
          <w:rFonts w:ascii="SimHei" w:eastAsia="SimHei" w:hAnsi="SimHei" w:cs="SimHei"/>
          <w:sz w:val="20"/>
          <w:szCs w:val="20"/>
        </w:rPr>
      </w:pPr>
      <w:r>
        <w:rPr>
          <w:rFonts w:ascii="SimHei" w:eastAsia="SimHei" w:hAnsi="SimHei" w:cs="SimHei"/>
          <w:spacing w:val="7"/>
          <w:sz w:val="20"/>
          <w:szCs w:val="20"/>
        </w:rPr>
        <w:t>7.4</w:t>
      </w:r>
      <w:r>
        <w:rPr>
          <w:rFonts w:ascii="SimHei" w:eastAsia="SimHei" w:hAnsi="SimHei" w:cs="SimHei"/>
          <w:spacing w:val="7"/>
          <w:sz w:val="20"/>
          <w:szCs w:val="20"/>
        </w:rPr>
        <w:t xml:space="preserve">  </w:t>
      </w:r>
      <w:r>
        <w:rPr>
          <w:rFonts w:ascii="SimHei" w:eastAsia="SimHei" w:hAnsi="SimHei" w:cs="SimHei"/>
          <w:spacing w:val="7"/>
          <w:sz w:val="20"/>
          <w:szCs w:val="20"/>
        </w:rPr>
        <w:t>其他形式的纯度数据</w:t>
      </w:r>
    </w:p>
    <w:p>
      <w:pPr>
        <w:spacing w:before="218" w:line="228" w:lineRule="auto"/>
        <w:ind w:left="427"/>
        <w:rPr>
          <w:rFonts w:ascii="SimSun" w:eastAsia="SimSun" w:hAnsi="SimSun" w:cs="SimSun"/>
          <w:sz w:val="20"/>
          <w:szCs w:val="20"/>
        </w:rPr>
      </w:pPr>
      <w:r>
        <w:rPr>
          <w:rFonts w:ascii="SimSun" w:eastAsia="SimSun" w:hAnsi="SimSun" w:cs="SimSun"/>
          <w:spacing w:val="9"/>
          <w:sz w:val="20"/>
          <w:szCs w:val="20"/>
        </w:rPr>
        <w:t>如果已有的纯度数据未给出明确值，这些数据不能用来计算组分的含量。</w:t>
      </w:r>
    </w:p>
    <w:p>
      <w:pPr>
        <w:pStyle w:val="BodyText"/>
        <w:spacing w:before="81" w:line="212" w:lineRule="auto"/>
        <w:ind w:left="368"/>
        <w:rPr>
          <w:rFonts w:ascii="SimSun" w:eastAsia="SimSun" w:hAnsi="SimSun" w:cs="SimSun"/>
          <w:sz w:val="18"/>
          <w:szCs w:val="18"/>
        </w:rPr>
      </w:pPr>
      <w:r>
        <w:rPr>
          <w:rFonts w:ascii="SimHei" w:eastAsia="SimHei" w:hAnsi="SimHei" w:cs="SimHei"/>
          <w:sz w:val="18"/>
          <w:szCs w:val="18"/>
        </w:rPr>
        <w:t>注：</w:t>
      </w:r>
      <w:r>
        <w:rPr>
          <w:rFonts w:ascii="SimSun" w:eastAsia="SimSun" w:hAnsi="SimSun" w:cs="SimSun"/>
          <w:sz w:val="18"/>
          <w:szCs w:val="18"/>
        </w:rPr>
        <w:t>这些数据常以</w:t>
      </w:r>
      <w:r>
        <w:rPr>
          <w:sz w:val="18"/>
          <w:szCs w:val="18"/>
        </w:rPr>
        <w:t>%</w:t>
      </w:r>
      <w:r>
        <w:rPr>
          <w:rFonts w:ascii="SimSun" w:eastAsia="SimSun" w:hAnsi="SimSun" w:cs="SimSun"/>
          <w:sz w:val="18"/>
          <w:szCs w:val="18"/>
        </w:rPr>
        <w:t>（百分比）、</w:t>
      </w:r>
      <w:r>
        <w:rPr>
          <w:sz w:val="18"/>
          <w:szCs w:val="18"/>
        </w:rPr>
        <w:t>ppm</w:t>
      </w:r>
      <w:r>
        <w:rPr>
          <w:rFonts w:ascii="SimSun" w:eastAsia="SimSun" w:hAnsi="SimSun" w:cs="SimSun"/>
          <w:sz w:val="18"/>
          <w:szCs w:val="18"/>
        </w:rPr>
        <w:t>（百万分之几）或</w:t>
      </w:r>
      <w:r>
        <w:rPr>
          <w:sz w:val="18"/>
          <w:szCs w:val="18"/>
        </w:rPr>
        <w:t>ppb</w:t>
      </w:r>
      <w:r>
        <w:rPr>
          <w:rFonts w:ascii="SimSun" w:eastAsia="SimSun" w:hAnsi="SimSun" w:cs="SimSun"/>
          <w:sz w:val="18"/>
          <w:szCs w:val="18"/>
        </w:rPr>
        <w:t>（十亿分之几）表示，没有给出相应的数值。</w:t>
      </w:r>
    </w:p>
    <w:p>
      <w:pPr>
        <w:pStyle w:val="BodyText"/>
        <w:spacing w:before="90" w:line="257" w:lineRule="auto"/>
        <w:ind w:left="7" w:right="1" w:firstLine="420"/>
        <w:rPr>
          <w:rFonts w:ascii="SimSun" w:eastAsia="SimSun" w:hAnsi="SimSun" w:cs="SimSun"/>
        </w:rPr>
      </w:pPr>
      <w:r>
        <w:rPr>
          <w:rFonts w:ascii="SimSun" w:eastAsia="SimSun" w:hAnsi="SimSun" w:cs="SimSun"/>
          <w:spacing w:val="7"/>
        </w:rPr>
        <w:t>如果给出的纯度数据的表示量不同于预期的表示量，</w:t>
      </w:r>
      <w:r>
        <w:rPr>
          <w:rFonts w:ascii="SimSun" w:eastAsia="SimSun" w:hAnsi="SimSun" w:cs="SimSun"/>
          <w:spacing w:val="6"/>
        </w:rPr>
        <w:t>应按</w:t>
      </w:r>
      <w:r>
        <w:rPr>
          <w:rFonts w:ascii="SimSun" w:eastAsia="SimSun" w:hAnsi="SimSun" w:cs="SimSun"/>
          <w:spacing w:val="-42"/>
        </w:rPr>
        <w:t xml:space="preserve"> </w:t>
      </w:r>
      <w:r>
        <w:t>ISO</w:t>
      </w:r>
      <w:r>
        <w:rPr>
          <w:spacing w:val="30"/>
        </w:rPr>
        <w:t xml:space="preserve"> </w:t>
      </w:r>
      <w:r>
        <w:rPr>
          <w:spacing w:val="6"/>
        </w:rPr>
        <w:t>14912</w:t>
      </w:r>
      <w:r>
        <w:rPr>
          <w:spacing w:val="29"/>
        </w:rPr>
        <w:t xml:space="preserve"> </w:t>
      </w:r>
      <w:r>
        <w:rPr>
          <w:rFonts w:ascii="SimSun" w:eastAsia="SimSun" w:hAnsi="SimSun" w:cs="SimSun"/>
          <w:spacing w:val="6"/>
        </w:rPr>
        <w:t>的规定对其进行换算，并对后</w:t>
      </w:r>
      <w:r>
        <w:rPr>
          <w:rFonts w:ascii="SimSun" w:eastAsia="SimSun" w:hAnsi="SimSun" w:cs="SimSun"/>
        </w:rPr>
        <w:t xml:space="preserve"> </w:t>
      </w:r>
      <w:r>
        <w:rPr>
          <w:rFonts w:ascii="SimSun" w:eastAsia="SimSun" w:hAnsi="SimSun" w:cs="SimSun"/>
          <w:spacing w:val="8"/>
        </w:rPr>
        <w:t>续计算过程中的测量不确定度进行评估。</w:t>
      </w:r>
    </w:p>
    <w:p>
      <w:pPr>
        <w:spacing w:line="312" w:lineRule="auto"/>
        <w:rPr>
          <w:rFonts w:ascii="Arial"/>
          <w:sz w:val="21"/>
        </w:rPr>
      </w:pPr>
    </w:p>
    <w:p>
      <w:pPr>
        <w:spacing w:before="65" w:line="231" w:lineRule="auto"/>
        <w:ind w:left="2"/>
        <w:outlineLvl w:val="0"/>
        <w:rPr>
          <w:rFonts w:ascii="SimHei" w:eastAsia="SimHei" w:hAnsi="SimHei" w:cs="SimHei"/>
          <w:sz w:val="20"/>
          <w:szCs w:val="20"/>
        </w:rPr>
      </w:pPr>
      <w:r>
        <w:rPr>
          <w:rFonts w:ascii="SimHei" w:eastAsia="SimHei" w:hAnsi="SimHei" w:cs="SimHei"/>
          <w:spacing w:val="4"/>
          <w:sz w:val="20"/>
          <w:szCs w:val="20"/>
        </w:rPr>
        <w:t>8</w:t>
      </w:r>
      <w:r>
        <w:rPr>
          <w:rFonts w:ascii="SimHei" w:eastAsia="SimHei" w:hAnsi="SimHei" w:cs="SimHei"/>
          <w:spacing w:val="12"/>
          <w:sz w:val="20"/>
          <w:szCs w:val="20"/>
        </w:rPr>
        <w:t xml:space="preserve">  </w:t>
      </w:r>
      <w:r>
        <w:rPr>
          <w:rFonts w:ascii="SimHei" w:eastAsia="SimHei" w:hAnsi="SimHei" w:cs="SimHei"/>
          <w:spacing w:val="4"/>
          <w:sz w:val="20"/>
          <w:szCs w:val="20"/>
        </w:rPr>
        <w:t>置信区间</w:t>
      </w:r>
    </w:p>
    <w:p>
      <w:pPr>
        <w:spacing w:line="306" w:lineRule="auto"/>
        <w:rPr>
          <w:rFonts w:ascii="Arial"/>
          <w:sz w:val="21"/>
        </w:rPr>
      </w:pPr>
    </w:p>
    <w:p>
      <w:pPr>
        <w:spacing w:before="66" w:line="229" w:lineRule="auto"/>
        <w:ind w:left="2"/>
        <w:outlineLvl w:val="1"/>
        <w:rPr>
          <w:rFonts w:ascii="SimHei" w:eastAsia="SimHei" w:hAnsi="SimHei" w:cs="SimHei"/>
          <w:sz w:val="20"/>
          <w:szCs w:val="20"/>
        </w:rPr>
      </w:pPr>
      <w:r>
        <w:rPr>
          <w:rFonts w:ascii="SimHei" w:eastAsia="SimHei" w:hAnsi="SimHei" w:cs="SimHei"/>
          <w:spacing w:val="4"/>
          <w:sz w:val="20"/>
          <w:szCs w:val="20"/>
        </w:rPr>
        <w:t>8.1</w:t>
      </w:r>
      <w:r>
        <w:rPr>
          <w:rFonts w:ascii="SimHei" w:eastAsia="SimHei" w:hAnsi="SimHei" w:cs="SimHei"/>
          <w:spacing w:val="8"/>
          <w:sz w:val="20"/>
          <w:szCs w:val="20"/>
        </w:rPr>
        <w:t xml:space="preserve">  </w:t>
      </w:r>
      <w:r>
        <w:rPr>
          <w:rFonts w:ascii="SimHei" w:eastAsia="SimHei" w:hAnsi="SimHei" w:cs="SimHei"/>
          <w:spacing w:val="4"/>
          <w:sz w:val="20"/>
          <w:szCs w:val="20"/>
        </w:rPr>
        <w:t>概述</w:t>
      </w:r>
    </w:p>
    <w:p>
      <w:pPr>
        <w:pStyle w:val="BodyText"/>
        <w:spacing w:before="219" w:line="273" w:lineRule="auto"/>
        <w:ind w:left="3" w:right="1" w:firstLine="422"/>
        <w:rPr>
          <w:rFonts w:ascii="SimSun" w:eastAsia="SimSun" w:hAnsi="SimSun" w:cs="SimSun"/>
        </w:rPr>
      </w:pPr>
      <w:r>
        <w:rPr>
          <w:rFonts w:ascii="SimSun" w:eastAsia="SimSun" w:hAnsi="SimSun" w:cs="SimSun"/>
          <w:spacing w:val="8"/>
        </w:rPr>
        <w:t>杂质的分数可能接近于零，这可能导致在计算正态分布或</w:t>
      </w:r>
      <w:r>
        <w:rPr>
          <w:rFonts w:ascii="SimSun" w:eastAsia="SimSun" w:hAnsi="SimSun" w:cs="SimSun"/>
          <w:spacing w:val="-36"/>
        </w:rPr>
        <w:t xml:space="preserve"> </w:t>
      </w:r>
      <w:r>
        <w:rPr>
          <w:i/>
          <w:iCs/>
          <w:spacing w:val="8"/>
        </w:rPr>
        <w:t xml:space="preserve">t </w:t>
      </w:r>
      <w:r>
        <w:rPr>
          <w:rFonts w:ascii="SimSun" w:eastAsia="SimSun" w:hAnsi="SimSun" w:cs="SimSun"/>
          <w:spacing w:val="8"/>
        </w:rPr>
        <w:t>分布的置信区间时出现问题。“接近于</w:t>
      </w:r>
      <w:r>
        <w:rPr>
          <w:rFonts w:ascii="SimSun" w:eastAsia="SimSun" w:hAnsi="SimSun" w:cs="SimSun"/>
        </w:rPr>
        <w:t xml:space="preserve"> </w:t>
      </w:r>
      <w:r>
        <w:rPr>
          <w:rFonts w:ascii="SimSun" w:eastAsia="SimSun" w:hAnsi="SimSun" w:cs="SimSun"/>
          <w:spacing w:val="10"/>
        </w:rPr>
        <w:t>零</w:t>
      </w:r>
      <w:r>
        <w:rPr>
          <w:rFonts w:ascii="SimSun" w:eastAsia="SimSun" w:hAnsi="SimSun" w:cs="SimSun"/>
          <w:spacing w:val="-70"/>
        </w:rPr>
        <w:t xml:space="preserve"> </w:t>
      </w:r>
      <w:r>
        <w:rPr>
          <w:rFonts w:ascii="SimSun" w:eastAsia="SimSun" w:hAnsi="SimSun" w:cs="SimSun"/>
          <w:spacing w:val="10"/>
        </w:rPr>
        <w:t>”的意思是，假设置信概率水平为</w:t>
      </w:r>
      <w:r>
        <w:rPr>
          <w:rFonts w:ascii="SimSun" w:eastAsia="SimSun" w:hAnsi="SimSun" w:cs="SimSun"/>
          <w:spacing w:val="-34"/>
        </w:rPr>
        <w:t xml:space="preserve"> </w:t>
      </w:r>
      <w:r>
        <w:rPr>
          <w:spacing w:val="10"/>
        </w:rPr>
        <w:t>95%</w:t>
      </w:r>
      <w:r>
        <w:rPr>
          <w:spacing w:val="-23"/>
        </w:rPr>
        <w:t xml:space="preserve"> </w:t>
      </w:r>
      <w:r>
        <w:rPr>
          <w:rFonts w:ascii="SimSun" w:eastAsia="SimSun" w:hAnsi="SimSun" w:cs="SimSun"/>
          <w:spacing w:val="10"/>
        </w:rPr>
        <w:t>，分数与零之间的差值小</w:t>
      </w:r>
      <w:r>
        <w:rPr>
          <w:rFonts w:ascii="SimSun" w:eastAsia="SimSun" w:hAnsi="SimSun" w:cs="SimSun"/>
          <w:spacing w:val="9"/>
        </w:rPr>
        <w:t>于该分数的标准不确定度的</w:t>
      </w:r>
      <w:r>
        <w:rPr>
          <w:rFonts w:ascii="SimSun" w:eastAsia="SimSun" w:hAnsi="SimSun" w:cs="SimSun"/>
          <w:spacing w:val="-39"/>
        </w:rPr>
        <w:t xml:space="preserve"> </w:t>
      </w:r>
      <w:r>
        <w:rPr>
          <w:spacing w:val="9"/>
        </w:rPr>
        <w:t xml:space="preserve">4 </w:t>
      </w:r>
      <w:r>
        <w:rPr>
          <w:rFonts w:ascii="SimSun" w:eastAsia="SimSun" w:hAnsi="SimSun" w:cs="SimSun"/>
          <w:spacing w:val="9"/>
        </w:rPr>
        <w:t>倍。</w:t>
      </w:r>
      <w:r>
        <w:rPr>
          <w:rFonts w:ascii="SimSun" w:eastAsia="SimSun" w:hAnsi="SimSun" w:cs="SimSun"/>
        </w:rPr>
        <w:t xml:space="preserve"> </w:t>
      </w:r>
      <w:r>
        <w:rPr>
          <w:rFonts w:ascii="SimSun" w:eastAsia="SimSun" w:hAnsi="SimSun" w:cs="SimSun"/>
        </w:rPr>
        <w:br/>
      </w:r>
      <w:r>
        <w:rPr>
          <w:rFonts w:ascii="SimSun" w:eastAsia="SimSun" w:hAnsi="SimSun" w:cs="SimSun"/>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5" w:history="1">
        <w:r>
          <w:rPr>
            <w:rFonts w:ascii="SimSun" w:eastAsia="SimSun" w:hAnsi="SimSun" w:cs="SimSun"/>
            <w:b/>
            <w:bCs/>
            <w:noProof w:val="0"/>
            <w:snapToGrid/>
            <w:color w:val="0000EE"/>
            <w:kern w:val="0"/>
            <w:sz w:val="30"/>
            <w:szCs w:val="30"/>
            <w:u w:val="single" w:color="0000EE"/>
          </w:rPr>
          <w:t>https://d.book118.com/957126110156006053</w:t>
        </w:r>
      </w:hyperlink>
    </w:p>
    <w:p>
      <w:pPr>
        <w:pStyle w:val="BodyText"/>
        <w:spacing w:before="219" w:line="273" w:lineRule="auto"/>
        <w:ind w:left="3" w:right="1" w:firstLine="422"/>
        <w:rPr>
          <w:rFonts w:ascii="SimSun" w:eastAsia="SimSun" w:hAnsi="SimSun" w:cs="SimSun"/>
        </w:rPr>
      </w:pPr>
    </w:p>
    <w:sectPr>
      <w:footerReference w:type="default" r:id="rId26"/>
      <w:pgSz w:w="11906" w:h="16839"/>
      <w:pgMar w:top="1406" w:right="1133" w:bottom="1313" w:left="1421" w:header="0" w:footer="1134" w:gutter="0"/>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4"/>
      <w:rPr>
        <w:rFonts w:ascii="SimSun" w:eastAsia="SimSun" w:hAnsi="SimSun" w:cs="SimSun"/>
        <w:sz w:val="18"/>
        <w:szCs w:val="18"/>
      </w:rPr>
    </w:pPr>
    <w:r>
      <w:rPr>
        <w:rFonts w:ascii="SimSun" w:eastAsia="SimSun" w:hAnsi="SimSun" w:cs="SimSun"/>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4"/>
      <w:rPr>
        <w:rFonts w:ascii="SimSun" w:eastAsia="SimSun" w:hAnsi="SimSun" w:cs="SimSun"/>
        <w:sz w:val="18"/>
        <w:szCs w:val="18"/>
      </w:rPr>
    </w:pPr>
    <w:r>
      <w:rPr>
        <w:rFonts w:ascii="SimSun" w:eastAsia="SimSun" w:hAnsi="SimSun" w:cs="SimSun"/>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41"/>
      <w:rPr>
        <w:rFonts w:ascii="SimSun" w:eastAsia="SimSun" w:hAnsi="SimSun" w:cs="SimSun"/>
        <w:sz w:val="18"/>
        <w:szCs w:val="18"/>
      </w:rPr>
    </w:pPr>
    <w:r>
      <w:rPr>
        <w:rFonts w:ascii="SimSun" w:eastAsia="SimSun" w:hAnsi="SimSun" w:cs="SimSun"/>
        <w:sz w:val="18"/>
        <w:szCs w:val="18"/>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41"/>
      <w:rPr>
        <w:rFonts w:ascii="SimSun" w:eastAsia="SimSun" w:hAnsi="SimSun" w:cs="SimSun"/>
        <w:sz w:val="18"/>
        <w:szCs w:val="18"/>
      </w:rPr>
    </w:pPr>
    <w:r>
      <w:rPr>
        <w:rFonts w:ascii="SimSun" w:eastAsia="SimSun" w:hAnsi="SimSun" w:cs="SimSun"/>
        <w:sz w:val="18"/>
        <w:szCs w:val="18"/>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0"/>
      <w:rPr>
        <w:rFonts w:ascii="SimSun" w:eastAsia="SimSun" w:hAnsi="SimSun" w:cs="SimSun"/>
        <w:sz w:val="18"/>
        <w:szCs w:val="18"/>
      </w:rPr>
    </w:pPr>
    <w:r>
      <w:rPr>
        <w:rFonts w:ascii="SimSun" w:eastAsia="SimSun" w:hAnsi="SimSun" w:cs="SimSun"/>
        <w:sz w:val="18"/>
        <w:szCs w:val="18"/>
      </w:rP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40"/>
      <w:rPr>
        <w:rFonts w:ascii="SimSun" w:eastAsia="SimSun" w:hAnsi="SimSun" w:cs="SimSun"/>
        <w:sz w:val="18"/>
        <w:szCs w:val="18"/>
      </w:rPr>
    </w:pPr>
    <w:r>
      <w:rPr>
        <w:rFonts w:ascii="SimSun" w:eastAsia="SimSun" w:hAnsi="SimSun" w:cs="SimSun"/>
        <w:sz w:val="18"/>
        <w:szCs w:val="18"/>
      </w:rPr>
      <w:t>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37"/>
      <w:rPr>
        <w:rFonts w:ascii="SimSun" w:eastAsia="SimSun" w:hAnsi="SimSun" w:cs="SimSun"/>
        <w:sz w:val="18"/>
        <w:szCs w:val="18"/>
      </w:rPr>
    </w:pPr>
    <w:r>
      <w:rPr>
        <w:rFonts w:ascii="SimSun" w:eastAsia="SimSun" w:hAnsi="SimSun" w:cs="SimSun"/>
        <w:sz w:val="18"/>
        <w:szCs w:val="18"/>
      </w:rPr>
      <w:t>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37"/>
      <w:rPr>
        <w:rFonts w:ascii="SimSun" w:eastAsia="SimSun" w:hAnsi="SimSun" w:cs="SimSun"/>
        <w:sz w:val="18"/>
        <w:szCs w:val="18"/>
      </w:rPr>
    </w:pPr>
    <w:r>
      <w:rPr>
        <w:rFonts w:ascii="SimSun" w:eastAsia="SimSun" w:hAnsi="SimSun" w:cs="SimSun"/>
        <w:sz w:val="18"/>
        <w:szCs w:val="18"/>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36"/>
      <w:rPr>
        <w:rFonts w:ascii="SimSun" w:eastAsia="SimSun" w:hAnsi="SimSun" w:cs="SimSun"/>
        <w:sz w:val="18"/>
        <w:szCs w:val="18"/>
      </w:rPr>
    </w:pPr>
    <w:r>
      <w:rPr>
        <w:rFonts w:ascii="SimSun" w:eastAsia="SimSun" w:hAnsi="SimSun" w:cs="SimSun"/>
        <w:sz w:val="18"/>
        <w:szCs w:val="18"/>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36"/>
      <w:rPr>
        <w:rFonts w:ascii="SimSun" w:eastAsia="SimSun" w:hAnsi="SimSun" w:cs="SimSun"/>
        <w:sz w:val="18"/>
        <w:szCs w:val="18"/>
      </w:rPr>
    </w:pPr>
    <w:r>
      <w:rPr>
        <w:rFonts w:ascii="SimSun" w:eastAsia="SimSun" w:hAnsi="SimSun" w:cs="SimSun"/>
        <w:sz w:val="18"/>
        <w:szCs w:val="18"/>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60"/>
      <w:rPr>
        <w:rFonts w:ascii="SimSun" w:eastAsia="SimSun" w:hAnsi="SimSun" w:cs="SimSun"/>
        <w:sz w:val="18"/>
        <w:szCs w:val="18"/>
      </w:rPr>
    </w:pPr>
    <w:r>
      <w:rPr>
        <w:rFonts w:ascii="SimSun" w:eastAsia="SimSun" w:hAnsi="SimSun" w:cs="SimSun"/>
        <w:spacing w:val="-10"/>
        <w:sz w:val="18"/>
        <w:szCs w:val="18"/>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60"/>
      <w:rPr>
        <w:rFonts w:ascii="SimSun" w:eastAsia="SimSun" w:hAnsi="SimSun" w:cs="SimSun"/>
        <w:sz w:val="18"/>
        <w:szCs w:val="18"/>
      </w:rPr>
    </w:pPr>
    <w:r>
      <w:rPr>
        <w:rFonts w:ascii="SimSun" w:eastAsia="SimSun" w:hAnsi="SimSun" w:cs="SimSun"/>
        <w:spacing w:val="-10"/>
        <w:sz w:val="18"/>
        <w:szCs w:val="18"/>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8963"/>
      <w:rPr>
        <w:rFonts w:ascii="SimSun" w:eastAsia="SimSun" w:hAnsi="SimSun" w:cs="SimSun"/>
        <w:sz w:val="18"/>
        <w:szCs w:val="18"/>
      </w:rPr>
    </w:pPr>
    <w:r>
      <w:rPr>
        <w:rFonts w:ascii="SimSun" w:eastAsia="SimSun" w:hAnsi="SimSun" w:cs="SimSun"/>
        <w:spacing w:val="-10"/>
        <w:sz w:val="18"/>
        <w:szCs w:val="18"/>
      </w:rPr>
      <w:t>11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Times New Roman" w:eastAsia="Times New Roman" w:hAnsi="Times New Roman" w:cs="Times New Roman"/>
      <w:sz w:val="20"/>
      <w:szCs w:val="20"/>
      <w:lang w:val="en-US" w:eastAsia="en-US" w:bidi="ar-SA"/>
    </w:rPr>
  </w:style>
  <w:style w:type="paragraph" w:customStyle="1" w:styleId="TableText">
    <w:name w:val="Table Text"/>
    <w:basedOn w:val="Normal"/>
    <w:semiHidden/>
    <w:qFormat/>
    <w:rPr>
      <w:rFonts w:ascii="Times New Roman" w:eastAsia="Times New Roman" w:hAnsi="Times New Roman" w:cs="Times New Roma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image" Target="media/image2.png" /><Relationship Id="rId15" Type="http://schemas.openxmlformats.org/officeDocument/2006/relationships/footer" Target="footer10.xml" /><Relationship Id="rId16" Type="http://schemas.openxmlformats.org/officeDocument/2006/relationships/image" Target="media/image3.png" /><Relationship Id="rId17" Type="http://schemas.openxmlformats.org/officeDocument/2006/relationships/footer" Target="footer11.xml" /><Relationship Id="rId18" Type="http://schemas.openxmlformats.org/officeDocument/2006/relationships/image" Target="media/image4.png" /><Relationship Id="rId19" Type="http://schemas.openxmlformats.org/officeDocument/2006/relationships/image" Target="media/image5.png"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image" Target="media/image9.png" /><Relationship Id="rId25" Type="http://schemas.openxmlformats.org/officeDocument/2006/relationships/hyperlink" Target="https://d.book118.com/957126110156006053" TargetMode="External" /><Relationship Id="rId26" Type="http://schemas.openxmlformats.org/officeDocument/2006/relationships/footer" Target="footer13.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image" Target="media/image1.jpeg"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国家标准</dc:title>
  <dc:creator>李福芬</dc:creator>
  <cp:revision>0</cp:revision>
  <dcterms:created xsi:type="dcterms:W3CDTF">2024-03-18T09:10:16Z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2024-03-18T10:50:11Z</vt:filetime>
  </property>
  <property fmtid="{D5CDD505-2E9C-101B-9397-08002B2CF9AE}" pid="3" name="CRO">
    <vt:lpwstr>wqlLaW5nc29mdCBQREYgdG8gV1BTIDkw</vt:lpwstr>
  </property>
</Properties>
</file>