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受体激动阻断药相关行业公司成立方案及可行性研究报告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06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_Toc22064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_Toc29513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2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_Toc17892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_Toc12688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0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_Toc24709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_Toc4729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_Toc3925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2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_Toc30582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_Toc15087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_Toc8246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4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_Toc13245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_Toc30664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57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_Toc5557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" w:history="1">
        <w:r>
          <w:rPr>
            <w:rFonts w:ascii="仿宋" w:eastAsia="仿宋" w:hAnsi="仿宋" w:cs="仿宋" w:hint="eastAsia"/>
            <w:lang w:eastAsia="zh-CN"/>
          </w:rPr>
          <w:t>(一)、受体激动阻断药项目选址原则</w:t>
        </w:r>
        <w:r>
          <w:tab/>
        </w:r>
        <w:r>
          <w:fldChar w:fldCharType="begin"/>
        </w:r>
        <w:r>
          <w:instrText xml:space="preserve"> PAGEREF _Toc3059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1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_Toc20119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0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_Toc5703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_Toc20820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1" w:history="1">
        <w:r>
          <w:rPr>
            <w:rFonts w:ascii="仿宋" w:eastAsia="仿宋" w:hAnsi="仿宋" w:cs="仿宋" w:hint="eastAsia"/>
            <w:lang w:eastAsia="zh-CN"/>
          </w:rPr>
          <w:t>(五)、受体激动阻断药项目选址综合评价</w:t>
        </w:r>
        <w:r>
          <w:tab/>
        </w:r>
        <w:r>
          <w:fldChar w:fldCharType="begin"/>
        </w:r>
        <w:r>
          <w:instrText xml:space="preserve"> PAGEREF _Toc26371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26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_Toc6626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_Toc3126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_Toc8274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五、受体激动阻断药筹建公司基本信息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_Toc15860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_Toc23638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_Toc16558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_Toc17744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_Toc26396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0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_Toc25740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8" w:history="1">
        <w:r>
          <w:rPr>
            <w:rFonts w:ascii="仿宋" w:eastAsia="仿宋" w:hAnsi="仿宋" w:cs="仿宋" w:hint="eastAsia"/>
            <w:lang w:eastAsia="zh-CN"/>
          </w:rPr>
          <w:t>(一)、受体激动阻断药项目进度安排</w:t>
        </w:r>
        <w:r>
          <w:tab/>
        </w:r>
        <w:r>
          <w:fldChar w:fldCharType="begin"/>
        </w:r>
        <w:r>
          <w:instrText xml:space="preserve"> PAGEREF _Toc11758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1" w:history="1">
        <w:r>
          <w:rPr>
            <w:rFonts w:ascii="仿宋" w:eastAsia="仿宋" w:hAnsi="仿宋" w:cs="仿宋" w:hint="eastAsia"/>
            <w:lang w:eastAsia="zh-CN"/>
          </w:rPr>
          <w:t>(二)、受体激动阻断药项目实施保障措施</w:t>
        </w:r>
        <w:r>
          <w:tab/>
        </w:r>
        <w:r>
          <w:fldChar w:fldCharType="begin"/>
        </w:r>
        <w:r>
          <w:instrText xml:space="preserve"> PAGEREF _Toc3621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5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_Toc29725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_Toc5041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_Toc29976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_Toc29641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八、受体激动阻断药项目经济效益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8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_Toc30688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_Toc7491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77" w:history="1">
        <w:r>
          <w:rPr>
            <w:rFonts w:ascii="仿宋" w:eastAsia="仿宋" w:hAnsi="仿宋" w:cs="仿宋" w:hint="eastAsia"/>
            <w:lang w:eastAsia="zh-CN"/>
          </w:rPr>
          <w:t>(三)、受体激动阻断药项目盈利能力分析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_Toc23072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_Toc28877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_Toc31102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3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_Toc14833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_Toc26355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5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_Toc31453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8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_Toc7880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_Toc466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_Toc8578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_Toc24619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_Toc22333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_Toc19394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_Toc9332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_Toc27979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_Toc30965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2" w:history="1">
        <w:r>
          <w:rPr>
            <w:rFonts w:ascii="仿宋" w:eastAsia="仿宋" w:hAnsi="仿宋" w:cs="仿宋" w:hint="eastAsia"/>
            <w:lang w:eastAsia="zh-CN"/>
          </w:rPr>
          <w:t>十、受体激动阻断药项目风险分析</w:t>
        </w:r>
        <w:r>
          <w:tab/>
        </w:r>
        <w:r>
          <w:fldChar w:fldCharType="begin"/>
        </w:r>
        <w:r>
          <w:instrText xml:space="preserve"> PAGEREF _Toc18072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3" w:history="1">
        <w:r>
          <w:rPr>
            <w:rFonts w:ascii="仿宋" w:eastAsia="仿宋" w:hAnsi="仿宋" w:cs="仿宋" w:hint="eastAsia"/>
            <w:lang w:eastAsia="zh-CN"/>
          </w:rPr>
          <w:t>(一)、受体激动阻断药项目风险分析</w:t>
        </w:r>
        <w:r>
          <w:tab/>
        </w:r>
        <w:r>
          <w:fldChar w:fldCharType="begin"/>
        </w:r>
        <w:r>
          <w:instrText xml:space="preserve"> PAGEREF _Toc25143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(二)、受体激动阻断药项目风险对策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2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_Toc9825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9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_Toc6879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6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_Toc4606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_Toc25222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_Toc29745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9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_Toc1689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15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_Toc17815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5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_Toc5953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_Toc11327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_Toc4710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_Toc8765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十四、受体激动阻断药项目总结分析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06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51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892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268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https://d.book118.com/958036113062006036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受体激动阻断药相关行业公司成立方案及可行性研究报告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受体激动阻断药相关行业公司成立方案及可行性研究报告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受体激动阻断药相关行业公司成立方案及可行性研究报告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受体激动阻断药相关行业公司成立方案及可行性研究报告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受体激动阻断药相关行业公司成立方案及可行性研究报告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803611306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2024-02-09T07:26:00Z</dcterms:created>
  <dcterms:modified xsi:type="dcterms:W3CDTF">2024-02-09T07:27:14Z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416D9946134743AB85AE5DCB2EDA7947_11</vt:lpwstr>
  </property>
  <property fmtid="{D5CDD505-2E9C-101B-9397-08002B2CF9AE}" pid="3" name="KSOProductBuildVer">
    <vt:lpwstr>2052-12.1.0.16250</vt:lpwstr>
  </property>
</Properties>
</file>