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bookmarkStart w:id="0" w:name="_GoBack"/>
      <w:bookmarkEnd w:id="0"/>
    </w:p>
    <w:p>
      <w:pPr>
        <w:rPr>
          <w:rFonts w:ascii="仿宋" w:eastAsia="仿宋" w:hAnsi="仿宋" w:cs="仿宋" w:hint="eastAsia"/>
          <w:b/>
          <w:sz w:val="40"/>
        </w:rPr>
      </w:pPr>
    </w:p>
    <w:p>
      <w:pPr>
        <w:rPr>
          <w:rFonts w:ascii="仿宋" w:eastAsia="仿宋" w:hAnsi="仿宋" w:cs="仿宋" w:hint="eastAsia"/>
          <w:b/>
          <w:sz w:val="40"/>
        </w:rPr>
      </w:pPr>
    </w:p>
    <w:p>
      <w:pPr>
        <w:spacing w:before="254" w:line="360" w:lineRule="auto"/>
        <w:ind w:left="273"/>
        <w:jc w:val="center"/>
        <w:outlineLvl w:val="0"/>
        <w:rPr>
          <w:rFonts w:ascii="微软雅黑" w:eastAsia="微软雅黑" w:hAnsi="微软雅黑" w:cs="微软雅黑"/>
          <w:b/>
          <w:bCs/>
          <w:color w:val="2D54A0"/>
          <w:spacing w:val="8"/>
          <w:sz w:val="59"/>
          <w:szCs w:val="59"/>
        </w:rPr>
      </w:pPr>
      <w:r>
        <w:rPr>
          <w:rFonts w:ascii="微软雅黑" w:eastAsia="微软雅黑" w:hAnsi="微软雅黑" w:cs="微软雅黑"/>
          <w:b/>
          <w:bCs/>
          <w:color w:val="2D54A0"/>
          <w:spacing w:val="9"/>
          <w:sz w:val="59"/>
          <w:szCs w:val="59"/>
        </w:rPr>
        <w:t>2024年锰矿行业趋势报告</w:t>
      </w:r>
    </w:p>
    <w:p>
      <w:pPr>
        <w:spacing w:before="254" w:line="360" w:lineRule="auto"/>
        <w:ind w:left="273"/>
        <w:jc w:val="center"/>
        <w:outlineLvl w:val="0"/>
        <w:rPr>
          <w:rFonts w:ascii="微软雅黑" w:eastAsia="微软雅黑" w:hAnsi="微软雅黑" w:cs="微软雅黑"/>
          <w:b/>
          <w:bCs/>
          <w:color w:val="2D54A0"/>
          <w:spacing w:val="8"/>
          <w:sz w:val="59"/>
          <w:szCs w:val="59"/>
        </w:rPr>
      </w:pPr>
    </w:p>
    <w:p>
      <w:pPr>
        <w:spacing w:before="254" w:line="360" w:lineRule="auto"/>
        <w:ind w:left="273"/>
        <w:jc w:val="center"/>
        <w:outlineLvl w:val="0"/>
        <w:rPr>
          <w:rFonts w:ascii="微软雅黑" w:eastAsia="微软雅黑" w:hAnsi="微软雅黑" w:cs="微软雅黑"/>
          <w:b/>
          <w:bCs/>
          <w:color w:val="2D54A0"/>
          <w:spacing w:val="8"/>
          <w:sz w:val="59"/>
          <w:szCs w:val="59"/>
        </w:rPr>
      </w:pPr>
    </w:p>
    <w:p>
      <w:pPr>
        <w:spacing w:before="254" w:line="360" w:lineRule="auto"/>
        <w:ind w:left="273"/>
        <w:jc w:val="center"/>
        <w:outlineLvl w:val="0"/>
        <w:rPr>
          <w:rFonts w:ascii="微软雅黑" w:eastAsia="微软雅黑" w:hAnsi="微软雅黑" w:cs="微软雅黑"/>
          <w:b/>
          <w:bCs/>
          <w:color w:val="2D54A0"/>
          <w:spacing w:val="8"/>
          <w:sz w:val="59"/>
          <w:szCs w:val="59"/>
        </w:rPr>
      </w:pPr>
    </w:p>
    <w:p>
      <w:pPr>
        <w:spacing w:before="254" w:line="360" w:lineRule="auto"/>
        <w:ind w:left="273"/>
        <w:jc w:val="center"/>
        <w:outlineLvl w:val="0"/>
        <w:rPr>
          <w:rFonts w:ascii="微软雅黑" w:eastAsia="微软雅黑" w:hAnsi="微软雅黑" w:cs="微软雅黑"/>
          <w:b/>
          <w:bCs/>
          <w:color w:val="2D54A0"/>
          <w:spacing w:val="8"/>
          <w:sz w:val="59"/>
          <w:szCs w:val="59"/>
        </w:rPr>
      </w:pPr>
    </w:p>
    <w:p>
      <w:pPr>
        <w:spacing w:before="254" w:line="360" w:lineRule="auto"/>
        <w:ind w:left="273"/>
        <w:jc w:val="center"/>
        <w:outlineLvl w:val="0"/>
        <w:rPr>
          <w:rFonts w:ascii="微软雅黑" w:eastAsia="微软雅黑" w:hAnsi="微软雅黑" w:cs="微软雅黑" w:hint="default"/>
          <w:b/>
          <w:bCs/>
          <w:color w:val="2D54A0"/>
          <w:spacing w:val="8"/>
          <w:sz w:val="44"/>
          <w:szCs w:val="44"/>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微软雅黑" w:eastAsia="微软雅黑" w:hAnsi="微软雅黑" w:cs="微软雅黑" w:hint="eastAsia"/>
          <w:b/>
          <w:bCs/>
          <w:color w:val="2D54A0"/>
          <w:spacing w:val="8"/>
          <w:sz w:val="44"/>
          <w:szCs w:val="44"/>
          <w:lang w:val="en-US" w:eastAsia="zh-CN"/>
        </w:rPr>
        <w:t>《2024年最新评估分析》</w:t>
      </w:r>
    </w:p>
    <w:p>
      <w:pPr>
        <w:spacing w:line="360" w:lineRule="auto"/>
        <w:jc w:val="center"/>
        <w:rPr>
          <w:rFonts w:ascii="微软雅黑" w:eastAsia="微软雅黑" w:hAnsi="微软雅黑" w:cs="微软雅黑" w:hint="eastAsia"/>
          <w:b/>
          <w:bCs w:val="0"/>
          <w:color w:val="2E54A1" w:themeColor="accent1" w:themeShade="BF"/>
          <w:sz w:val="40"/>
        </w:rPr>
      </w:pPr>
      <w:r>
        <w:rPr>
          <w:rFonts w:ascii="微软雅黑" w:eastAsia="微软雅黑" w:hAnsi="微软雅黑" w:cs="微软雅黑" w:hint="eastAsia"/>
          <w:b/>
          <w:bCs w:val="0"/>
          <w:color w:val="2E54A1" w:themeColor="accent1" w:themeShade="BF"/>
          <w:sz w:val="40"/>
          <w:lang w:eastAsia="zh-CN"/>
        </w:rPr>
        <w:t>目录</w:t>
      </w:r>
    </w:p>
    <w:p>
      <w:pPr>
        <w:pStyle w:val="TOC1"/>
        <w:tabs>
          <w:tab w:val="right" w:leader="dot" w:pos="8306"/>
        </w:tabs>
      </w:pPr>
      <w:r>
        <w:fldChar w:fldCharType="begin"/>
      </w:r>
      <w:r>
        <w:instrText>TOC \h \z</w:instrText>
      </w:r>
      <w:r>
        <w:fldChar w:fldCharType="separate"/>
      </w:r>
      <w:hyperlink w:anchor="_Toc31056" w:history="1">
        <w:r>
          <w:rPr>
            <w:rFonts w:ascii="微软雅黑" w:eastAsia="微软雅黑" w:hAnsi="微软雅黑" w:cs="微软雅黑" w:hint="eastAsia"/>
            <w:color w:val="001CAC" w:themeColor="hyperlink" w:themeShade="BF"/>
            <w:lang w:eastAsia="zh-CN"/>
          </w:rPr>
          <w:t>前言</w:t>
        </w:r>
        <w:r>
          <w:tab/>
        </w:r>
        <w:r>
          <w:fldChar w:fldCharType="begin"/>
        </w:r>
        <w:r>
          <w:instrText xml:space="preserve"> PAGEREF _Toc31056 \h </w:instrText>
        </w:r>
        <w:r>
          <w:fldChar w:fldCharType="separate"/>
        </w:r>
        <w:r>
          <w:t>4</w:t>
        </w:r>
        <w:r>
          <w:fldChar w:fldCharType="end"/>
        </w:r>
      </w:hyperlink>
    </w:p>
    <w:p>
      <w:pPr>
        <w:pStyle w:val="TOC1"/>
        <w:tabs>
          <w:tab w:val="right" w:leader="dot" w:pos="8306"/>
        </w:tabs>
      </w:pPr>
      <w:hyperlink w:anchor="_Toc16423" w:history="1">
        <w:r>
          <w:rPr>
            <w:rFonts w:ascii="微软雅黑" w:eastAsia="微软雅黑" w:hAnsi="微软雅黑" w:cs="微软雅黑" w:hint="eastAsia"/>
            <w:color w:val="001CAC" w:themeColor="hyperlink" w:themeShade="BF"/>
            <w:szCs w:val="32"/>
            <w:lang w:eastAsia="zh-CN"/>
          </w:rPr>
          <w:t>一、锰矿行业背景及市场分析</w:t>
        </w:r>
        <w:r>
          <w:tab/>
        </w:r>
        <w:r>
          <w:fldChar w:fldCharType="begin"/>
        </w:r>
        <w:r>
          <w:instrText xml:space="preserve"> PAGEREF _Toc16423 \h </w:instrText>
        </w:r>
        <w:r>
          <w:fldChar w:fldCharType="separate"/>
        </w:r>
        <w:r>
          <w:t>4</w:t>
        </w:r>
        <w:r>
          <w:fldChar w:fldCharType="end"/>
        </w:r>
      </w:hyperlink>
    </w:p>
    <w:p>
      <w:pPr>
        <w:pStyle w:val="TOC2"/>
        <w:tabs>
          <w:tab w:val="right" w:leader="dot" w:pos="8306"/>
        </w:tabs>
      </w:pPr>
      <w:hyperlink w:anchor="_Toc14126" w:history="1">
        <w:r>
          <w:rPr>
            <w:rFonts w:ascii="宋体" w:eastAsia="宋体" w:hAnsi="宋体" w:cs="宋体" w:hint="eastAsia"/>
            <w:bCs w:val="0"/>
            <w:szCs w:val="28"/>
            <w:lang w:eastAsia="zh-CN"/>
          </w:rPr>
          <w:t>(一)、锰矿行业创新驱动</w:t>
        </w:r>
        <w:r>
          <w:tab/>
        </w:r>
        <w:r>
          <w:fldChar w:fldCharType="begin"/>
        </w:r>
        <w:r>
          <w:instrText xml:space="preserve"> PAGEREF _Toc14126 \h </w:instrText>
        </w:r>
        <w:r>
          <w:fldChar w:fldCharType="separate"/>
        </w:r>
        <w:r>
          <w:t>4</w:t>
        </w:r>
        <w:r>
          <w:fldChar w:fldCharType="end"/>
        </w:r>
      </w:hyperlink>
    </w:p>
    <w:p>
      <w:pPr>
        <w:pStyle w:val="TOC2"/>
        <w:tabs>
          <w:tab w:val="right" w:leader="dot" w:pos="8306"/>
        </w:tabs>
      </w:pPr>
      <w:hyperlink w:anchor="_Toc26145" w:history="1">
        <w:r>
          <w:rPr>
            <w:rFonts w:ascii="宋体" w:eastAsia="宋体" w:hAnsi="宋体" w:cs="宋体" w:hint="eastAsia"/>
            <w:bCs w:val="0"/>
            <w:szCs w:val="28"/>
            <w:lang w:eastAsia="zh-CN"/>
          </w:rPr>
          <w:t>(二)、锰矿行业发展现状</w:t>
        </w:r>
        <w:r>
          <w:tab/>
        </w:r>
        <w:r>
          <w:fldChar w:fldCharType="begin"/>
        </w:r>
        <w:r>
          <w:instrText xml:space="preserve"> PAGEREF _Toc26145 \h </w:instrText>
        </w:r>
        <w:r>
          <w:fldChar w:fldCharType="separate"/>
        </w:r>
        <w:r>
          <w:t>5</w:t>
        </w:r>
        <w:r>
          <w:fldChar w:fldCharType="end"/>
        </w:r>
      </w:hyperlink>
    </w:p>
    <w:p>
      <w:pPr>
        <w:pStyle w:val="TOC2"/>
        <w:tabs>
          <w:tab w:val="right" w:leader="dot" w:pos="8306"/>
        </w:tabs>
      </w:pPr>
      <w:hyperlink w:anchor="_Toc31013" w:history="1">
        <w:r>
          <w:rPr>
            <w:rFonts w:ascii="宋体" w:eastAsia="宋体" w:hAnsi="宋体" w:cs="宋体" w:hint="eastAsia"/>
            <w:bCs w:val="0"/>
            <w:szCs w:val="28"/>
            <w:lang w:eastAsia="zh-CN"/>
          </w:rPr>
          <w:t>(三)、锰矿行业高质量发展</w:t>
        </w:r>
        <w:r>
          <w:tab/>
        </w:r>
        <w:r>
          <w:fldChar w:fldCharType="begin"/>
        </w:r>
        <w:r>
          <w:instrText xml:space="preserve"> PAGEREF _Toc31013 \h </w:instrText>
        </w:r>
        <w:r>
          <w:fldChar w:fldCharType="separate"/>
        </w:r>
        <w:r>
          <w:t>6</w:t>
        </w:r>
        <w:r>
          <w:fldChar w:fldCharType="end"/>
        </w:r>
      </w:hyperlink>
    </w:p>
    <w:p>
      <w:pPr>
        <w:pStyle w:val="TOC2"/>
        <w:tabs>
          <w:tab w:val="right" w:leader="dot" w:pos="8306"/>
        </w:tabs>
      </w:pPr>
      <w:hyperlink w:anchor="_Toc3248" w:history="1">
        <w:r>
          <w:rPr>
            <w:rFonts w:ascii="宋体" w:eastAsia="宋体" w:hAnsi="宋体" w:cs="宋体" w:hint="eastAsia"/>
            <w:bCs w:val="0"/>
            <w:szCs w:val="28"/>
            <w:lang w:eastAsia="zh-CN"/>
          </w:rPr>
          <w:t>(四)、锰矿行业产业链分析</w:t>
        </w:r>
        <w:r>
          <w:tab/>
        </w:r>
        <w:r>
          <w:fldChar w:fldCharType="begin"/>
        </w:r>
        <w:r>
          <w:instrText xml:space="preserve"> PAGEREF _Toc3248 \h </w:instrText>
        </w:r>
        <w:r>
          <w:fldChar w:fldCharType="separate"/>
        </w:r>
        <w:r>
          <w:t>7</w:t>
        </w:r>
        <w:r>
          <w:fldChar w:fldCharType="end"/>
        </w:r>
      </w:hyperlink>
    </w:p>
    <w:p>
      <w:pPr>
        <w:pStyle w:val="TOC2"/>
        <w:tabs>
          <w:tab w:val="right" w:leader="dot" w:pos="8306"/>
        </w:tabs>
      </w:pPr>
      <w:hyperlink w:anchor="_Toc10169" w:history="1">
        <w:r>
          <w:rPr>
            <w:rFonts w:ascii="宋体" w:eastAsia="宋体" w:hAnsi="宋体" w:cs="宋体" w:hint="eastAsia"/>
            <w:bCs w:val="0"/>
            <w:szCs w:val="28"/>
            <w:lang w:eastAsia="zh-CN"/>
          </w:rPr>
          <w:t>(五)、锰矿行业发展方向</w:t>
        </w:r>
        <w:r>
          <w:tab/>
        </w:r>
        <w:r>
          <w:fldChar w:fldCharType="begin"/>
        </w:r>
        <w:r>
          <w:instrText xml:space="preserve"> PAGEREF _Toc10169 \h </w:instrText>
        </w:r>
        <w:r>
          <w:fldChar w:fldCharType="separate"/>
        </w:r>
        <w:r>
          <w:t>7</w:t>
        </w:r>
        <w:r>
          <w:fldChar w:fldCharType="end"/>
        </w:r>
      </w:hyperlink>
    </w:p>
    <w:p>
      <w:pPr>
        <w:pStyle w:val="TOC2"/>
        <w:tabs>
          <w:tab w:val="right" w:leader="dot" w:pos="8306"/>
        </w:tabs>
      </w:pPr>
      <w:hyperlink w:anchor="_Toc25429" w:history="1">
        <w:r>
          <w:rPr>
            <w:rFonts w:ascii="宋体" w:eastAsia="宋体" w:hAnsi="宋体" w:cs="宋体" w:hint="eastAsia"/>
            <w:bCs w:val="0"/>
            <w:szCs w:val="28"/>
            <w:lang w:eastAsia="zh-CN"/>
          </w:rPr>
          <w:t>(六)、锰矿行业前景</w:t>
        </w:r>
        <w:r>
          <w:tab/>
        </w:r>
        <w:r>
          <w:fldChar w:fldCharType="begin"/>
        </w:r>
        <w:r>
          <w:instrText xml:space="preserve"> PAGEREF _Toc25429 \h </w:instrText>
        </w:r>
        <w:r>
          <w:fldChar w:fldCharType="separate"/>
        </w:r>
        <w:r>
          <w:t>10</w:t>
        </w:r>
        <w:r>
          <w:fldChar w:fldCharType="end"/>
        </w:r>
      </w:hyperlink>
    </w:p>
    <w:p>
      <w:pPr>
        <w:pStyle w:val="TOC2"/>
        <w:tabs>
          <w:tab w:val="right" w:leader="dot" w:pos="8306"/>
        </w:tabs>
      </w:pPr>
      <w:hyperlink w:anchor="_Toc8517" w:history="1">
        <w:r>
          <w:rPr>
            <w:rFonts w:ascii="宋体" w:eastAsia="宋体" w:hAnsi="宋体" w:cs="宋体" w:hint="eastAsia"/>
            <w:bCs w:val="0"/>
            <w:szCs w:val="28"/>
            <w:lang w:eastAsia="zh-CN"/>
          </w:rPr>
          <w:t>(七)、锰矿行业发展趋势</w:t>
        </w:r>
        <w:r>
          <w:tab/>
        </w:r>
        <w:r>
          <w:fldChar w:fldCharType="begin"/>
        </w:r>
        <w:r>
          <w:instrText xml:space="preserve"> PAGEREF _Toc8517 \h </w:instrText>
        </w:r>
        <w:r>
          <w:fldChar w:fldCharType="separate"/>
        </w:r>
        <w:r>
          <w:t>12</w:t>
        </w:r>
        <w:r>
          <w:fldChar w:fldCharType="end"/>
        </w:r>
      </w:hyperlink>
    </w:p>
    <w:p>
      <w:pPr>
        <w:pStyle w:val="TOC1"/>
        <w:tabs>
          <w:tab w:val="right" w:leader="dot" w:pos="8306"/>
        </w:tabs>
      </w:pPr>
      <w:hyperlink w:anchor="_Toc4183" w:history="1">
        <w:r>
          <w:rPr>
            <w:rFonts w:ascii="微软雅黑" w:eastAsia="微软雅黑" w:hAnsi="微软雅黑" w:cs="微软雅黑" w:hint="eastAsia"/>
            <w:color w:val="001CAC" w:themeColor="hyperlink" w:themeShade="BF"/>
            <w:szCs w:val="32"/>
            <w:lang w:eastAsia="zh-CN"/>
          </w:rPr>
          <w:t>二、锰矿行业项目管理与实施</w:t>
        </w:r>
        <w:r>
          <w:tab/>
        </w:r>
        <w:r>
          <w:fldChar w:fldCharType="begin"/>
        </w:r>
        <w:r>
          <w:instrText xml:space="preserve"> PAGEREF _Toc4183 \h </w:instrText>
        </w:r>
        <w:r>
          <w:fldChar w:fldCharType="separate"/>
        </w:r>
        <w:r>
          <w:t>14</w:t>
        </w:r>
        <w:r>
          <w:fldChar w:fldCharType="end"/>
        </w:r>
      </w:hyperlink>
    </w:p>
    <w:p>
      <w:pPr>
        <w:pStyle w:val="TOC2"/>
        <w:tabs>
          <w:tab w:val="right" w:leader="dot" w:pos="8306"/>
        </w:tabs>
      </w:pPr>
      <w:hyperlink w:anchor="_Toc5871" w:history="1">
        <w:r>
          <w:rPr>
            <w:rFonts w:ascii="宋体" w:eastAsia="宋体" w:hAnsi="宋体" w:cs="宋体" w:hint="eastAsia"/>
            <w:bCs w:val="0"/>
            <w:szCs w:val="28"/>
            <w:lang w:eastAsia="zh-CN"/>
          </w:rPr>
          <w:t>(一)、项目进度安排</w:t>
        </w:r>
        <w:r>
          <w:tab/>
        </w:r>
        <w:r>
          <w:fldChar w:fldCharType="begin"/>
        </w:r>
        <w:r>
          <w:instrText xml:space="preserve"> PAGEREF _Toc5871 \h </w:instrText>
        </w:r>
        <w:r>
          <w:fldChar w:fldCharType="separate"/>
        </w:r>
        <w:r>
          <w:t>14</w:t>
        </w:r>
        <w:r>
          <w:fldChar w:fldCharType="end"/>
        </w:r>
      </w:hyperlink>
    </w:p>
    <w:p>
      <w:pPr>
        <w:pStyle w:val="TOC2"/>
        <w:tabs>
          <w:tab w:val="right" w:leader="dot" w:pos="8306"/>
        </w:tabs>
      </w:pPr>
      <w:hyperlink w:anchor="_Toc23663" w:history="1">
        <w:r>
          <w:rPr>
            <w:rFonts w:ascii="宋体" w:eastAsia="宋体" w:hAnsi="宋体" w:cs="宋体" w:hint="eastAsia"/>
            <w:bCs w:val="0"/>
            <w:szCs w:val="28"/>
            <w:lang w:eastAsia="zh-CN"/>
          </w:rPr>
          <w:t>(二)、项目实施保障措施</w:t>
        </w:r>
        <w:r>
          <w:tab/>
        </w:r>
        <w:r>
          <w:fldChar w:fldCharType="begin"/>
        </w:r>
        <w:r>
          <w:instrText xml:space="preserve"> PAGEREF _Toc23663 \h </w:instrText>
        </w:r>
        <w:r>
          <w:fldChar w:fldCharType="separate"/>
        </w:r>
        <w:r>
          <w:t>14</w:t>
        </w:r>
        <w:r>
          <w:fldChar w:fldCharType="end"/>
        </w:r>
      </w:hyperlink>
    </w:p>
    <w:p>
      <w:pPr>
        <w:pStyle w:val="TOC2"/>
        <w:tabs>
          <w:tab w:val="right" w:leader="dot" w:pos="8306"/>
        </w:tabs>
      </w:pPr>
      <w:hyperlink w:anchor="_Toc16903" w:history="1">
        <w:r>
          <w:rPr>
            <w:rFonts w:ascii="宋体" w:eastAsia="宋体" w:hAnsi="宋体" w:cs="宋体" w:hint="eastAsia"/>
            <w:bCs w:val="0"/>
            <w:szCs w:val="28"/>
            <w:lang w:eastAsia="zh-CN"/>
          </w:rPr>
          <w:t>(三)、项目风险分析与对策</w:t>
        </w:r>
        <w:r>
          <w:tab/>
        </w:r>
        <w:r>
          <w:fldChar w:fldCharType="begin"/>
        </w:r>
        <w:r>
          <w:instrText xml:space="preserve"> PAGEREF _Toc16903 \h </w:instrText>
        </w:r>
        <w:r>
          <w:fldChar w:fldCharType="separate"/>
        </w:r>
        <w:r>
          <w:t>15</w:t>
        </w:r>
        <w:r>
          <w:fldChar w:fldCharType="end"/>
        </w:r>
      </w:hyperlink>
    </w:p>
    <w:p>
      <w:pPr>
        <w:pStyle w:val="TOC1"/>
        <w:tabs>
          <w:tab w:val="right" w:leader="dot" w:pos="8306"/>
        </w:tabs>
      </w:pPr>
      <w:hyperlink w:anchor="_Toc26916" w:history="1">
        <w:r>
          <w:rPr>
            <w:rFonts w:ascii="微软雅黑" w:eastAsia="微软雅黑" w:hAnsi="微软雅黑" w:cs="微软雅黑" w:hint="eastAsia"/>
            <w:color w:val="001CAC" w:themeColor="hyperlink" w:themeShade="BF"/>
            <w:szCs w:val="32"/>
            <w:lang w:eastAsia="zh-CN"/>
          </w:rPr>
          <w:t>三、安全与劳动保护</w:t>
        </w:r>
        <w:r>
          <w:tab/>
        </w:r>
        <w:r>
          <w:fldChar w:fldCharType="begin"/>
        </w:r>
        <w:r>
          <w:instrText xml:space="preserve"> PAGEREF _Toc26916 \h </w:instrText>
        </w:r>
        <w:r>
          <w:fldChar w:fldCharType="separate"/>
        </w:r>
        <w:r>
          <w:t>15</w:t>
        </w:r>
        <w:r>
          <w:fldChar w:fldCharType="end"/>
        </w:r>
      </w:hyperlink>
    </w:p>
    <w:p>
      <w:pPr>
        <w:pStyle w:val="TOC2"/>
        <w:tabs>
          <w:tab w:val="right" w:leader="dot" w:pos="8306"/>
        </w:tabs>
      </w:pPr>
      <w:hyperlink w:anchor="_Toc15756" w:history="1">
        <w:r>
          <w:rPr>
            <w:rFonts w:ascii="宋体" w:eastAsia="宋体" w:hAnsi="宋体" w:cs="宋体" w:hint="eastAsia"/>
            <w:bCs w:val="0"/>
            <w:szCs w:val="28"/>
            <w:lang w:eastAsia="zh-CN"/>
          </w:rPr>
          <w:t>(一)、设计依据与法规合规</w:t>
        </w:r>
        <w:r>
          <w:tab/>
        </w:r>
        <w:r>
          <w:fldChar w:fldCharType="begin"/>
        </w:r>
        <w:r>
          <w:instrText xml:space="preserve"> PAGEREF _Toc15756 \h </w:instrText>
        </w:r>
        <w:r>
          <w:fldChar w:fldCharType="separate"/>
        </w:r>
        <w:r>
          <w:t>15</w:t>
        </w:r>
        <w:r>
          <w:fldChar w:fldCharType="end"/>
        </w:r>
      </w:hyperlink>
    </w:p>
    <w:p>
      <w:pPr>
        <w:pStyle w:val="TOC2"/>
        <w:tabs>
          <w:tab w:val="right" w:leader="dot" w:pos="8306"/>
        </w:tabs>
      </w:pPr>
      <w:hyperlink w:anchor="_Toc11976" w:history="1">
        <w:r>
          <w:rPr>
            <w:rFonts w:ascii="宋体" w:eastAsia="宋体" w:hAnsi="宋体" w:cs="宋体" w:hint="eastAsia"/>
            <w:bCs w:val="0"/>
            <w:szCs w:val="28"/>
            <w:lang w:eastAsia="zh-CN"/>
          </w:rPr>
          <w:t>(二)、劳动安全预期效果评价</w:t>
        </w:r>
        <w:r>
          <w:tab/>
        </w:r>
        <w:r>
          <w:fldChar w:fldCharType="begin"/>
        </w:r>
        <w:r>
          <w:instrText xml:space="preserve"> PAGEREF _Toc11976 \h </w:instrText>
        </w:r>
        <w:r>
          <w:fldChar w:fldCharType="separate"/>
        </w:r>
        <w:r>
          <w:t>16</w:t>
        </w:r>
        <w:r>
          <w:fldChar w:fldCharType="end"/>
        </w:r>
      </w:hyperlink>
    </w:p>
    <w:p>
      <w:pPr>
        <w:pStyle w:val="TOC2"/>
        <w:tabs>
          <w:tab w:val="right" w:leader="dot" w:pos="8306"/>
        </w:tabs>
      </w:pPr>
      <w:hyperlink w:anchor="_Toc27821" w:history="1">
        <w:r>
          <w:rPr>
            <w:rFonts w:ascii="宋体" w:eastAsia="宋体" w:hAnsi="宋体" w:cs="宋体" w:hint="eastAsia"/>
            <w:bCs w:val="0"/>
            <w:szCs w:val="28"/>
            <w:lang w:eastAsia="zh-CN"/>
          </w:rPr>
          <w:t>(三)、主要防范措施</w:t>
        </w:r>
        <w:r>
          <w:tab/>
        </w:r>
        <w:r>
          <w:fldChar w:fldCharType="begin"/>
        </w:r>
        <w:r>
          <w:instrText xml:space="preserve"> PAGEREF _Toc27821 \h </w:instrText>
        </w:r>
        <w:r>
          <w:fldChar w:fldCharType="separate"/>
        </w:r>
        <w:r>
          <w:t>16</w:t>
        </w:r>
        <w:r>
          <w:fldChar w:fldCharType="end"/>
        </w:r>
      </w:hyperlink>
    </w:p>
    <w:p>
      <w:pPr>
        <w:pStyle w:val="TOC1"/>
        <w:tabs>
          <w:tab w:val="right" w:leader="dot" w:pos="8306"/>
        </w:tabs>
      </w:pPr>
      <w:hyperlink w:anchor="_Toc10082" w:history="1">
        <w:r>
          <w:rPr>
            <w:rFonts w:ascii="微软雅黑" w:eastAsia="微软雅黑" w:hAnsi="微软雅黑" w:cs="微软雅黑" w:hint="eastAsia"/>
            <w:color w:val="001CAC" w:themeColor="hyperlink" w:themeShade="BF"/>
            <w:szCs w:val="32"/>
            <w:lang w:eastAsia="zh-CN"/>
          </w:rPr>
          <w:t>四、资金筹措与投资分析</w:t>
        </w:r>
        <w:r>
          <w:tab/>
        </w:r>
        <w:r>
          <w:fldChar w:fldCharType="begin"/>
        </w:r>
        <w:r>
          <w:instrText xml:space="preserve"> PAGEREF _Toc10082 \h </w:instrText>
        </w:r>
        <w:r>
          <w:fldChar w:fldCharType="separate"/>
        </w:r>
        <w:r>
          <w:t>17</w:t>
        </w:r>
        <w:r>
          <w:fldChar w:fldCharType="end"/>
        </w:r>
      </w:hyperlink>
    </w:p>
    <w:p>
      <w:pPr>
        <w:pStyle w:val="TOC2"/>
        <w:tabs>
          <w:tab w:val="right" w:leader="dot" w:pos="8306"/>
        </w:tabs>
      </w:pPr>
      <w:hyperlink w:anchor="_Toc24192" w:history="1">
        <w:r>
          <w:rPr>
            <w:rFonts w:ascii="宋体" w:eastAsia="宋体" w:hAnsi="宋体" w:cs="宋体" w:hint="eastAsia"/>
            <w:bCs w:val="0"/>
            <w:szCs w:val="28"/>
            <w:lang w:eastAsia="zh-CN"/>
          </w:rPr>
          <w:t>(一)、资金需求与筹措计划</w:t>
        </w:r>
        <w:r>
          <w:tab/>
        </w:r>
        <w:r>
          <w:fldChar w:fldCharType="begin"/>
        </w:r>
        <w:r>
          <w:instrText xml:space="preserve"> PAGEREF _Toc24192 \h </w:instrText>
        </w:r>
        <w:r>
          <w:fldChar w:fldCharType="separate"/>
        </w:r>
        <w:r>
          <w:t>17</w:t>
        </w:r>
        <w:r>
          <w:fldChar w:fldCharType="end"/>
        </w:r>
      </w:hyperlink>
    </w:p>
    <w:p>
      <w:pPr>
        <w:pStyle w:val="TOC2"/>
        <w:tabs>
          <w:tab w:val="right" w:leader="dot" w:pos="8306"/>
        </w:tabs>
      </w:pPr>
      <w:hyperlink w:anchor="_Toc30239" w:history="1">
        <w:r>
          <w:rPr>
            <w:rFonts w:ascii="宋体" w:eastAsia="宋体" w:hAnsi="宋体" w:cs="宋体" w:hint="eastAsia"/>
            <w:bCs w:val="0"/>
            <w:szCs w:val="28"/>
            <w:lang w:eastAsia="zh-CN"/>
          </w:rPr>
          <w:t>(二)、投资分析与回报预期</w:t>
        </w:r>
        <w:r>
          <w:tab/>
        </w:r>
        <w:r>
          <w:fldChar w:fldCharType="begin"/>
        </w:r>
        <w:r>
          <w:instrText xml:space="preserve"> PAGEREF _Toc30239 \h </w:instrText>
        </w:r>
        <w:r>
          <w:fldChar w:fldCharType="separate"/>
        </w:r>
        <w:r>
          <w:t>18</w:t>
        </w:r>
        <w:r>
          <w:fldChar w:fldCharType="end"/>
        </w:r>
      </w:hyperlink>
    </w:p>
    <w:p>
      <w:pPr>
        <w:pStyle w:val="TOC1"/>
        <w:tabs>
          <w:tab w:val="right" w:leader="dot" w:pos="8306"/>
        </w:tabs>
      </w:pPr>
      <w:hyperlink w:anchor="_Toc24647" w:history="1">
        <w:r>
          <w:rPr>
            <w:rFonts w:ascii="微软雅黑" w:eastAsia="微软雅黑" w:hAnsi="微软雅黑" w:cs="微软雅黑" w:hint="eastAsia"/>
            <w:color w:val="001CAC" w:themeColor="hyperlink" w:themeShade="BF"/>
            <w:szCs w:val="32"/>
            <w:lang w:eastAsia="zh-CN"/>
          </w:rPr>
          <w:t>五、可持续发展与绿色经营</w:t>
        </w:r>
        <w:r>
          <w:tab/>
        </w:r>
        <w:r>
          <w:fldChar w:fldCharType="begin"/>
        </w:r>
        <w:r>
          <w:instrText xml:space="preserve"> PAGEREF _Toc24647 \h </w:instrText>
        </w:r>
        <w:r>
          <w:fldChar w:fldCharType="separate"/>
        </w:r>
        <w:r>
          <w:t>18</w:t>
        </w:r>
        <w:r>
          <w:fldChar w:fldCharType="end"/>
        </w:r>
      </w:hyperlink>
    </w:p>
    <w:p>
      <w:pPr>
        <w:pStyle w:val="TOC2"/>
        <w:tabs>
          <w:tab w:val="right" w:leader="dot" w:pos="8306"/>
        </w:tabs>
      </w:pPr>
      <w:hyperlink w:anchor="_Toc5876" w:history="1">
        <w:r>
          <w:rPr>
            <w:rFonts w:ascii="宋体" w:eastAsia="宋体" w:hAnsi="宋体" w:cs="宋体" w:hint="eastAsia"/>
            <w:bCs w:val="0"/>
            <w:szCs w:val="28"/>
            <w:lang w:eastAsia="zh-CN"/>
          </w:rPr>
          <w:t>(一)、可持续发展战略与目标</w:t>
        </w:r>
        <w:r>
          <w:tab/>
        </w:r>
        <w:r>
          <w:fldChar w:fldCharType="begin"/>
        </w:r>
        <w:r>
          <w:instrText xml:space="preserve"> PAGEREF _Toc5876 \h </w:instrText>
        </w:r>
        <w:r>
          <w:fldChar w:fldCharType="separate"/>
        </w:r>
        <w:r>
          <w:t>18</w:t>
        </w:r>
        <w:r>
          <w:fldChar w:fldCharType="end"/>
        </w:r>
      </w:hyperlink>
    </w:p>
    <w:p>
      <w:pPr>
        <w:pStyle w:val="TOC2"/>
        <w:tabs>
          <w:tab w:val="right" w:leader="dot" w:pos="8306"/>
        </w:tabs>
      </w:pPr>
      <w:hyperlink w:anchor="_Toc15091" w:history="1">
        <w:r>
          <w:rPr>
            <w:rFonts w:ascii="宋体" w:eastAsia="宋体" w:hAnsi="宋体" w:cs="宋体" w:hint="eastAsia"/>
            <w:bCs w:val="0"/>
            <w:szCs w:val="28"/>
            <w:lang w:eastAsia="zh-CN"/>
          </w:rPr>
          <w:t>(二)、环保政策与实践</w:t>
        </w:r>
        <w:r>
          <w:tab/>
        </w:r>
        <w:r>
          <w:fldChar w:fldCharType="begin"/>
        </w:r>
        <w:r>
          <w:instrText xml:space="preserve"> PAGEREF _Toc15091 \h </w:instrText>
        </w:r>
        <w:r>
          <w:fldChar w:fldCharType="separate"/>
        </w:r>
        <w:r>
          <w:t>20</w:t>
        </w:r>
        <w:r>
          <w:fldChar w:fldCharType="end"/>
        </w:r>
      </w:hyperlink>
    </w:p>
    <w:p>
      <w:pPr>
        <w:pStyle w:val="TOC2"/>
        <w:tabs>
          <w:tab w:val="right" w:leader="dot" w:pos="8306"/>
        </w:tabs>
      </w:pPr>
      <w:hyperlink w:anchor="_Toc16529" w:history="1">
        <w:r>
          <w:rPr>
            <w:rFonts w:ascii="宋体" w:eastAsia="宋体" w:hAnsi="宋体" w:cs="宋体" w:hint="eastAsia"/>
            <w:bCs w:val="0"/>
            <w:szCs w:val="28"/>
            <w:lang w:eastAsia="zh-CN"/>
          </w:rPr>
          <w:t>(三)、资源利用与循环经济</w:t>
        </w:r>
        <w:r>
          <w:tab/>
        </w:r>
        <w:r>
          <w:fldChar w:fldCharType="begin"/>
        </w:r>
        <w:r>
          <w:instrText xml:space="preserve"> PAGEREF _Toc16529 \h </w:instrText>
        </w:r>
        <w:r>
          <w:fldChar w:fldCharType="separate"/>
        </w:r>
        <w:r>
          <w:t>22</w:t>
        </w:r>
        <w:r>
          <w:fldChar w:fldCharType="end"/>
        </w:r>
      </w:hyperlink>
    </w:p>
    <w:p>
      <w:pPr>
        <w:pStyle w:val="TOC2"/>
        <w:tabs>
          <w:tab w:val="right" w:leader="dot" w:pos="8306"/>
        </w:tabs>
      </w:pPr>
      <w:hyperlink w:anchor="_Toc15828" w:history="1">
        <w:r>
          <w:rPr>
            <w:rFonts w:ascii="宋体" w:eastAsia="宋体" w:hAnsi="宋体" w:cs="宋体" w:hint="eastAsia"/>
            <w:bCs w:val="0"/>
            <w:szCs w:val="28"/>
            <w:lang w:eastAsia="zh-CN"/>
          </w:rPr>
          <w:t>(四)、碳中和与生态足迹</w:t>
        </w:r>
        <w:r>
          <w:tab/>
        </w:r>
        <w:r>
          <w:fldChar w:fldCharType="begin"/>
        </w:r>
        <w:r>
          <w:instrText xml:space="preserve"> PAGEREF _Toc15828 \h </w:instrText>
        </w:r>
        <w:r>
          <w:fldChar w:fldCharType="separate"/>
        </w:r>
        <w:r>
          <w:t>24</w:t>
        </w:r>
        <w:r>
          <w:fldChar w:fldCharType="end"/>
        </w:r>
      </w:hyperlink>
    </w:p>
    <w:p>
      <w:pPr>
        <w:pStyle w:val="TOC1"/>
        <w:tabs>
          <w:tab w:val="right" w:leader="dot" w:pos="8306"/>
        </w:tabs>
      </w:pPr>
      <w:hyperlink w:anchor="_Toc13032" w:history="1">
        <w:r>
          <w:rPr>
            <w:rFonts w:ascii="微软雅黑" w:eastAsia="微软雅黑" w:hAnsi="微软雅黑" w:cs="微软雅黑" w:hint="eastAsia"/>
            <w:color w:val="001CAC" w:themeColor="hyperlink" w:themeShade="BF"/>
            <w:szCs w:val="32"/>
            <w:lang w:eastAsia="zh-CN"/>
          </w:rPr>
          <w:t>六、锰矿行业质量管理方案</w:t>
        </w:r>
        <w:r>
          <w:tab/>
        </w:r>
        <w:r>
          <w:fldChar w:fldCharType="begin"/>
        </w:r>
        <w:r>
          <w:instrText xml:space="preserve"> PAGEREF _Toc13032 \h </w:instrText>
        </w:r>
        <w:r>
          <w:fldChar w:fldCharType="separate"/>
        </w:r>
        <w:r>
          <w:t>26</w:t>
        </w:r>
        <w:r>
          <w:fldChar w:fldCharType="end"/>
        </w:r>
      </w:hyperlink>
    </w:p>
    <w:p>
      <w:pPr>
        <w:pStyle w:val="TOC2"/>
        <w:tabs>
          <w:tab w:val="right" w:leader="dot" w:pos="8306"/>
        </w:tabs>
      </w:pPr>
      <w:hyperlink w:anchor="_Toc1927" w:history="1">
        <w:r>
          <w:rPr>
            <w:rFonts w:ascii="宋体" w:eastAsia="宋体" w:hAnsi="宋体" w:cs="宋体" w:hint="eastAsia"/>
            <w:bCs w:val="0"/>
            <w:szCs w:val="28"/>
            <w:lang w:eastAsia="zh-CN"/>
          </w:rPr>
          <w:t>(一)、锰矿行业质量管理要求</w:t>
        </w:r>
        <w:r>
          <w:tab/>
        </w:r>
        <w:r>
          <w:fldChar w:fldCharType="begin"/>
        </w:r>
        <w:r>
          <w:instrText xml:space="preserve"> PAGEREF _Toc1927 \h </w:instrText>
        </w:r>
        <w:r>
          <w:fldChar w:fldCharType="separate"/>
        </w:r>
        <w:r>
          <w:t>26</w:t>
        </w:r>
        <w:r>
          <w:fldChar w:fldCharType="end"/>
        </w:r>
      </w:hyperlink>
    </w:p>
    <w:p>
      <w:pPr>
        <w:pStyle w:val="TOC2"/>
        <w:tabs>
          <w:tab w:val="right" w:leader="dot" w:pos="8306"/>
        </w:tabs>
      </w:pPr>
      <w:hyperlink w:anchor="_Toc16069" w:history="1">
        <w:r>
          <w:rPr>
            <w:rFonts w:ascii="宋体" w:eastAsia="宋体" w:hAnsi="宋体" w:cs="宋体" w:hint="eastAsia"/>
            <w:bCs w:val="0"/>
            <w:szCs w:val="28"/>
            <w:lang w:eastAsia="zh-CN"/>
          </w:rPr>
          <w:t>(二)、锰矿行业服务质量管理方案</w:t>
        </w:r>
        <w:r>
          <w:tab/>
        </w:r>
        <w:r>
          <w:fldChar w:fldCharType="begin"/>
        </w:r>
        <w:r>
          <w:instrText xml:space="preserve"> PAGEREF _Toc16069 \h </w:instrText>
        </w:r>
        <w:r>
          <w:fldChar w:fldCharType="separate"/>
        </w:r>
        <w:r>
          <w:t>27</w:t>
        </w:r>
        <w:r>
          <w:fldChar w:fldCharType="end"/>
        </w:r>
      </w:hyperlink>
    </w:p>
    <w:p>
      <w:pPr>
        <w:pStyle w:val="TOC2"/>
        <w:tabs>
          <w:tab w:val="right" w:leader="dot" w:pos="8306"/>
        </w:tabs>
      </w:pPr>
      <w:hyperlink w:anchor="_Toc18345" w:history="1">
        <w:r>
          <w:rPr>
            <w:rFonts w:ascii="宋体" w:eastAsia="宋体" w:hAnsi="宋体" w:cs="宋体" w:hint="eastAsia"/>
            <w:bCs w:val="0"/>
            <w:szCs w:val="28"/>
            <w:lang w:eastAsia="zh-CN"/>
          </w:rPr>
          <w:t>(三)、锰矿行业质量成本管理方案</w:t>
        </w:r>
        <w:r>
          <w:tab/>
        </w:r>
        <w:r>
          <w:fldChar w:fldCharType="begin"/>
        </w:r>
        <w:r>
          <w:instrText xml:space="preserve"> PAGEREF _Toc18345 \h </w:instrText>
        </w:r>
        <w:r>
          <w:fldChar w:fldCharType="separate"/>
        </w:r>
        <w:r>
          <w:t>27</w:t>
        </w:r>
        <w:r>
          <w:fldChar w:fldCharType="end"/>
        </w:r>
      </w:hyperlink>
    </w:p>
    <w:p>
      <w:pPr>
        <w:pStyle w:val="TOC1"/>
        <w:tabs>
          <w:tab w:val="right" w:leader="dot" w:pos="8306"/>
        </w:tabs>
      </w:pPr>
      <w:hyperlink w:anchor="_Toc30543" w:history="1">
        <w:r>
          <w:rPr>
            <w:rFonts w:ascii="微软雅黑" w:eastAsia="微软雅黑" w:hAnsi="微软雅黑" w:cs="微软雅黑" w:hint="eastAsia"/>
            <w:color w:val="001CAC" w:themeColor="hyperlink" w:themeShade="BF"/>
            <w:szCs w:val="32"/>
            <w:lang w:eastAsia="zh-CN"/>
          </w:rPr>
          <w:t>七、锰矿行业运营管理及商业模式分析</w:t>
        </w:r>
        <w:r>
          <w:tab/>
        </w:r>
        <w:r>
          <w:fldChar w:fldCharType="begin"/>
        </w:r>
        <w:r>
          <w:instrText xml:space="preserve"> PAGEREF _Toc30543 \h </w:instrText>
        </w:r>
        <w:r>
          <w:fldChar w:fldCharType="separate"/>
        </w:r>
        <w:r>
          <w:t>28</w:t>
        </w:r>
        <w:r>
          <w:fldChar w:fldCharType="end"/>
        </w:r>
      </w:hyperlink>
    </w:p>
    <w:p>
      <w:pPr>
        <w:pStyle w:val="TOC2"/>
        <w:tabs>
          <w:tab w:val="right" w:leader="dot" w:pos="8306"/>
        </w:tabs>
      </w:pPr>
      <w:hyperlink w:anchor="_Toc18141" w:history="1">
        <w:r>
          <w:rPr>
            <w:rFonts w:ascii="宋体" w:eastAsia="宋体" w:hAnsi="宋体" w:cs="宋体" w:hint="eastAsia"/>
            <w:bCs w:val="0"/>
            <w:szCs w:val="28"/>
            <w:lang w:eastAsia="zh-CN"/>
          </w:rPr>
          <w:t>(一)、锰矿行业数字化发展方案</w:t>
        </w:r>
        <w:r>
          <w:tab/>
        </w:r>
        <w:r>
          <w:fldChar w:fldCharType="begin"/>
        </w:r>
        <w:r>
          <w:instrText xml:space="preserve"> PAGEREF _Toc18141 \h </w:instrText>
        </w:r>
        <w:r>
          <w:fldChar w:fldCharType="separate"/>
        </w:r>
        <w:r>
          <w:t>28</w:t>
        </w:r>
        <w:r>
          <w:fldChar w:fldCharType="end"/>
        </w:r>
      </w:hyperlink>
    </w:p>
    <w:p>
      <w:pPr>
        <w:pStyle w:val="TOC2"/>
        <w:tabs>
          <w:tab w:val="right" w:leader="dot" w:pos="8306"/>
        </w:tabs>
      </w:pPr>
      <w:hyperlink w:anchor="_Toc17512" w:history="1">
        <w:r>
          <w:rPr>
            <w:rFonts w:ascii="宋体" w:eastAsia="宋体" w:hAnsi="宋体" w:cs="宋体" w:hint="eastAsia"/>
            <w:bCs w:val="0"/>
            <w:szCs w:val="28"/>
            <w:lang w:eastAsia="zh-CN"/>
          </w:rPr>
          <w:t>(二)、锰矿行业新型运营方式</w:t>
        </w:r>
        <w:r>
          <w:tab/>
        </w:r>
        <w:r>
          <w:fldChar w:fldCharType="begin"/>
        </w:r>
        <w:r>
          <w:instrText xml:space="preserve"> PAGEREF _Toc17512 \h </w:instrText>
        </w:r>
        <w:r>
          <w:fldChar w:fldCharType="separate"/>
        </w:r>
        <w:r>
          <w:t>31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311" w:history="1">
        <w:r>
          <w:rPr>
            <w:rFonts w:ascii="宋体" w:eastAsia="宋体" w:hAnsi="宋体" w:cs="宋体" w:hint="eastAsia"/>
            <w:bCs w:val="0"/>
            <w:szCs w:val="28"/>
            <w:lang w:eastAsia="zh-CN"/>
          </w:rPr>
          <w:t>(三)、锰矿行业风险管理</w:t>
        </w:r>
        <w:r>
          <w:tab/>
        </w:r>
        <w:r>
          <w:fldChar w:fldCharType="begin"/>
        </w:r>
        <w:r>
          <w:instrText xml:space="preserve"> PAGEREF _Toc12311 \h </w:instrText>
        </w:r>
        <w:r>
          <w:fldChar w:fldCharType="separate"/>
        </w:r>
        <w:r>
          <w:t>34</w:t>
        </w:r>
        <w:r>
          <w:fldChar w:fldCharType="end"/>
        </w:r>
      </w:hyperlink>
    </w:p>
    <w:p>
      <w:pPr>
        <w:pStyle w:val="TOC1"/>
        <w:tabs>
          <w:tab w:val="right" w:leader="dot" w:pos="8306"/>
        </w:tabs>
      </w:pPr>
      <w:hyperlink w:anchor="_Toc1355" w:history="1">
        <w:r>
          <w:rPr>
            <w:rFonts w:ascii="微软雅黑" w:eastAsia="微软雅黑" w:hAnsi="微软雅黑" w:cs="微软雅黑" w:hint="eastAsia"/>
            <w:color w:val="001CAC" w:themeColor="hyperlink" w:themeShade="BF"/>
            <w:szCs w:val="32"/>
            <w:lang w:eastAsia="zh-CN"/>
          </w:rPr>
          <w:t>八、制度运行与优化</w:t>
        </w:r>
        <w:r>
          <w:tab/>
        </w:r>
        <w:r>
          <w:fldChar w:fldCharType="begin"/>
        </w:r>
        <w:r>
          <w:instrText xml:space="preserve"> PAGEREF _Toc1355 \h </w:instrText>
        </w:r>
        <w:r>
          <w:fldChar w:fldCharType="separate"/>
        </w:r>
        <w:r>
          <w:t>38</w:t>
        </w:r>
        <w:r>
          <w:fldChar w:fldCharType="end"/>
        </w:r>
      </w:hyperlink>
    </w:p>
    <w:p>
      <w:pPr>
        <w:pStyle w:val="TOC2"/>
        <w:tabs>
          <w:tab w:val="right" w:leader="dot" w:pos="8306"/>
        </w:tabs>
      </w:pPr>
      <w:hyperlink w:anchor="_Toc11610" w:history="1">
        <w:r>
          <w:rPr>
            <w:rFonts w:ascii="宋体" w:eastAsia="宋体" w:hAnsi="宋体" w:cs="宋体" w:hint="eastAsia"/>
            <w:bCs w:val="0"/>
            <w:szCs w:val="28"/>
            <w:lang w:eastAsia="zh-CN"/>
          </w:rPr>
          <w:t>(一)、制度执行与监督</w:t>
        </w:r>
        <w:r>
          <w:tab/>
        </w:r>
        <w:r>
          <w:fldChar w:fldCharType="begin"/>
        </w:r>
        <w:r>
          <w:instrText xml:space="preserve"> PAGEREF _Toc11610 \h </w:instrText>
        </w:r>
        <w:r>
          <w:fldChar w:fldCharType="separate"/>
        </w:r>
        <w:r>
          <w:t>38</w:t>
        </w:r>
        <w:r>
          <w:fldChar w:fldCharType="end"/>
        </w:r>
      </w:hyperlink>
    </w:p>
    <w:p>
      <w:pPr>
        <w:pStyle w:val="TOC2"/>
        <w:tabs>
          <w:tab w:val="right" w:leader="dot" w:pos="8306"/>
        </w:tabs>
      </w:pPr>
      <w:hyperlink w:anchor="_Toc11481" w:history="1">
        <w:r>
          <w:rPr>
            <w:rFonts w:ascii="宋体" w:eastAsia="宋体" w:hAnsi="宋体" w:cs="宋体" w:hint="eastAsia"/>
            <w:bCs w:val="0"/>
            <w:szCs w:val="28"/>
            <w:lang w:eastAsia="zh-CN"/>
          </w:rPr>
          <w:t>(二)、制度优化与更新</w:t>
        </w:r>
        <w:r>
          <w:tab/>
        </w:r>
        <w:r>
          <w:fldChar w:fldCharType="begin"/>
        </w:r>
        <w:r>
          <w:instrText xml:space="preserve"> PAGEREF _Toc11481 \h </w:instrText>
        </w:r>
        <w:r>
          <w:fldChar w:fldCharType="separate"/>
        </w:r>
        <w:r>
          <w:t>39</w:t>
        </w:r>
        <w:r>
          <w:fldChar w:fldCharType="end"/>
        </w:r>
      </w:hyperlink>
    </w:p>
    <w:p>
      <w:pPr>
        <w:pStyle w:val="TOC1"/>
        <w:tabs>
          <w:tab w:val="right" w:leader="dot" w:pos="8306"/>
        </w:tabs>
      </w:pPr>
      <w:hyperlink w:anchor="_Toc15176" w:history="1">
        <w:r>
          <w:rPr>
            <w:rFonts w:ascii="微软雅黑" w:eastAsia="微软雅黑" w:hAnsi="微软雅黑" w:cs="微软雅黑" w:hint="eastAsia"/>
            <w:color w:val="001CAC" w:themeColor="hyperlink" w:themeShade="BF"/>
            <w:szCs w:val="32"/>
            <w:lang w:eastAsia="zh-CN"/>
          </w:rPr>
          <w:t>九、环境与社会责任</w:t>
        </w:r>
        <w:r>
          <w:tab/>
        </w:r>
        <w:r>
          <w:fldChar w:fldCharType="begin"/>
        </w:r>
        <w:r>
          <w:instrText xml:space="preserve"> PAGEREF _Toc15176 \h </w:instrText>
        </w:r>
        <w:r>
          <w:fldChar w:fldCharType="separate"/>
        </w:r>
        <w:r>
          <w:t>39</w:t>
        </w:r>
        <w:r>
          <w:fldChar w:fldCharType="end"/>
        </w:r>
      </w:hyperlink>
    </w:p>
    <w:p>
      <w:pPr>
        <w:pStyle w:val="TOC2"/>
        <w:tabs>
          <w:tab w:val="right" w:leader="dot" w:pos="8306"/>
        </w:tabs>
      </w:pPr>
      <w:hyperlink w:anchor="_Toc19817" w:history="1">
        <w:r>
          <w:rPr>
            <w:rFonts w:ascii="宋体" w:eastAsia="宋体" w:hAnsi="宋体" w:cs="宋体" w:hint="eastAsia"/>
            <w:bCs w:val="0"/>
            <w:szCs w:val="28"/>
            <w:lang w:eastAsia="zh-CN"/>
          </w:rPr>
          <w:t>(一)、环境影响评估</w:t>
        </w:r>
        <w:r>
          <w:tab/>
        </w:r>
        <w:r>
          <w:fldChar w:fldCharType="begin"/>
        </w:r>
        <w:r>
          <w:instrText xml:space="preserve"> PAGEREF _Toc19817 \h </w:instrText>
        </w:r>
        <w:r>
          <w:fldChar w:fldCharType="separate"/>
        </w:r>
        <w:r>
          <w:t>39</w:t>
        </w:r>
        <w:r>
          <w:fldChar w:fldCharType="end"/>
        </w:r>
      </w:hyperlink>
    </w:p>
    <w:p>
      <w:pPr>
        <w:pStyle w:val="TOC2"/>
        <w:tabs>
          <w:tab w:val="right" w:leader="dot" w:pos="8306"/>
        </w:tabs>
      </w:pPr>
      <w:hyperlink w:anchor="_Toc29227" w:history="1">
        <w:r>
          <w:rPr>
            <w:rFonts w:ascii="宋体" w:eastAsia="宋体" w:hAnsi="宋体" w:cs="宋体" w:hint="eastAsia"/>
            <w:bCs w:val="0"/>
            <w:szCs w:val="28"/>
            <w:lang w:eastAsia="zh-CN"/>
          </w:rPr>
          <w:t>(二)、社会责任与可持续发展</w:t>
        </w:r>
        <w:r>
          <w:tab/>
        </w:r>
        <w:r>
          <w:fldChar w:fldCharType="begin"/>
        </w:r>
        <w:r>
          <w:instrText xml:space="preserve"> PAGEREF _Toc29227 \h </w:instrText>
        </w:r>
        <w:r>
          <w:fldChar w:fldCharType="separate"/>
        </w:r>
        <w:r>
          <w:t>40</w:t>
        </w:r>
        <w:r>
          <w:fldChar w:fldCharType="end"/>
        </w:r>
      </w:hyperlink>
    </w:p>
    <w:p>
      <w:pPr>
        <w:pStyle w:val="TOC1"/>
        <w:tabs>
          <w:tab w:val="right" w:leader="dot" w:pos="8306"/>
        </w:tabs>
      </w:pPr>
      <w:hyperlink w:anchor="_Toc30757" w:history="1">
        <w:r>
          <w:rPr>
            <w:rFonts w:ascii="微软雅黑" w:eastAsia="微软雅黑" w:hAnsi="微软雅黑" w:cs="微软雅黑" w:hint="eastAsia"/>
            <w:color w:val="001CAC" w:themeColor="hyperlink" w:themeShade="BF"/>
            <w:szCs w:val="32"/>
            <w:lang w:eastAsia="zh-CN"/>
          </w:rPr>
          <w:t>十、领导力发展与企业文化</w:t>
        </w:r>
        <w:r>
          <w:tab/>
        </w:r>
        <w:r>
          <w:fldChar w:fldCharType="begin"/>
        </w:r>
        <w:r>
          <w:instrText xml:space="preserve"> PAGEREF _Toc30757 \h </w:instrText>
        </w:r>
        <w:r>
          <w:fldChar w:fldCharType="separate"/>
        </w:r>
        <w:r>
          <w:t>41</w:t>
        </w:r>
        <w:r>
          <w:fldChar w:fldCharType="end"/>
        </w:r>
      </w:hyperlink>
    </w:p>
    <w:p>
      <w:pPr>
        <w:pStyle w:val="TOC2"/>
        <w:tabs>
          <w:tab w:val="right" w:leader="dot" w:pos="8306"/>
        </w:tabs>
      </w:pPr>
      <w:hyperlink w:anchor="_Toc14442" w:history="1">
        <w:r>
          <w:rPr>
            <w:rFonts w:ascii="宋体" w:eastAsia="宋体" w:hAnsi="宋体" w:cs="宋体" w:hint="eastAsia"/>
            <w:bCs w:val="0"/>
            <w:szCs w:val="28"/>
            <w:lang w:eastAsia="zh-CN"/>
          </w:rPr>
          <w:t>(一)、高效团队建设原则</w:t>
        </w:r>
        <w:r>
          <w:tab/>
        </w:r>
        <w:r>
          <w:fldChar w:fldCharType="begin"/>
        </w:r>
        <w:r>
          <w:instrText xml:space="preserve"> PAGEREF _Toc14442 \h </w:instrText>
        </w:r>
        <w:r>
          <w:fldChar w:fldCharType="separate"/>
        </w:r>
        <w:r>
          <w:t>41</w:t>
        </w:r>
        <w:r>
          <w:fldChar w:fldCharType="end"/>
        </w:r>
      </w:hyperlink>
    </w:p>
    <w:p>
      <w:pPr>
        <w:pStyle w:val="TOC2"/>
        <w:tabs>
          <w:tab w:val="right" w:leader="dot" w:pos="8306"/>
        </w:tabs>
      </w:pPr>
      <w:hyperlink w:anchor="_Toc13361" w:history="1">
        <w:r>
          <w:rPr>
            <w:rFonts w:ascii="宋体" w:eastAsia="宋体" w:hAnsi="宋体" w:cs="宋体" w:hint="eastAsia"/>
            <w:bCs w:val="0"/>
            <w:szCs w:val="28"/>
            <w:lang w:eastAsia="zh-CN"/>
          </w:rPr>
          <w:t>(二)、团队文化与价值观塑造</w:t>
        </w:r>
        <w:r>
          <w:tab/>
        </w:r>
        <w:r>
          <w:fldChar w:fldCharType="begin"/>
        </w:r>
        <w:r>
          <w:instrText xml:space="preserve"> PAGEREF _Toc13361 \h </w:instrText>
        </w:r>
        <w:r>
          <w:fldChar w:fldCharType="separate"/>
        </w:r>
        <w:r>
          <w:t>42</w:t>
        </w:r>
        <w:r>
          <w:fldChar w:fldCharType="end"/>
        </w:r>
      </w:hyperlink>
    </w:p>
    <w:p>
      <w:pPr>
        <w:pStyle w:val="TOC2"/>
        <w:tabs>
          <w:tab w:val="right" w:leader="dot" w:pos="8306"/>
        </w:tabs>
      </w:pPr>
      <w:hyperlink w:anchor="_Toc12678" w:history="1">
        <w:r>
          <w:rPr>
            <w:rFonts w:ascii="宋体" w:eastAsia="宋体" w:hAnsi="宋体" w:cs="宋体" w:hint="eastAsia"/>
            <w:bCs w:val="0"/>
            <w:szCs w:val="28"/>
            <w:lang w:eastAsia="zh-CN"/>
          </w:rPr>
          <w:t>(三)、领导力发展计划</w:t>
        </w:r>
        <w:r>
          <w:tab/>
        </w:r>
        <w:r>
          <w:fldChar w:fldCharType="begin"/>
        </w:r>
        <w:r>
          <w:instrText xml:space="preserve"> PAGEREF _Toc12678 \h </w:instrText>
        </w:r>
        <w:r>
          <w:fldChar w:fldCharType="separate"/>
        </w:r>
        <w:r>
          <w:t>42</w:t>
        </w:r>
        <w:r>
          <w:fldChar w:fldCharType="end"/>
        </w:r>
      </w:hyperlink>
    </w:p>
    <w:p>
      <w:pPr>
        <w:pStyle w:val="TOC2"/>
        <w:tabs>
          <w:tab w:val="right" w:leader="dot" w:pos="8306"/>
        </w:tabs>
      </w:pPr>
      <w:hyperlink w:anchor="_Toc13365" w:history="1">
        <w:r>
          <w:rPr>
            <w:rFonts w:ascii="宋体" w:eastAsia="宋体" w:hAnsi="宋体" w:cs="宋体" w:hint="eastAsia"/>
            <w:bCs w:val="0"/>
            <w:szCs w:val="28"/>
            <w:lang w:eastAsia="zh-CN"/>
          </w:rPr>
          <w:t>(四)、领导力在变革中的作用</w:t>
        </w:r>
        <w:r>
          <w:tab/>
        </w:r>
        <w:r>
          <w:fldChar w:fldCharType="begin"/>
        </w:r>
        <w:r>
          <w:instrText xml:space="preserve"> PAGEREF _Toc13365 \h </w:instrText>
        </w:r>
        <w:r>
          <w:fldChar w:fldCharType="separate"/>
        </w:r>
        <w:r>
          <w:t>43</w:t>
        </w:r>
        <w:r>
          <w:fldChar w:fldCharType="end"/>
        </w:r>
      </w:hyperlink>
    </w:p>
    <w:p>
      <w:pPr>
        <w:pStyle w:val="TOC1"/>
        <w:tabs>
          <w:tab w:val="right" w:leader="dot" w:pos="8306"/>
        </w:tabs>
      </w:pPr>
      <w:hyperlink w:anchor="_Toc5647" w:history="1">
        <w:r>
          <w:rPr>
            <w:rFonts w:ascii="微软雅黑" w:eastAsia="微软雅黑" w:hAnsi="微软雅黑" w:cs="微软雅黑" w:hint="eastAsia"/>
            <w:color w:val="001CAC" w:themeColor="hyperlink" w:themeShade="BF"/>
            <w:szCs w:val="32"/>
            <w:lang w:eastAsia="zh-CN"/>
          </w:rPr>
          <w:t>十一、锰矿行业财务管理分析</w:t>
        </w:r>
        <w:r>
          <w:tab/>
        </w:r>
        <w:r>
          <w:fldChar w:fldCharType="begin"/>
        </w:r>
        <w:r>
          <w:instrText xml:space="preserve"> PAGEREF _Toc5647 \h </w:instrText>
        </w:r>
        <w:r>
          <w:fldChar w:fldCharType="separate"/>
        </w:r>
        <w:r>
          <w:t>45</w:t>
        </w:r>
        <w:r>
          <w:fldChar w:fldCharType="end"/>
        </w:r>
      </w:hyperlink>
    </w:p>
    <w:p>
      <w:pPr>
        <w:pStyle w:val="TOC2"/>
        <w:tabs>
          <w:tab w:val="right" w:leader="dot" w:pos="8306"/>
        </w:tabs>
      </w:pPr>
      <w:hyperlink w:anchor="_Toc25852" w:history="1">
        <w:r>
          <w:rPr>
            <w:rFonts w:ascii="宋体" w:eastAsia="宋体" w:hAnsi="宋体" w:cs="宋体" w:hint="eastAsia"/>
            <w:bCs w:val="0"/>
            <w:szCs w:val="28"/>
            <w:lang w:eastAsia="zh-CN"/>
          </w:rPr>
          <w:t>(一)、锰矿行业财务管理制度</w:t>
        </w:r>
        <w:r>
          <w:tab/>
        </w:r>
        <w:r>
          <w:fldChar w:fldCharType="begin"/>
        </w:r>
        <w:r>
          <w:instrText xml:space="preserve"> PAGEREF _Toc25852 \h </w:instrText>
        </w:r>
        <w:r>
          <w:fldChar w:fldCharType="separate"/>
        </w:r>
        <w:r>
          <w:t>45</w:t>
        </w:r>
        <w:r>
          <w:fldChar w:fldCharType="end"/>
        </w:r>
      </w:hyperlink>
    </w:p>
    <w:p>
      <w:pPr>
        <w:pStyle w:val="TOC2"/>
        <w:tabs>
          <w:tab w:val="right" w:leader="dot" w:pos="8306"/>
        </w:tabs>
      </w:pPr>
      <w:hyperlink w:anchor="_Toc17459" w:history="1">
        <w:r>
          <w:rPr>
            <w:rFonts w:ascii="宋体" w:eastAsia="宋体" w:hAnsi="宋体" w:cs="宋体" w:hint="eastAsia"/>
            <w:bCs w:val="0"/>
            <w:szCs w:val="28"/>
            <w:lang w:eastAsia="zh-CN"/>
          </w:rPr>
          <w:t>(二)、锰矿行业经济效益分析</w:t>
        </w:r>
        <w:r>
          <w:tab/>
        </w:r>
        <w:r>
          <w:fldChar w:fldCharType="begin"/>
        </w:r>
        <w:r>
          <w:instrText xml:space="preserve"> PAGEREF _Toc17459 \h </w:instrText>
        </w:r>
        <w:r>
          <w:fldChar w:fldCharType="separate"/>
        </w:r>
        <w:r>
          <w:t>46</w:t>
        </w:r>
        <w:r>
          <w:fldChar w:fldCharType="end"/>
        </w:r>
      </w:hyperlink>
    </w:p>
    <w:p>
      <w:pPr>
        <w:pStyle w:val="TOC2"/>
        <w:tabs>
          <w:tab w:val="right" w:leader="dot" w:pos="8306"/>
        </w:tabs>
      </w:pPr>
      <w:hyperlink w:anchor="_Toc1606" w:history="1">
        <w:r>
          <w:rPr>
            <w:rFonts w:ascii="宋体" w:eastAsia="宋体" w:hAnsi="宋体" w:cs="宋体" w:hint="eastAsia"/>
            <w:bCs w:val="0"/>
            <w:szCs w:val="28"/>
            <w:lang w:eastAsia="zh-CN"/>
          </w:rPr>
          <w:t>(三)、锰矿行业收入及成本核算</w:t>
        </w:r>
        <w:r>
          <w:tab/>
        </w:r>
        <w:r>
          <w:fldChar w:fldCharType="begin"/>
        </w:r>
        <w:r>
          <w:instrText xml:space="preserve"> PAGEREF _Toc1606 \h </w:instrText>
        </w:r>
        <w:r>
          <w:fldChar w:fldCharType="separate"/>
        </w:r>
        <w:r>
          <w:t>48</w:t>
        </w:r>
        <w:r>
          <w:fldChar w:fldCharType="end"/>
        </w:r>
      </w:hyperlink>
    </w:p>
    <w:p>
      <w:pPr>
        <w:pStyle w:val="TOC2"/>
        <w:tabs>
          <w:tab w:val="right" w:leader="dot" w:pos="8306"/>
        </w:tabs>
      </w:pPr>
      <w:hyperlink w:anchor="_Toc5588" w:history="1">
        <w:r>
          <w:rPr>
            <w:rFonts w:ascii="宋体" w:eastAsia="宋体" w:hAnsi="宋体" w:cs="宋体" w:hint="eastAsia"/>
            <w:bCs w:val="0"/>
            <w:szCs w:val="28"/>
            <w:lang w:eastAsia="zh-CN"/>
          </w:rPr>
          <w:t>(四)、锰矿行业成本管理</w:t>
        </w:r>
        <w:r>
          <w:tab/>
        </w:r>
        <w:r>
          <w:fldChar w:fldCharType="begin"/>
        </w:r>
        <w:r>
          <w:instrText xml:space="preserve"> PAGEREF _Toc5588 \h </w:instrText>
        </w:r>
        <w:r>
          <w:fldChar w:fldCharType="separate"/>
        </w:r>
        <w:r>
          <w:t>49</w:t>
        </w:r>
        <w:r>
          <w:fldChar w:fldCharType="end"/>
        </w:r>
      </w:hyperlink>
    </w:p>
    <w:p>
      <w:pPr>
        <w:pStyle w:val="TOC1"/>
        <w:tabs>
          <w:tab w:val="right" w:leader="dot" w:pos="8306"/>
        </w:tabs>
      </w:pPr>
      <w:hyperlink w:anchor="_Toc18182" w:history="1">
        <w:r>
          <w:rPr>
            <w:rFonts w:ascii="微软雅黑" w:eastAsia="微软雅黑" w:hAnsi="微软雅黑" w:cs="微软雅黑" w:hint="eastAsia"/>
            <w:color w:val="001CAC" w:themeColor="hyperlink" w:themeShade="BF"/>
            <w:szCs w:val="32"/>
            <w:lang w:eastAsia="zh-CN"/>
          </w:rPr>
          <w:t>十二、项目管理与团队协作</w:t>
        </w:r>
        <w:r>
          <w:tab/>
        </w:r>
        <w:r>
          <w:fldChar w:fldCharType="begin"/>
        </w:r>
        <w:r>
          <w:instrText xml:space="preserve"> PAGEREF _Toc18182 \h </w:instrText>
        </w:r>
        <w:r>
          <w:fldChar w:fldCharType="separate"/>
        </w:r>
        <w:r>
          <w:t>52</w:t>
        </w:r>
        <w:r>
          <w:fldChar w:fldCharType="end"/>
        </w:r>
      </w:hyperlink>
    </w:p>
    <w:p>
      <w:pPr>
        <w:pStyle w:val="TOC2"/>
        <w:tabs>
          <w:tab w:val="right" w:leader="dot" w:pos="8306"/>
        </w:tabs>
      </w:pPr>
      <w:hyperlink w:anchor="_Toc12364" w:history="1">
        <w:r>
          <w:rPr>
            <w:rFonts w:ascii="宋体" w:eastAsia="宋体" w:hAnsi="宋体" w:cs="宋体" w:hint="eastAsia"/>
            <w:bCs w:val="0"/>
            <w:szCs w:val="28"/>
            <w:lang w:eastAsia="zh-CN"/>
          </w:rPr>
          <w:t>(一)、项目管理方法论</w:t>
        </w:r>
        <w:r>
          <w:tab/>
        </w:r>
        <w:r>
          <w:fldChar w:fldCharType="begin"/>
        </w:r>
        <w:r>
          <w:instrText xml:space="preserve"> PAGEREF _Toc12364 \h </w:instrText>
        </w:r>
        <w:r>
          <w:fldChar w:fldCharType="separate"/>
        </w:r>
        <w:r>
          <w:t>52</w:t>
        </w:r>
        <w:r>
          <w:fldChar w:fldCharType="end"/>
        </w:r>
      </w:hyperlink>
    </w:p>
    <w:p>
      <w:pPr>
        <w:pStyle w:val="TOC2"/>
        <w:tabs>
          <w:tab w:val="right" w:leader="dot" w:pos="8306"/>
        </w:tabs>
      </w:pPr>
      <w:hyperlink w:anchor="_Toc26778" w:history="1">
        <w:r>
          <w:rPr>
            <w:rFonts w:ascii="宋体" w:eastAsia="宋体" w:hAnsi="宋体" w:cs="宋体" w:hint="eastAsia"/>
            <w:bCs w:val="0"/>
            <w:szCs w:val="28"/>
            <w:lang w:eastAsia="zh-CN"/>
          </w:rPr>
          <w:t>(二)、团队组建与角色分工</w:t>
        </w:r>
        <w:r>
          <w:tab/>
        </w:r>
        <w:r>
          <w:fldChar w:fldCharType="begin"/>
        </w:r>
        <w:r>
          <w:instrText xml:space="preserve"> PAGEREF _Toc26778 \h </w:instrText>
        </w:r>
        <w:r>
          <w:fldChar w:fldCharType="separate"/>
        </w:r>
        <w:r>
          <w:t>53</w:t>
        </w:r>
        <w:r>
          <w:fldChar w:fldCharType="end"/>
        </w:r>
      </w:hyperlink>
    </w:p>
    <w:p>
      <w:pPr>
        <w:pStyle w:val="TOC2"/>
        <w:tabs>
          <w:tab w:val="right" w:leader="dot" w:pos="8306"/>
        </w:tabs>
      </w:pPr>
      <w:hyperlink w:anchor="_Toc25409" w:history="1">
        <w:r>
          <w:rPr>
            <w:rFonts w:ascii="宋体" w:eastAsia="宋体" w:hAnsi="宋体" w:cs="宋体" w:hint="eastAsia"/>
            <w:bCs w:val="0"/>
            <w:szCs w:val="28"/>
            <w:lang w:eastAsia="zh-CN"/>
          </w:rPr>
          <w:t>(三)、团队沟通与协作机制</w:t>
        </w:r>
        <w:r>
          <w:tab/>
        </w:r>
        <w:r>
          <w:fldChar w:fldCharType="begin"/>
        </w:r>
        <w:r>
          <w:instrText xml:space="preserve"> PAGEREF _Toc25409 \h </w:instrText>
        </w:r>
        <w:r>
          <w:fldChar w:fldCharType="separate"/>
        </w:r>
        <w:r>
          <w:t>54</w:t>
        </w:r>
        <w:r>
          <w:fldChar w:fldCharType="end"/>
        </w:r>
      </w:hyperlink>
    </w:p>
    <w:p>
      <w:pPr>
        <w:pStyle w:val="TOC2"/>
        <w:tabs>
          <w:tab w:val="right" w:leader="dot" w:pos="8306"/>
        </w:tabs>
      </w:pPr>
      <w:hyperlink w:anchor="_Toc18628" w:history="1">
        <w:r>
          <w:rPr>
            <w:rFonts w:ascii="宋体" w:eastAsia="宋体" w:hAnsi="宋体" w:cs="宋体" w:hint="eastAsia"/>
            <w:bCs w:val="0"/>
            <w:szCs w:val="28"/>
            <w:lang w:eastAsia="zh-CN"/>
          </w:rPr>
          <w:t>(四)、项目风险管理与应对</w:t>
        </w:r>
        <w:r>
          <w:tab/>
        </w:r>
        <w:r>
          <w:fldChar w:fldCharType="begin"/>
        </w:r>
        <w:r>
          <w:instrText xml:space="preserve"> PAGEREF _Toc18628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p>
    <w:p>
      <w:pPr>
        <w:pStyle w:val="Heading1"/>
        <w:jc w:val="center"/>
        <w:rPr>
          <w:rFonts w:ascii="微软雅黑" w:eastAsia="微软雅黑" w:hAnsi="微软雅黑" w:cs="微软雅黑" w:hint="eastAsia"/>
          <w:color w:val="2E54A1" w:themeColor="accent1" w:themeShade="BF"/>
          <w:lang w:eastAsia="zh-CN"/>
        </w:rPr>
      </w:pPr>
      <w:bookmarkStart w:id="1" w:name="_Toc31056"/>
      <w:r>
        <w:rPr>
          <w:rFonts w:ascii="微软雅黑" w:eastAsia="微软雅黑" w:hAnsi="微软雅黑" w:cs="微软雅黑" w:hint="eastAsia"/>
          <w:color w:val="2E54A1" w:themeColor="accent1" w:themeShade="BF"/>
          <w:lang w:eastAsia="zh-CN"/>
        </w:rPr>
        <w:t>前言</w:t>
      </w:r>
      <w:bookmarkEnd w:id="1"/>
    </w:p>
    <w:p>
      <w:pPr>
        <w:spacing w:line="480" w:lineRule="auto"/>
        <w:ind w:firstLine="480" w:firstLineChars="200"/>
        <w:rPr>
          <w:rFonts w:ascii="宋体" w:eastAsia="宋体" w:hAnsi="宋体" w:cs="宋体" w:hint="eastAsia"/>
          <w:sz w:val="24"/>
          <w:szCs w:val="22"/>
        </w:rPr>
      </w:pPr>
      <w:r>
        <w:rPr>
          <w:rFonts w:ascii="宋体" w:eastAsia="宋体" w:hAnsi="宋体" w:cs="宋体" w:hint="eastAsia"/>
          <w:sz w:val="24"/>
          <w:szCs w:val="22"/>
          <w:lang w:eastAsia="zh-CN"/>
        </w:rPr>
        <w:t>锰矿行业研究报告致力于对锰矿行业进行详尽研究和分析，旨在为锰矿行业相关从业人员提供参考和借鉴。报告所包含的内容仅供学术研究和学习交流，不可用作商业用途。通过对行业发展历程、市场趋势和竞争态势的深入考察，本报告力求准确呈现行业现状和未来发展方向，为读者提供全面而有价值的行业洞察和决策支持。</w:t>
      </w:r>
    </w:p>
    <w:p>
      <w:pPr>
        <w:pStyle w:val="Heading1"/>
        <w:spacing w:line="480" w:lineRule="auto"/>
        <w:rPr>
          <w:rFonts w:ascii="微软雅黑" w:eastAsia="微软雅黑" w:hAnsi="微软雅黑" w:cs="微软雅黑" w:hint="eastAsia"/>
          <w:color w:val="2E54A1" w:themeColor="accent1" w:themeShade="BF"/>
          <w:sz w:val="32"/>
          <w:szCs w:val="32"/>
          <w:lang w:eastAsia="zh-CN"/>
        </w:rPr>
      </w:pPr>
      <w:bookmarkStart w:id="2" w:name="_Toc16423"/>
      <w:r>
        <w:rPr>
          <w:rFonts w:ascii="微软雅黑" w:eastAsia="微软雅黑" w:hAnsi="微软雅黑" w:cs="微软雅黑" w:hint="eastAsia"/>
          <w:color w:val="2E54A1" w:themeColor="accent1" w:themeShade="BF"/>
          <w:sz w:val="32"/>
          <w:szCs w:val="32"/>
          <w:lang w:eastAsia="zh-CN"/>
        </w:rPr>
        <w:t>一、锰矿行业背景及市场分析</w:t>
      </w:r>
      <w:bookmarkEnd w:id="2"/>
    </w:p>
    <w:p>
      <w:pPr>
        <w:pStyle w:val="Heading2"/>
        <w:spacing w:line="480" w:lineRule="auto"/>
        <w:rPr>
          <w:rFonts w:ascii="宋体" w:eastAsia="宋体" w:hAnsi="宋体" w:cs="宋体" w:hint="eastAsia"/>
          <w:bCs w:val="0"/>
          <w:sz w:val="28"/>
          <w:szCs w:val="28"/>
          <w:lang w:eastAsia="zh-CN"/>
        </w:rPr>
      </w:pPr>
      <w:bookmarkStart w:id="3" w:name="_Toc14126"/>
      <w:r>
        <w:rPr>
          <w:rFonts w:ascii="宋体" w:eastAsia="宋体" w:hAnsi="宋体" w:cs="宋体" w:hint="eastAsia"/>
          <w:b/>
          <w:bCs w:val="0"/>
          <w:sz w:val="28"/>
          <w:szCs w:val="28"/>
          <w:lang w:eastAsia="zh-CN"/>
        </w:rPr>
        <w:t>(一)、锰矿行业创新驱动</w:t>
      </w:r>
      <w:bookmarkEnd w:id="3"/>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在当前锰矿行业，创新驱动成为引领发展的核心力量。通过结合先进技术和数字化转型,锰矿行业致力于提升产品和服务的质量，以满足市场不断变化的需求。数字化技术的应用，例如大数据分析、人工智能等，为锰矿行业带来了全新的商业模式和运营方式。这种创新不仅提高了企业的竞争力，还为消费者提供了更智能、高效、个性化的服务体验。</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创新驱动的另一个关键方面是不断挖掘新的市场需求和商机。通过对市场趋势的深入洞察，锰矿行业能够抓住新兴需求，推出符合市场预期的产品和服务。在技术不断演进的背景下，锰矿行业的创新不仅限于产品，还包括商业模式、营销策略等多个方面。</w:t>
      </w:r>
    </w:p>
    <w:p>
      <w:pPr>
        <w:spacing w:line="480" w:lineRule="auto"/>
        <w:ind w:firstLine="420" w:firstLineChars="0"/>
        <w:rPr>
          <w:rFonts w:ascii="宋体" w:eastAsia="宋体" w:hAnsi="宋体" w:cs="宋体" w:hint="eastAsia"/>
          <w:sz w:val="24"/>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创新驱动还在提高企业的核心竞争力方面发挥了关键作用。通过引入先进的生产工艺、智能化设备以及优化供应链管理等手段，锰矿行业不仅提高了生产效率，降低了成本，还提供了更可持续的解决方案。这种全方位的创新努力使得锰矿行业在市场中更具活力和吸引力。</w:t>
      </w:r>
    </w:p>
    <w:p>
      <w:pPr>
        <w:pStyle w:val="Heading2"/>
        <w:spacing w:line="480" w:lineRule="auto"/>
        <w:rPr>
          <w:rFonts w:ascii="宋体" w:eastAsia="宋体" w:hAnsi="宋体" w:cs="宋体" w:hint="eastAsia"/>
          <w:bCs w:val="0"/>
          <w:sz w:val="28"/>
          <w:szCs w:val="28"/>
          <w:lang w:eastAsia="zh-CN"/>
        </w:rPr>
      </w:pPr>
      <w:bookmarkStart w:id="4" w:name="_Toc26145"/>
      <w:r>
        <w:rPr>
          <w:rFonts w:ascii="宋体" w:eastAsia="宋体" w:hAnsi="宋体" w:cs="宋体" w:hint="eastAsia"/>
          <w:b/>
          <w:bCs w:val="0"/>
          <w:sz w:val="28"/>
          <w:szCs w:val="28"/>
          <w:lang w:eastAsia="zh-CN"/>
        </w:rPr>
        <w:t>(二)、锰矿行业发展现状</w:t>
      </w:r>
      <w:bookmarkEnd w:id="4"/>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市场份额与规模</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在当前锰矿行业市场中，各参与者的市场份额分配相对均衡，没有明显的垄断现象。市场整体规模较大，呈现出逐年增长的趋势。这一增长主要受到市场需求不断扩大以及新兴业务领域的涌现等因素的推动。</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主要参与者</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该锰矿行业的主要参与者包括已有一定市场份额的传统企业、新兴创业公司以及可能有跨界进入的大型企业。传统企业凭借其丰富的经验和资源优势，依然在市场中占据一席之地。与此同时，新兴创业公司通过创新模式和灵活机制，逐渐崭露头角，引起了锰矿行业的关注。</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竞争格局</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当前锰矿行业的竞争格局呈现出多元化和多层次的特点。不同企业通过技术创新、产品差异化、服务升级等手段展开竞争。锰矿行业内部存在一些细分市场,不同细分市场的竞争程度和特征也各不相同。</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技术发展和趋势</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技术在锰矿行业中扮演着关键角色，尤其是数字化、智能化等前沿技术的应用。锰矿行业当前正面临着从传统模式向数字化、智能化方向的转型。这一趋势不仅影响着产品和服务的创新，也改变了企业之间的竞争格局。</w:t>
      </w:r>
      <w:r>
        <w:rPr>
          <w:rFonts w:ascii="宋体" w:eastAsia="宋体" w:hAnsi="宋体" w:cs="宋体" w:hint="eastAsia"/>
          <w:sz w:val="24"/>
        </w:rPr>
        <w:br/>
      </w:r>
      <w:r>
        <w:rPr>
          <w:rFonts w:ascii="宋体" w:eastAsia="宋体" w:hAnsi="宋体" w:cs="宋体" w:hint="eastAsia"/>
          <w:sz w:val="24"/>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https://d.book118.com/958040071012006031</w:t>
        </w:r>
      </w:hyperlink>
    </w:p>
    <w:p>
      <w:pPr>
        <w:spacing w:line="480" w:lineRule="auto"/>
        <w:ind w:firstLine="420" w:firstLineChars="0"/>
        <w:rPr>
          <w:rFonts w:ascii="宋体" w:eastAsia="宋体" w:hAnsi="宋体" w:cs="宋体" w:hint="eastAsia"/>
          <w:sz w:val="24"/>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2775B3"/>
    <w:rsid w:val="02623C3C"/>
    <w:rsid w:val="03734037"/>
    <w:rsid w:val="13614867"/>
    <w:rsid w:val="3DAC44EE"/>
    <w:rsid w:val="453746B4"/>
    <w:rsid w:val="482775B3"/>
    <w:rsid w:val="49C53810"/>
    <w:rsid w:val="4E155AC7"/>
    <w:rsid w:val="50930768"/>
    <w:rsid w:val="56E53A5B"/>
    <w:rsid w:val="62A91464"/>
    <w:rsid w:val="692E1C42"/>
  </w:rsids>
  <w:docVars>
    <w:docVar w:name="commondata" w:val="eyJoZGlkIjoiYjEzZTI3MzIxYzUxM2E3Y2YyMDVhZDRkMWU5YjExZD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qFormat="1"/>
    <w:lsdException w:name="toc 2" w:semiHidden="0" w:uiPriority="0" w:unhideWhenUsed="0" w:qFormat="1"/>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autoRedefine/>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autoRedefine/>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autoRedefine/>
    <w:qFormat/>
    <w:pPr>
      <w:tabs>
        <w:tab w:val="center" w:pos="4153"/>
        <w:tab w:val="right" w:pos="8306"/>
      </w:tabs>
      <w:snapToGrid w:val="0"/>
      <w:jc w:val="left"/>
    </w:pPr>
    <w:rPr>
      <w:sz w:val="18"/>
    </w:rPr>
  </w:style>
  <w:style w:type="paragraph" w:styleId="Header">
    <w:name w:val="header"/>
    <w:basedOn w:val="Normal"/>
    <w:autoRedefine/>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autoRedefine/>
    <w:qFormat/>
  </w:style>
  <w:style w:type="paragraph" w:styleId="TOC2">
    <w:name w:val="toc 2"/>
    <w:basedOn w:val="Normal"/>
    <w:next w:val="Normal"/>
    <w:autoRedefine/>
    <w:qFormat/>
    <w:pPr>
      <w:ind w:left="420" w:leftChars="200"/>
    </w:pPr>
  </w:style>
  <w:style w:type="character" w:styleId="PageNumber">
    <w:name w:val="page number"/>
    <w:basedOn w:val="DefaultParagraphFont"/>
    <w:autoRedefine/>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958040071012006031"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小海豹</cp:lastModifiedBy>
  <cp:revision>1</cp:revision>
  <dcterms:created xsi:type="dcterms:W3CDTF">2023-12-10T12:06:00Z</dcterms:created>
  <dcterms:modified xsi:type="dcterms:W3CDTF">2024-01-17T07:35:42Z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1E39AA5D4B7F4B19B7D16FD992F8235D_13</vt:lpwstr>
  </property>
  <property fmtid="{D5CDD505-2E9C-101B-9397-08002B2CF9AE}" pid="3" name="KSOProductBuildVer">
    <vt:lpwstr>2052-12.1.0.16120</vt:lpwstr>
  </property>
</Properties>
</file>