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核燃料元件及组件行业项目可行性分析报告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5" w:history="1">
        <w:r>
          <w:rPr>
            <w:rFonts w:ascii="仿宋" w:eastAsia="仿宋" w:hAnsi="仿宋" w:cs="仿宋" w:hint="eastAsia"/>
            <w:lang w:eastAsia="zh-CN"/>
          </w:rPr>
          <w:t>序言</w:t>
        </w:r>
        <w:r>
          <w:tab/>
        </w:r>
        <w:r>
          <w:fldChar w:fldCharType="begin"/>
        </w:r>
        <w:r>
          <w:instrText xml:space="preserve"> PAGEREF _Toc10015 \h </w:instrText>
        </w:r>
        <w:r>
          <w:fldChar w:fldCharType="separate"/>
        </w:r>
        <w:r>
          <w:t>3</w:t>
        </w:r>
        <w:r>
          <w:fldChar w:fldCharType="end"/>
        </w:r>
      </w:hyperlink>
    </w:p>
    <w:p>
      <w:pPr>
        <w:pStyle w:val="TOC1"/>
        <w:tabs>
          <w:tab w:val="right" w:leader="dot" w:pos="8306"/>
        </w:tabs>
      </w:pPr>
      <w:hyperlink w:anchor="_Toc9988" w:history="1">
        <w:r>
          <w:rPr>
            <w:rFonts w:ascii="仿宋" w:eastAsia="仿宋" w:hAnsi="仿宋" w:cs="仿宋" w:hint="eastAsia"/>
            <w:lang w:eastAsia="zh-CN"/>
          </w:rPr>
          <w:t>一、灵活性和可持续性平衡</w:t>
        </w:r>
        <w:r>
          <w:tab/>
        </w:r>
        <w:r>
          <w:fldChar w:fldCharType="begin"/>
        </w:r>
        <w:r>
          <w:instrText xml:space="preserve"> PAGEREF _Toc9988 \h </w:instrText>
        </w:r>
        <w:r>
          <w:fldChar w:fldCharType="separate"/>
        </w:r>
        <w:r>
          <w:t>3</w:t>
        </w:r>
        <w:r>
          <w:fldChar w:fldCharType="end"/>
        </w:r>
      </w:hyperlink>
    </w:p>
    <w:p>
      <w:pPr>
        <w:pStyle w:val="TOC2"/>
        <w:tabs>
          <w:tab w:val="right" w:leader="dot" w:pos="8306"/>
        </w:tabs>
      </w:pPr>
      <w:hyperlink w:anchor="_Toc31685" w:history="1">
        <w:r>
          <w:rPr>
            <w:rFonts w:ascii="仿宋" w:eastAsia="仿宋" w:hAnsi="仿宋" w:cs="仿宋" w:hint="eastAsia"/>
            <w:lang w:eastAsia="zh-CN"/>
          </w:rPr>
          <w:t>(一)、灵活生产与资源效率的平衡</w:t>
        </w:r>
        <w:r>
          <w:tab/>
        </w:r>
        <w:r>
          <w:fldChar w:fldCharType="begin"/>
        </w:r>
        <w:r>
          <w:instrText xml:space="preserve"> PAGEREF _Toc31685 \h </w:instrText>
        </w:r>
        <w:r>
          <w:fldChar w:fldCharType="separate"/>
        </w:r>
        <w:r>
          <w:t>3</w:t>
        </w:r>
        <w:r>
          <w:fldChar w:fldCharType="end"/>
        </w:r>
      </w:hyperlink>
    </w:p>
    <w:p>
      <w:pPr>
        <w:pStyle w:val="TOC2"/>
        <w:tabs>
          <w:tab w:val="right" w:leader="dot" w:pos="8306"/>
        </w:tabs>
      </w:pPr>
      <w:hyperlink w:anchor="_Toc3744" w:history="1">
        <w:r>
          <w:rPr>
            <w:rFonts w:ascii="仿宋" w:eastAsia="仿宋" w:hAnsi="仿宋" w:cs="仿宋" w:hint="eastAsia"/>
            <w:lang w:eastAsia="zh-CN"/>
          </w:rPr>
          <w:t>(二)、可持续生产和市场变化的平衡</w:t>
        </w:r>
        <w:r>
          <w:tab/>
        </w:r>
        <w:r>
          <w:fldChar w:fldCharType="begin"/>
        </w:r>
        <w:r>
          <w:instrText xml:space="preserve"> PAGEREF _Toc3744 \h </w:instrText>
        </w:r>
        <w:r>
          <w:fldChar w:fldCharType="separate"/>
        </w:r>
        <w:r>
          <w:t>4</w:t>
        </w:r>
        <w:r>
          <w:fldChar w:fldCharType="end"/>
        </w:r>
      </w:hyperlink>
    </w:p>
    <w:p>
      <w:pPr>
        <w:pStyle w:val="TOC2"/>
        <w:tabs>
          <w:tab w:val="right" w:leader="dot" w:pos="8306"/>
        </w:tabs>
      </w:pPr>
      <w:hyperlink w:anchor="_Toc14184" w:history="1">
        <w:r>
          <w:rPr>
            <w:rFonts w:ascii="仿宋" w:eastAsia="仿宋" w:hAnsi="仿宋" w:cs="仿宋" w:hint="eastAsia"/>
            <w:lang w:eastAsia="zh-CN"/>
          </w:rPr>
          <w:t>(三)、灵活可行性策略的实施</w:t>
        </w:r>
        <w:r>
          <w:tab/>
        </w:r>
        <w:r>
          <w:fldChar w:fldCharType="begin"/>
        </w:r>
        <w:r>
          <w:instrText xml:space="preserve"> PAGEREF _Toc14184 \h </w:instrText>
        </w:r>
        <w:r>
          <w:fldChar w:fldCharType="separate"/>
        </w:r>
        <w:r>
          <w:t>5</w:t>
        </w:r>
        <w:r>
          <w:fldChar w:fldCharType="end"/>
        </w:r>
      </w:hyperlink>
    </w:p>
    <w:p>
      <w:pPr>
        <w:pStyle w:val="TOC1"/>
        <w:tabs>
          <w:tab w:val="right" w:leader="dot" w:pos="8306"/>
        </w:tabs>
      </w:pPr>
      <w:hyperlink w:anchor="_Toc6905" w:history="1">
        <w:r>
          <w:rPr>
            <w:rFonts w:ascii="仿宋" w:eastAsia="仿宋" w:hAnsi="仿宋" w:cs="仿宋" w:hint="eastAsia"/>
            <w:lang w:eastAsia="zh-CN"/>
          </w:rPr>
          <w:t>二、核燃料元件及组件项目主要建(构)筑物建设工程</w:t>
        </w:r>
        <w:r>
          <w:tab/>
        </w:r>
        <w:r>
          <w:fldChar w:fldCharType="begin"/>
        </w:r>
        <w:r>
          <w:instrText xml:space="preserve"> PAGEREF _Toc6905 \h </w:instrText>
        </w:r>
        <w:r>
          <w:fldChar w:fldCharType="separate"/>
        </w:r>
        <w:r>
          <w:t>6</w:t>
        </w:r>
        <w:r>
          <w:fldChar w:fldCharType="end"/>
        </w:r>
      </w:hyperlink>
    </w:p>
    <w:p>
      <w:pPr>
        <w:pStyle w:val="TOC2"/>
        <w:tabs>
          <w:tab w:val="right" w:leader="dot" w:pos="8306"/>
        </w:tabs>
      </w:pPr>
      <w:hyperlink w:anchor="_Toc4283" w:history="1">
        <w:r>
          <w:rPr>
            <w:rFonts w:ascii="仿宋" w:eastAsia="仿宋" w:hAnsi="仿宋" w:cs="仿宋" w:hint="eastAsia"/>
            <w:lang w:eastAsia="zh-CN"/>
          </w:rPr>
          <w:t>(一)、抗震设防</w:t>
        </w:r>
        <w:r>
          <w:tab/>
        </w:r>
        <w:r>
          <w:fldChar w:fldCharType="begin"/>
        </w:r>
        <w:r>
          <w:instrText xml:space="preserve"> PAGEREF _Toc4283 \h </w:instrText>
        </w:r>
        <w:r>
          <w:fldChar w:fldCharType="separate"/>
        </w:r>
        <w:r>
          <w:t>6</w:t>
        </w:r>
        <w:r>
          <w:fldChar w:fldCharType="end"/>
        </w:r>
      </w:hyperlink>
    </w:p>
    <w:p>
      <w:pPr>
        <w:pStyle w:val="TOC2"/>
        <w:tabs>
          <w:tab w:val="right" w:leader="dot" w:pos="8306"/>
        </w:tabs>
      </w:pPr>
      <w:hyperlink w:anchor="_Toc24451" w:history="1">
        <w:r>
          <w:rPr>
            <w:rFonts w:ascii="仿宋" w:eastAsia="仿宋" w:hAnsi="仿宋" w:cs="仿宋" w:hint="eastAsia"/>
            <w:lang w:eastAsia="zh-CN"/>
          </w:rPr>
          <w:t>(二)、建筑结构形势及基础方案</w:t>
        </w:r>
        <w:r>
          <w:tab/>
        </w:r>
        <w:r>
          <w:fldChar w:fldCharType="begin"/>
        </w:r>
        <w:r>
          <w:instrText xml:space="preserve"> PAGEREF _Toc24451 \h </w:instrText>
        </w:r>
        <w:r>
          <w:fldChar w:fldCharType="separate"/>
        </w:r>
        <w:r>
          <w:t>7</w:t>
        </w:r>
        <w:r>
          <w:fldChar w:fldCharType="end"/>
        </w:r>
      </w:hyperlink>
    </w:p>
    <w:p>
      <w:pPr>
        <w:pStyle w:val="TOC2"/>
        <w:tabs>
          <w:tab w:val="right" w:leader="dot" w:pos="8306"/>
        </w:tabs>
      </w:pPr>
      <w:hyperlink w:anchor="_Toc28335" w:history="1">
        <w:r>
          <w:rPr>
            <w:rFonts w:ascii="仿宋" w:eastAsia="仿宋" w:hAnsi="仿宋" w:cs="仿宋" w:hint="eastAsia"/>
            <w:lang w:eastAsia="zh-CN"/>
          </w:rPr>
          <w:t>(三)、主要建(构)筑物建设工程</w:t>
        </w:r>
        <w:r>
          <w:tab/>
        </w:r>
        <w:r>
          <w:fldChar w:fldCharType="begin"/>
        </w:r>
        <w:r>
          <w:instrText xml:space="preserve"> PAGEREF _Toc28335 \h </w:instrText>
        </w:r>
        <w:r>
          <w:fldChar w:fldCharType="separate"/>
        </w:r>
        <w:r>
          <w:t>7</w:t>
        </w:r>
        <w:r>
          <w:fldChar w:fldCharType="end"/>
        </w:r>
      </w:hyperlink>
    </w:p>
    <w:p>
      <w:pPr>
        <w:pStyle w:val="TOC1"/>
        <w:tabs>
          <w:tab w:val="right" w:leader="dot" w:pos="8306"/>
        </w:tabs>
      </w:pPr>
      <w:hyperlink w:anchor="_Toc27541" w:history="1">
        <w:r>
          <w:rPr>
            <w:rFonts w:ascii="仿宋" w:eastAsia="仿宋" w:hAnsi="仿宋" w:cs="仿宋" w:hint="eastAsia"/>
            <w:lang w:eastAsia="zh-CN"/>
          </w:rPr>
          <w:t>三、融资方案和资金使用计划</w:t>
        </w:r>
        <w:r>
          <w:tab/>
        </w:r>
        <w:r>
          <w:fldChar w:fldCharType="begin"/>
        </w:r>
        <w:r>
          <w:instrText xml:space="preserve"> PAGEREF _Toc27541 \h </w:instrText>
        </w:r>
        <w:r>
          <w:fldChar w:fldCharType="separate"/>
        </w:r>
        <w:r>
          <w:t>8</w:t>
        </w:r>
        <w:r>
          <w:fldChar w:fldCharType="end"/>
        </w:r>
      </w:hyperlink>
    </w:p>
    <w:p>
      <w:pPr>
        <w:pStyle w:val="TOC2"/>
        <w:tabs>
          <w:tab w:val="right" w:leader="dot" w:pos="8306"/>
        </w:tabs>
      </w:pPr>
      <w:hyperlink w:anchor="_Toc24281" w:history="1">
        <w:r>
          <w:rPr>
            <w:rFonts w:ascii="仿宋" w:eastAsia="仿宋" w:hAnsi="仿宋" w:cs="仿宋" w:hint="eastAsia"/>
            <w:lang w:eastAsia="zh-CN"/>
          </w:rPr>
          <w:t>(一)、核燃料元件及组件项目融资方式和资金来源选择</w:t>
        </w:r>
        <w:r>
          <w:tab/>
        </w:r>
        <w:r>
          <w:fldChar w:fldCharType="begin"/>
        </w:r>
        <w:r>
          <w:instrText xml:space="preserve"> PAGEREF _Toc24281 \h </w:instrText>
        </w:r>
        <w:r>
          <w:fldChar w:fldCharType="separate"/>
        </w:r>
        <w:r>
          <w:t>8</w:t>
        </w:r>
        <w:r>
          <w:fldChar w:fldCharType="end"/>
        </w:r>
      </w:hyperlink>
    </w:p>
    <w:p>
      <w:pPr>
        <w:pStyle w:val="TOC2"/>
        <w:tabs>
          <w:tab w:val="right" w:leader="dot" w:pos="8306"/>
        </w:tabs>
      </w:pPr>
      <w:hyperlink w:anchor="_Toc19352" w:history="1">
        <w:r>
          <w:rPr>
            <w:rFonts w:ascii="仿宋" w:eastAsia="仿宋" w:hAnsi="仿宋" w:cs="仿宋" w:hint="eastAsia"/>
            <w:lang w:eastAsia="zh-CN"/>
          </w:rPr>
          <w:t>(二)、资金使用计划和管理措施</w:t>
        </w:r>
        <w:r>
          <w:tab/>
        </w:r>
        <w:r>
          <w:fldChar w:fldCharType="begin"/>
        </w:r>
        <w:r>
          <w:instrText xml:space="preserve"> PAGEREF _Toc19352 \h </w:instrText>
        </w:r>
        <w:r>
          <w:fldChar w:fldCharType="separate"/>
        </w:r>
        <w:r>
          <w:t>9</w:t>
        </w:r>
        <w:r>
          <w:fldChar w:fldCharType="end"/>
        </w:r>
      </w:hyperlink>
    </w:p>
    <w:p>
      <w:pPr>
        <w:pStyle w:val="TOC2"/>
        <w:tabs>
          <w:tab w:val="right" w:leader="dot" w:pos="8306"/>
        </w:tabs>
      </w:pPr>
      <w:hyperlink w:anchor="_Toc25700" w:history="1">
        <w:r>
          <w:rPr>
            <w:rFonts w:ascii="仿宋" w:eastAsia="仿宋" w:hAnsi="仿宋" w:cs="仿宋" w:hint="eastAsia"/>
            <w:lang w:eastAsia="zh-CN"/>
          </w:rPr>
          <w:t>(三)、财务风险预警和应对方案</w:t>
        </w:r>
        <w:r>
          <w:tab/>
        </w:r>
        <w:r>
          <w:fldChar w:fldCharType="begin"/>
        </w:r>
        <w:r>
          <w:instrText xml:space="preserve"> PAGEREF _Toc25700 \h </w:instrText>
        </w:r>
        <w:r>
          <w:fldChar w:fldCharType="separate"/>
        </w:r>
        <w:r>
          <w:t>10</w:t>
        </w:r>
        <w:r>
          <w:fldChar w:fldCharType="end"/>
        </w:r>
      </w:hyperlink>
    </w:p>
    <w:p>
      <w:pPr>
        <w:pStyle w:val="TOC1"/>
        <w:tabs>
          <w:tab w:val="right" w:leader="dot" w:pos="8306"/>
        </w:tabs>
      </w:pPr>
      <w:hyperlink w:anchor="_Toc9430" w:history="1">
        <w:r>
          <w:rPr>
            <w:rFonts w:ascii="仿宋" w:eastAsia="仿宋" w:hAnsi="仿宋" w:cs="仿宋" w:hint="eastAsia"/>
            <w:lang w:eastAsia="zh-CN"/>
          </w:rPr>
          <w:t>四、核燃料元件及组件行业社会文化影响评估</w:t>
        </w:r>
        <w:r>
          <w:tab/>
        </w:r>
        <w:r>
          <w:fldChar w:fldCharType="begin"/>
        </w:r>
        <w:r>
          <w:instrText xml:space="preserve"> PAGEREF _Toc9430 \h </w:instrText>
        </w:r>
        <w:r>
          <w:fldChar w:fldCharType="separate"/>
        </w:r>
        <w:r>
          <w:t>11</w:t>
        </w:r>
        <w:r>
          <w:fldChar w:fldCharType="end"/>
        </w:r>
      </w:hyperlink>
    </w:p>
    <w:p>
      <w:pPr>
        <w:pStyle w:val="TOC2"/>
        <w:tabs>
          <w:tab w:val="right" w:leader="dot" w:pos="8306"/>
        </w:tabs>
      </w:pPr>
      <w:hyperlink w:anchor="_Toc2865" w:history="1">
        <w:r>
          <w:rPr>
            <w:rFonts w:ascii="仿宋" w:eastAsia="仿宋" w:hAnsi="仿宋" w:cs="仿宋" w:hint="eastAsia"/>
            <w:lang w:eastAsia="zh-CN"/>
          </w:rPr>
          <w:t>(一)、核燃料元件及组件在文化和艺术中的地位</w:t>
        </w:r>
        <w:r>
          <w:tab/>
        </w:r>
        <w:r>
          <w:fldChar w:fldCharType="begin"/>
        </w:r>
        <w:r>
          <w:instrText xml:space="preserve"> PAGEREF _Toc2865 \h </w:instrText>
        </w:r>
        <w:r>
          <w:fldChar w:fldCharType="separate"/>
        </w:r>
        <w:r>
          <w:t>11</w:t>
        </w:r>
        <w:r>
          <w:fldChar w:fldCharType="end"/>
        </w:r>
      </w:hyperlink>
    </w:p>
    <w:p>
      <w:pPr>
        <w:pStyle w:val="TOC2"/>
        <w:tabs>
          <w:tab w:val="right" w:leader="dot" w:pos="8306"/>
        </w:tabs>
      </w:pPr>
      <w:hyperlink w:anchor="_Toc18551" w:history="1">
        <w:r>
          <w:rPr>
            <w:rFonts w:ascii="仿宋" w:eastAsia="仿宋" w:hAnsi="仿宋" w:cs="仿宋" w:hint="eastAsia"/>
            <w:lang w:eastAsia="zh-CN"/>
          </w:rPr>
          <w:t>(二)、文化趋势对核燃料元件及组件需求的影响</w:t>
        </w:r>
        <w:r>
          <w:tab/>
        </w:r>
        <w:r>
          <w:fldChar w:fldCharType="begin"/>
        </w:r>
        <w:r>
          <w:instrText xml:space="preserve"> PAGEREF _Toc18551 \h </w:instrText>
        </w:r>
        <w:r>
          <w:fldChar w:fldCharType="separate"/>
        </w:r>
        <w:r>
          <w:t>12</w:t>
        </w:r>
        <w:r>
          <w:fldChar w:fldCharType="end"/>
        </w:r>
      </w:hyperlink>
    </w:p>
    <w:p>
      <w:pPr>
        <w:pStyle w:val="TOC2"/>
        <w:tabs>
          <w:tab w:val="right" w:leader="dot" w:pos="8306"/>
        </w:tabs>
      </w:pPr>
      <w:hyperlink w:anchor="_Toc18769" w:history="1">
        <w:r>
          <w:rPr>
            <w:rFonts w:ascii="仿宋" w:eastAsia="仿宋" w:hAnsi="仿宋" w:cs="仿宋" w:hint="eastAsia"/>
            <w:lang w:eastAsia="zh-CN"/>
          </w:rPr>
          <w:t>(三)、社会文化因素的可行性分析</w:t>
        </w:r>
        <w:r>
          <w:tab/>
        </w:r>
        <w:r>
          <w:fldChar w:fldCharType="begin"/>
        </w:r>
        <w:r>
          <w:instrText xml:space="preserve"> PAGEREF _Toc18769 \h </w:instrText>
        </w:r>
        <w:r>
          <w:fldChar w:fldCharType="separate"/>
        </w:r>
        <w:r>
          <w:t>13</w:t>
        </w:r>
        <w:r>
          <w:fldChar w:fldCharType="end"/>
        </w:r>
      </w:hyperlink>
    </w:p>
    <w:p>
      <w:pPr>
        <w:pStyle w:val="TOC1"/>
        <w:tabs>
          <w:tab w:val="right" w:leader="dot" w:pos="8306"/>
        </w:tabs>
      </w:pPr>
      <w:hyperlink w:anchor="_Toc16303" w:history="1">
        <w:r>
          <w:rPr>
            <w:rFonts w:ascii="仿宋" w:eastAsia="仿宋" w:hAnsi="仿宋" w:cs="仿宋" w:hint="eastAsia"/>
            <w:lang w:eastAsia="zh-CN"/>
          </w:rPr>
          <w:t>五、技术可行性分析</w:t>
        </w:r>
        <w:r>
          <w:tab/>
        </w:r>
        <w:r>
          <w:fldChar w:fldCharType="begin"/>
        </w:r>
        <w:r>
          <w:instrText xml:space="preserve"> PAGEREF _Toc16303 \h </w:instrText>
        </w:r>
        <w:r>
          <w:fldChar w:fldCharType="separate"/>
        </w:r>
        <w:r>
          <w:t>15</w:t>
        </w:r>
        <w:r>
          <w:fldChar w:fldCharType="end"/>
        </w:r>
      </w:hyperlink>
    </w:p>
    <w:p>
      <w:pPr>
        <w:pStyle w:val="TOC2"/>
        <w:tabs>
          <w:tab w:val="right" w:leader="dot" w:pos="8306"/>
        </w:tabs>
      </w:pPr>
      <w:hyperlink w:anchor="_Toc18691" w:history="1">
        <w:r>
          <w:rPr>
            <w:rFonts w:ascii="仿宋" w:eastAsia="仿宋" w:hAnsi="仿宋" w:cs="仿宋" w:hint="eastAsia"/>
            <w:lang w:eastAsia="zh-CN"/>
          </w:rPr>
          <w:t>(一)、技术来源及先进性说明</w:t>
        </w:r>
        <w:r>
          <w:tab/>
        </w:r>
        <w:r>
          <w:fldChar w:fldCharType="begin"/>
        </w:r>
        <w:r>
          <w:instrText xml:space="preserve"> PAGEREF _Toc18691 \h </w:instrText>
        </w:r>
        <w:r>
          <w:fldChar w:fldCharType="separate"/>
        </w:r>
        <w:r>
          <w:t>15</w:t>
        </w:r>
        <w:r>
          <w:fldChar w:fldCharType="end"/>
        </w:r>
      </w:hyperlink>
    </w:p>
    <w:p>
      <w:pPr>
        <w:pStyle w:val="TOC2"/>
        <w:tabs>
          <w:tab w:val="right" w:leader="dot" w:pos="8306"/>
        </w:tabs>
      </w:pPr>
      <w:hyperlink w:anchor="_Toc8754" w:history="1">
        <w:r>
          <w:rPr>
            <w:rFonts w:ascii="仿宋" w:eastAsia="仿宋" w:hAnsi="仿宋" w:cs="仿宋" w:hint="eastAsia"/>
            <w:lang w:eastAsia="zh-CN"/>
          </w:rPr>
          <w:t>(二)、核燃料元件及组件项目的技术难点及解决方案</w:t>
        </w:r>
        <w:r>
          <w:tab/>
        </w:r>
        <w:r>
          <w:fldChar w:fldCharType="begin"/>
        </w:r>
        <w:r>
          <w:instrText xml:space="preserve"> PAGEREF _Toc8754 \h </w:instrText>
        </w:r>
        <w:r>
          <w:fldChar w:fldCharType="separate"/>
        </w:r>
        <w:r>
          <w:t>16</w:t>
        </w:r>
        <w:r>
          <w:fldChar w:fldCharType="end"/>
        </w:r>
      </w:hyperlink>
    </w:p>
    <w:p>
      <w:pPr>
        <w:pStyle w:val="TOC2"/>
        <w:tabs>
          <w:tab w:val="right" w:leader="dot" w:pos="8306"/>
        </w:tabs>
      </w:pPr>
      <w:hyperlink w:anchor="_Toc18385" w:history="1">
        <w:r>
          <w:rPr>
            <w:rFonts w:ascii="仿宋" w:eastAsia="仿宋" w:hAnsi="仿宋" w:cs="仿宋" w:hint="eastAsia"/>
            <w:lang w:eastAsia="zh-CN"/>
          </w:rPr>
          <w:t>(三)、技术人才需求</w:t>
        </w:r>
        <w:r>
          <w:tab/>
        </w:r>
        <w:r>
          <w:fldChar w:fldCharType="begin"/>
        </w:r>
        <w:r>
          <w:instrText xml:space="preserve"> PAGEREF _Toc18385 \h </w:instrText>
        </w:r>
        <w:r>
          <w:fldChar w:fldCharType="separate"/>
        </w:r>
        <w:r>
          <w:t>17</w:t>
        </w:r>
        <w:r>
          <w:fldChar w:fldCharType="end"/>
        </w:r>
      </w:hyperlink>
    </w:p>
    <w:p>
      <w:pPr>
        <w:pStyle w:val="TOC1"/>
        <w:tabs>
          <w:tab w:val="right" w:leader="dot" w:pos="8306"/>
        </w:tabs>
      </w:pPr>
      <w:hyperlink w:anchor="_Toc20835" w:history="1">
        <w:r>
          <w:rPr>
            <w:rFonts w:ascii="仿宋" w:eastAsia="仿宋" w:hAnsi="仿宋" w:cs="仿宋" w:hint="eastAsia"/>
            <w:lang w:eastAsia="zh-CN"/>
          </w:rPr>
          <w:t>六、跨行业合作与创新</w:t>
        </w:r>
        <w:r>
          <w:tab/>
        </w:r>
        <w:r>
          <w:fldChar w:fldCharType="begin"/>
        </w:r>
        <w:r>
          <w:instrText xml:space="preserve"> PAGEREF _Toc20835 \h </w:instrText>
        </w:r>
        <w:r>
          <w:fldChar w:fldCharType="separate"/>
        </w:r>
        <w:r>
          <w:t>18</w:t>
        </w:r>
        <w:r>
          <w:fldChar w:fldCharType="end"/>
        </w:r>
      </w:hyperlink>
    </w:p>
    <w:p>
      <w:pPr>
        <w:pStyle w:val="TOC2"/>
        <w:tabs>
          <w:tab w:val="right" w:leader="dot" w:pos="8306"/>
        </w:tabs>
      </w:pPr>
      <w:hyperlink w:anchor="_Toc23438" w:history="1">
        <w:r>
          <w:rPr>
            <w:rFonts w:ascii="仿宋" w:eastAsia="仿宋" w:hAnsi="仿宋" w:cs="仿宋" w:hint="eastAsia"/>
            <w:lang w:eastAsia="zh-CN"/>
          </w:rPr>
          <w:t>(一)、与其他行业合作的潜力</w:t>
        </w:r>
        <w:r>
          <w:tab/>
        </w:r>
        <w:r>
          <w:fldChar w:fldCharType="begin"/>
        </w:r>
        <w:r>
          <w:instrText xml:space="preserve"> PAGEREF _Toc23438 \h </w:instrText>
        </w:r>
        <w:r>
          <w:fldChar w:fldCharType="separate"/>
        </w:r>
        <w:r>
          <w:t>18</w:t>
        </w:r>
        <w:r>
          <w:fldChar w:fldCharType="end"/>
        </w:r>
      </w:hyperlink>
    </w:p>
    <w:p>
      <w:pPr>
        <w:pStyle w:val="TOC2"/>
        <w:tabs>
          <w:tab w:val="right" w:leader="dot" w:pos="8306"/>
        </w:tabs>
      </w:pPr>
      <w:hyperlink w:anchor="_Toc17882" w:history="1">
        <w:r>
          <w:rPr>
            <w:rFonts w:ascii="仿宋" w:eastAsia="仿宋" w:hAnsi="仿宋" w:cs="仿宋" w:hint="eastAsia"/>
            <w:lang w:eastAsia="zh-CN"/>
          </w:rPr>
          <w:t>(二)、交叉行业创新和合作策略</w:t>
        </w:r>
        <w:r>
          <w:tab/>
        </w:r>
        <w:r>
          <w:fldChar w:fldCharType="begin"/>
        </w:r>
        <w:r>
          <w:instrText xml:space="preserve"> PAGEREF _Toc17882 \h </w:instrText>
        </w:r>
        <w:r>
          <w:fldChar w:fldCharType="separate"/>
        </w:r>
        <w:r>
          <w:t>20</w:t>
        </w:r>
        <w:r>
          <w:fldChar w:fldCharType="end"/>
        </w:r>
      </w:hyperlink>
    </w:p>
    <w:p>
      <w:pPr>
        <w:pStyle w:val="TOC2"/>
        <w:tabs>
          <w:tab w:val="right" w:leader="dot" w:pos="8306"/>
        </w:tabs>
      </w:pPr>
      <w:hyperlink w:anchor="_Toc13373" w:history="1">
        <w:r>
          <w:rPr>
            <w:rFonts w:ascii="仿宋" w:eastAsia="仿宋" w:hAnsi="仿宋" w:cs="仿宋" w:hint="eastAsia"/>
            <w:lang w:eastAsia="zh-CN"/>
          </w:rPr>
          <w:t>(三)、产业生态系统的参与和合作机会</w:t>
        </w:r>
        <w:r>
          <w:tab/>
        </w:r>
        <w:r>
          <w:fldChar w:fldCharType="begin"/>
        </w:r>
        <w:r>
          <w:instrText xml:space="preserve"> PAGEREF _Toc13373 \h </w:instrText>
        </w:r>
        <w:r>
          <w:fldChar w:fldCharType="separate"/>
        </w:r>
        <w:r>
          <w:t>21</w:t>
        </w:r>
        <w:r>
          <w:fldChar w:fldCharType="end"/>
        </w:r>
      </w:hyperlink>
    </w:p>
    <w:p>
      <w:pPr>
        <w:pStyle w:val="TOC1"/>
        <w:tabs>
          <w:tab w:val="right" w:leader="dot" w:pos="8306"/>
        </w:tabs>
      </w:pPr>
      <w:hyperlink w:anchor="_Toc18994" w:history="1">
        <w:r>
          <w:rPr>
            <w:rFonts w:ascii="仿宋" w:eastAsia="仿宋" w:hAnsi="仿宋" w:cs="仿宋" w:hint="eastAsia"/>
            <w:lang w:eastAsia="zh-CN"/>
          </w:rPr>
          <w:t>七、客户服务和消费者权益保护</w:t>
        </w:r>
        <w:r>
          <w:tab/>
        </w:r>
        <w:r>
          <w:fldChar w:fldCharType="begin"/>
        </w:r>
        <w:r>
          <w:instrText xml:space="preserve"> PAGEREF _Toc18994 \h </w:instrText>
        </w:r>
        <w:r>
          <w:fldChar w:fldCharType="separate"/>
        </w:r>
        <w:r>
          <w:t>22</w:t>
        </w:r>
        <w:r>
          <w:fldChar w:fldCharType="end"/>
        </w:r>
      </w:hyperlink>
    </w:p>
    <w:p>
      <w:pPr>
        <w:pStyle w:val="TOC2"/>
        <w:tabs>
          <w:tab w:val="right" w:leader="dot" w:pos="8306"/>
        </w:tabs>
      </w:pPr>
      <w:hyperlink w:anchor="_Toc27174" w:history="1">
        <w:r>
          <w:rPr>
            <w:rFonts w:ascii="仿宋" w:eastAsia="仿宋" w:hAnsi="仿宋" w:cs="仿宋" w:hint="eastAsia"/>
            <w:lang w:eastAsia="zh-CN"/>
          </w:rPr>
          <w:t>(一)、客户服务的标准和流程</w:t>
        </w:r>
        <w:r>
          <w:tab/>
        </w:r>
        <w:r>
          <w:fldChar w:fldCharType="begin"/>
        </w:r>
        <w:r>
          <w:instrText xml:space="preserve"> PAGEREF _Toc27174 \h </w:instrText>
        </w:r>
        <w:r>
          <w:fldChar w:fldCharType="separate"/>
        </w:r>
        <w:r>
          <w:t>22</w:t>
        </w:r>
        <w:r>
          <w:fldChar w:fldCharType="end"/>
        </w:r>
      </w:hyperlink>
    </w:p>
    <w:p>
      <w:pPr>
        <w:pStyle w:val="TOC2"/>
        <w:tabs>
          <w:tab w:val="right" w:leader="dot" w:pos="8306"/>
        </w:tabs>
      </w:pPr>
      <w:hyperlink w:anchor="_Toc5444" w:history="1">
        <w:r>
          <w:rPr>
            <w:rFonts w:ascii="仿宋" w:eastAsia="仿宋" w:hAnsi="仿宋" w:cs="仿宋" w:hint="eastAsia"/>
            <w:lang w:eastAsia="zh-CN"/>
          </w:rPr>
          <w:t>(二)、消费者权益保护的措施和办法</w:t>
        </w:r>
        <w:r>
          <w:tab/>
        </w:r>
        <w:r>
          <w:fldChar w:fldCharType="begin"/>
        </w:r>
        <w:r>
          <w:instrText xml:space="preserve"> PAGEREF _Toc5444 \h </w:instrText>
        </w:r>
        <w:r>
          <w:fldChar w:fldCharType="separate"/>
        </w:r>
        <w:r>
          <w:t>24</w:t>
        </w:r>
        <w:r>
          <w:fldChar w:fldCharType="end"/>
        </w:r>
      </w:hyperlink>
    </w:p>
    <w:p>
      <w:pPr>
        <w:pStyle w:val="TOC2"/>
        <w:tabs>
          <w:tab w:val="right" w:leader="dot" w:pos="8306"/>
        </w:tabs>
      </w:pPr>
      <w:hyperlink w:anchor="_Toc8616" w:history="1">
        <w:r>
          <w:rPr>
            <w:rFonts w:ascii="仿宋" w:eastAsia="仿宋" w:hAnsi="仿宋" w:cs="仿宋" w:hint="eastAsia"/>
            <w:lang w:eastAsia="zh-CN"/>
          </w:rPr>
          <w:t>(三)、客户反馈和投诉处理的机制建设</w:t>
        </w:r>
        <w:r>
          <w:tab/>
        </w:r>
        <w:r>
          <w:fldChar w:fldCharType="begin"/>
        </w:r>
        <w:r>
          <w:instrText xml:space="preserve"> PAGEREF _Toc8616 \h </w:instrText>
        </w:r>
        <w:r>
          <w:fldChar w:fldCharType="separate"/>
        </w:r>
        <w:r>
          <w:t>25</w:t>
        </w:r>
        <w:r>
          <w:fldChar w:fldCharType="end"/>
        </w:r>
      </w:hyperlink>
    </w:p>
    <w:p>
      <w:pPr>
        <w:pStyle w:val="TOC1"/>
        <w:tabs>
          <w:tab w:val="right" w:leader="dot" w:pos="8306"/>
        </w:tabs>
      </w:pPr>
      <w:hyperlink w:anchor="_Toc1847" w:history="1">
        <w:r>
          <w:rPr>
            <w:rFonts w:ascii="仿宋" w:eastAsia="仿宋" w:hAnsi="仿宋" w:cs="仿宋" w:hint="eastAsia"/>
            <w:lang w:eastAsia="zh-CN"/>
          </w:rPr>
          <w:t>八、工程设计方案</w:t>
        </w:r>
        <w:r>
          <w:tab/>
        </w:r>
        <w:r>
          <w:fldChar w:fldCharType="begin"/>
        </w:r>
        <w:r>
          <w:instrText xml:space="preserve"> PAGEREF _Toc1847 \h </w:instrText>
        </w:r>
        <w:r>
          <w:fldChar w:fldCharType="separate"/>
        </w:r>
        <w:r>
          <w:t>27</w:t>
        </w:r>
        <w:r>
          <w:fldChar w:fldCharType="end"/>
        </w:r>
      </w:hyperlink>
    </w:p>
    <w:p>
      <w:pPr>
        <w:pStyle w:val="TOC2"/>
        <w:tabs>
          <w:tab w:val="right" w:leader="dot" w:pos="8306"/>
        </w:tabs>
      </w:pPr>
      <w:hyperlink w:anchor="_Toc23175" w:history="1">
        <w:r>
          <w:rPr>
            <w:rFonts w:ascii="仿宋" w:eastAsia="仿宋" w:hAnsi="仿宋" w:cs="仿宋" w:hint="eastAsia"/>
            <w:lang w:eastAsia="zh-CN"/>
          </w:rPr>
          <w:t>(一)、总图布置</w:t>
        </w:r>
        <w:r>
          <w:tab/>
        </w:r>
        <w:r>
          <w:fldChar w:fldCharType="begin"/>
        </w:r>
        <w:r>
          <w:instrText xml:space="preserve"> PAGEREF _Toc23175 \h </w:instrText>
        </w:r>
        <w:r>
          <w:fldChar w:fldCharType="separate"/>
        </w:r>
        <w:r>
          <w:t>27</w:t>
        </w:r>
        <w:r>
          <w:fldChar w:fldCharType="end"/>
        </w:r>
      </w:hyperlink>
    </w:p>
    <w:p>
      <w:pPr>
        <w:pStyle w:val="TOC2"/>
        <w:tabs>
          <w:tab w:val="right" w:leader="dot" w:pos="8306"/>
        </w:tabs>
      </w:pPr>
      <w:hyperlink w:anchor="_Toc10252" w:history="1">
        <w:r>
          <w:rPr>
            <w:rFonts w:ascii="仿宋" w:eastAsia="仿宋" w:hAnsi="仿宋" w:cs="仿宋" w:hint="eastAsia"/>
            <w:lang w:eastAsia="zh-CN"/>
          </w:rPr>
          <w:t>(二)、建筑设计</w:t>
        </w:r>
        <w:r>
          <w:tab/>
        </w:r>
        <w:r>
          <w:fldChar w:fldCharType="begin"/>
        </w:r>
        <w:r>
          <w:instrText xml:space="preserve"> PAGEREF _Toc10252 \h </w:instrText>
        </w:r>
        <w:r>
          <w:fldChar w:fldCharType="separate"/>
        </w:r>
        <w:r>
          <w:t>28</w:t>
        </w:r>
        <w:r>
          <w:fldChar w:fldCharType="end"/>
        </w:r>
      </w:hyperlink>
    </w:p>
    <w:p>
      <w:pPr>
        <w:pStyle w:val="TOC2"/>
        <w:tabs>
          <w:tab w:val="right" w:leader="dot" w:pos="8306"/>
        </w:tabs>
      </w:pPr>
      <w:hyperlink w:anchor="_Toc11980" w:history="1">
        <w:r>
          <w:rPr>
            <w:rFonts w:ascii="仿宋" w:eastAsia="仿宋" w:hAnsi="仿宋" w:cs="仿宋" w:hint="eastAsia"/>
            <w:lang w:eastAsia="zh-CN"/>
          </w:rPr>
          <w:t>(三)、结构设计</w:t>
        </w:r>
        <w:r>
          <w:tab/>
        </w:r>
        <w:r>
          <w:fldChar w:fldCharType="begin"/>
        </w:r>
        <w:r>
          <w:instrText xml:space="preserve"> PAGEREF _Toc11980 \h </w:instrText>
        </w:r>
        <w:r>
          <w:fldChar w:fldCharType="separate"/>
        </w:r>
        <w:r>
          <w:t>30</w:t>
        </w:r>
        <w:r>
          <w:fldChar w:fldCharType="end"/>
        </w:r>
      </w:hyperlink>
    </w:p>
    <w:p>
      <w:pPr>
        <w:pStyle w:val="TOC2"/>
        <w:tabs>
          <w:tab w:val="right" w:leader="dot" w:pos="8306"/>
        </w:tabs>
      </w:pPr>
      <w:hyperlink w:anchor="_Toc15249" w:history="1">
        <w:r>
          <w:rPr>
            <w:rFonts w:ascii="仿宋" w:eastAsia="仿宋" w:hAnsi="仿宋" w:cs="仿宋" w:hint="eastAsia"/>
            <w:lang w:eastAsia="zh-CN"/>
          </w:rPr>
          <w:t>(四)、给排水设计</w:t>
        </w:r>
        <w:r>
          <w:tab/>
        </w:r>
        <w:r>
          <w:fldChar w:fldCharType="begin"/>
        </w:r>
        <w:r>
          <w:instrText xml:space="preserve"> PAGEREF _Toc15249 \h </w:instrText>
        </w:r>
        <w:r>
          <w:fldChar w:fldCharType="separate"/>
        </w:r>
        <w:r>
          <w:t>31</w:t>
        </w:r>
        <w:r>
          <w:fldChar w:fldCharType="end"/>
        </w:r>
      </w:hyperlink>
    </w:p>
    <w:p>
      <w:pPr>
        <w:pStyle w:val="TOC2"/>
        <w:tabs>
          <w:tab w:val="right" w:leader="dot" w:pos="8306"/>
        </w:tabs>
      </w:pPr>
      <w:hyperlink w:anchor="_Toc9577" w:history="1">
        <w:r>
          <w:rPr>
            <w:rFonts w:ascii="仿宋" w:eastAsia="仿宋" w:hAnsi="仿宋" w:cs="仿宋" w:hint="eastAsia"/>
            <w:lang w:eastAsia="zh-CN"/>
          </w:rPr>
          <w:t>(五)、电气设计</w:t>
        </w:r>
        <w:r>
          <w:tab/>
        </w:r>
        <w:r>
          <w:fldChar w:fldCharType="begin"/>
        </w:r>
        <w:r>
          <w:instrText xml:space="preserve"> PAGEREF _Toc9577 \h </w:instrText>
        </w:r>
        <w:r>
          <w:fldChar w:fldCharType="separate"/>
        </w:r>
        <w:r>
          <w:t>32</w:t>
        </w:r>
        <w:r>
          <w:fldChar w:fldCharType="end"/>
        </w:r>
      </w:hyperlink>
    </w:p>
    <w:p>
      <w:pPr>
        <w:pStyle w:val="TOC2"/>
        <w:tabs>
          <w:tab w:val="right" w:leader="dot" w:pos="8306"/>
        </w:tabs>
      </w:pPr>
      <w:hyperlink w:anchor="_Toc7643" w:history="1">
        <w:r>
          <w:rPr>
            <w:rFonts w:ascii="仿宋" w:eastAsia="仿宋" w:hAnsi="仿宋" w:cs="仿宋" w:hint="eastAsia"/>
            <w:lang w:eastAsia="zh-CN"/>
          </w:rPr>
          <w:t>(六)、空调通风设计</w:t>
        </w:r>
        <w:r>
          <w:tab/>
        </w:r>
        <w:r>
          <w:fldChar w:fldCharType="begin"/>
        </w:r>
        <w:r>
          <w:instrText xml:space="preserve"> PAGEREF _Toc7643 \h </w:instrText>
        </w:r>
        <w:r>
          <w:fldChar w:fldCharType="separate"/>
        </w:r>
        <w:r>
          <w:t>34</w:t>
        </w:r>
        <w:r>
          <w:fldChar w:fldCharType="end"/>
        </w:r>
      </w:hyperlink>
    </w:p>
    <w:p>
      <w:pPr>
        <w:pStyle w:val="TOC2"/>
        <w:tabs>
          <w:tab w:val="right" w:leader="dot" w:pos="8306"/>
        </w:tabs>
      </w:pPr>
      <w:hyperlink w:anchor="_Toc8003" w:history="1">
        <w:r>
          <w:rPr>
            <w:rFonts w:ascii="仿宋" w:eastAsia="仿宋" w:hAnsi="仿宋" w:cs="仿宋" w:hint="eastAsia"/>
            <w:lang w:eastAsia="zh-CN"/>
          </w:rPr>
          <w:t>(七)、其他专业设计</w:t>
        </w:r>
        <w:r>
          <w:tab/>
        </w:r>
        <w:r>
          <w:fldChar w:fldCharType="begin"/>
        </w:r>
        <w:r>
          <w:instrText xml:space="preserve"> PAGEREF _Toc8003 \h </w:instrText>
        </w:r>
        <w:r>
          <w:fldChar w:fldCharType="separate"/>
        </w:r>
        <w:r>
          <w:t>35</w:t>
        </w:r>
        <w:r>
          <w:fldChar w:fldCharType="end"/>
        </w:r>
      </w:hyperlink>
    </w:p>
    <w:p>
      <w:pPr>
        <w:pStyle w:val="TOC1"/>
        <w:tabs>
          <w:tab w:val="right" w:leader="dot" w:pos="8306"/>
        </w:tabs>
      </w:pPr>
      <w:hyperlink w:anchor="_Toc29889" w:history="1">
        <w:r>
          <w:rPr>
            <w:rFonts w:ascii="仿宋" w:eastAsia="仿宋" w:hAnsi="仿宋" w:cs="仿宋" w:hint="eastAsia"/>
            <w:lang w:eastAsia="zh-CN"/>
          </w:rPr>
          <w:t>九、人力资源管理和开发计划</w:t>
        </w:r>
        <w:r>
          <w:tab/>
        </w:r>
        <w:r>
          <w:fldChar w:fldCharType="begin"/>
        </w:r>
        <w:r>
          <w:instrText xml:space="preserve"> PAGEREF _Toc29889 \h </w:instrText>
        </w:r>
        <w:r>
          <w:fldChar w:fldCharType="separate"/>
        </w:r>
        <w:r>
          <w:t>37</w:t>
        </w:r>
        <w:r>
          <w:fldChar w:fldCharType="end"/>
        </w:r>
      </w:hyperlink>
    </w:p>
    <w:p>
      <w:pPr>
        <w:pStyle w:val="TOC2"/>
        <w:tabs>
          <w:tab w:val="right" w:leader="dot" w:pos="8306"/>
        </w:tabs>
      </w:pPr>
      <w:hyperlink w:anchor="_Toc22869" w:history="1">
        <w:r>
          <w:rPr>
            <w:rFonts w:ascii="仿宋" w:eastAsia="仿宋" w:hAnsi="仿宋" w:cs="仿宋" w:hint="eastAsia"/>
            <w:lang w:eastAsia="zh-CN"/>
          </w:rPr>
          <w:t>(一)、人力资源管理的目标和原则</w:t>
        </w:r>
        <w:r>
          <w:tab/>
        </w:r>
        <w:r>
          <w:fldChar w:fldCharType="begin"/>
        </w:r>
        <w:r>
          <w:instrText xml:space="preserve"> PAGEREF _Toc22869 \h </w:instrText>
        </w:r>
        <w:r>
          <w:fldChar w:fldCharType="separate"/>
        </w:r>
        <w:r>
          <w:t>37</w:t>
        </w:r>
        <w:r>
          <w:fldChar w:fldCharType="end"/>
        </w:r>
      </w:hyperlink>
    </w:p>
    <w:p>
      <w:pPr>
        <w:pStyle w:val="TOC2"/>
        <w:tabs>
          <w:tab w:val="right" w:leader="dot" w:pos="8306"/>
        </w:tabs>
      </w:pPr>
      <w:hyperlink w:anchor="_Toc26086" w:history="1">
        <w:r>
          <w:rPr>
            <w:rFonts w:ascii="仿宋" w:eastAsia="仿宋" w:hAnsi="仿宋" w:cs="仿宋" w:hint="eastAsia"/>
            <w:lang w:eastAsia="zh-CN"/>
          </w:rPr>
          <w:t>(二)、人力资源开发的方案和实施</w:t>
        </w:r>
        <w:r>
          <w:tab/>
        </w:r>
        <w:r>
          <w:fldChar w:fldCharType="begin"/>
        </w:r>
        <w:r>
          <w:instrText xml:space="preserve"> PAGEREF _Toc26086 \h </w:instrText>
        </w:r>
        <w:r>
          <w:fldChar w:fldCharType="separate"/>
        </w:r>
        <w:r>
          <w:t>39</w:t>
        </w:r>
        <w:r>
          <w:fldChar w:fldCharType="end"/>
        </w:r>
      </w:hyperlink>
    </w:p>
    <w:p>
      <w:pPr>
        <w:pStyle w:val="TOC2"/>
        <w:tabs>
          <w:tab w:val="right" w:leader="dot" w:pos="8306"/>
        </w:tabs>
      </w:pPr>
      <w:hyperlink w:anchor="_Toc5371" w:history="1">
        <w:r>
          <w:rPr>
            <w:rFonts w:ascii="仿宋" w:eastAsia="仿宋" w:hAnsi="仿宋" w:cs="仿宋" w:hint="eastAsia"/>
            <w:lang w:eastAsia="zh-CN"/>
          </w:rPr>
          <w:t>(三)、人力资源考核和激励机制的建立</w:t>
        </w:r>
        <w:r>
          <w:tab/>
        </w:r>
        <w:r>
          <w:fldChar w:fldCharType="begin"/>
        </w:r>
        <w:r>
          <w:instrText xml:space="preserve"> PAGEREF _Toc5371 \h </w:instrText>
        </w:r>
        <w:r>
          <w:fldChar w:fldCharType="separate"/>
        </w:r>
        <w:r>
          <w:t>40</w:t>
        </w:r>
        <w:r>
          <w:fldChar w:fldCharType="end"/>
        </w:r>
      </w:hyperlink>
    </w:p>
    <w:p>
      <w:pPr>
        <w:pStyle w:val="TOC1"/>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15955" w:history="1">
        <w:r>
          <w:rPr>
            <w:rFonts w:ascii="仿宋" w:eastAsia="仿宋" w:hAnsi="仿宋" w:cs="仿宋" w:hint="eastAsia"/>
            <w:lang w:eastAsia="zh-CN"/>
          </w:rPr>
          <w:t>十、团队协作和沟通管理</w:t>
        </w:r>
        <w:r>
          <w:tab/>
        </w:r>
        <w:r>
          <w:fldChar w:fldCharType="begin"/>
        </w:r>
        <w:r>
          <w:instrText xml:space="preserve"> PAGEREF _Toc15955 \h </w:instrText>
        </w:r>
        <w:r>
          <w:fldChar w:fldCharType="separate"/>
        </w:r>
        <w:r>
          <w:t>42</w:t>
        </w:r>
        <w:r>
          <w:fldChar w:fldCharType="end"/>
        </w:r>
      </w:hyperlink>
    </w:p>
    <w:p>
      <w:pPr>
        <w:pStyle w:val="TOC2"/>
        <w:tabs>
          <w:tab w:val="right" w:leader="dot" w:pos="8306"/>
        </w:tabs>
      </w:pPr>
      <w:hyperlink w:anchor="_Toc16310" w:history="1">
        <w:r>
          <w:rPr>
            <w:rFonts w:ascii="仿宋" w:eastAsia="仿宋" w:hAnsi="仿宋" w:cs="仿宋" w:hint="eastAsia"/>
            <w:lang w:eastAsia="zh-CN"/>
          </w:rPr>
          <w:t>(一)、核燃料元件及组件项目团队协作和合作方式</w:t>
        </w:r>
        <w:r>
          <w:tab/>
        </w:r>
        <w:r>
          <w:fldChar w:fldCharType="begin"/>
        </w:r>
        <w:r>
          <w:instrText xml:space="preserve"> PAGEREF _Toc16310 \h </w:instrText>
        </w:r>
        <w:r>
          <w:fldChar w:fldCharType="separate"/>
        </w:r>
        <w:r>
          <w:t>42</w:t>
        </w:r>
        <w:r>
          <w:fldChar w:fldCharType="end"/>
        </w:r>
      </w:hyperlink>
    </w:p>
    <w:p>
      <w:pPr>
        <w:pStyle w:val="TOC2"/>
        <w:tabs>
          <w:tab w:val="right" w:leader="dot" w:pos="8306"/>
        </w:tabs>
      </w:pPr>
      <w:hyperlink w:anchor="_Toc8119" w:history="1">
        <w:r>
          <w:rPr>
            <w:rFonts w:ascii="仿宋" w:eastAsia="仿宋" w:hAnsi="仿宋" w:cs="仿宋" w:hint="eastAsia"/>
            <w:lang w:eastAsia="zh-CN"/>
          </w:rPr>
          <w:t>(二)、沟通机制和信息共享方式</w:t>
        </w:r>
        <w:r>
          <w:tab/>
        </w:r>
        <w:r>
          <w:fldChar w:fldCharType="begin"/>
        </w:r>
        <w:r>
          <w:instrText xml:space="preserve"> PAGEREF _Toc8119 \h </w:instrText>
        </w:r>
        <w:r>
          <w:fldChar w:fldCharType="separate"/>
        </w:r>
        <w:r>
          <w:t>42</w:t>
        </w:r>
        <w:r>
          <w:fldChar w:fldCharType="end"/>
        </w:r>
      </w:hyperlink>
    </w:p>
    <w:p>
      <w:pPr>
        <w:pStyle w:val="TOC2"/>
        <w:tabs>
          <w:tab w:val="right" w:leader="dot" w:pos="8306"/>
        </w:tabs>
      </w:pPr>
      <w:hyperlink w:anchor="_Toc32228" w:history="1">
        <w:r>
          <w:rPr>
            <w:rFonts w:ascii="仿宋" w:eastAsia="仿宋" w:hAnsi="仿宋" w:cs="仿宋" w:hint="eastAsia"/>
            <w:lang w:eastAsia="zh-CN"/>
          </w:rPr>
          <w:t>(三)、团队建设和人员激励措施</w:t>
        </w:r>
        <w:r>
          <w:tab/>
        </w:r>
        <w:r>
          <w:fldChar w:fldCharType="begin"/>
        </w:r>
        <w:r>
          <w:instrText xml:space="preserve"> PAGEREF _Toc32228 \h </w:instrText>
        </w:r>
        <w:r>
          <w:fldChar w:fldCharType="separate"/>
        </w:r>
        <w:r>
          <w:t>43</w:t>
        </w:r>
        <w:r>
          <w:fldChar w:fldCharType="end"/>
        </w:r>
      </w:hyperlink>
    </w:p>
    <w:p>
      <w:pPr>
        <w:pStyle w:val="TOC1"/>
        <w:tabs>
          <w:tab w:val="right" w:leader="dot" w:pos="8306"/>
        </w:tabs>
      </w:pPr>
      <w:hyperlink w:anchor="_Toc10433" w:history="1">
        <w:r>
          <w:rPr>
            <w:rFonts w:ascii="仿宋" w:eastAsia="仿宋" w:hAnsi="仿宋" w:cs="仿宋" w:hint="eastAsia"/>
            <w:lang w:eastAsia="zh-CN"/>
          </w:rPr>
          <w:t>十一、安全生产评估报告书</w:t>
        </w:r>
        <w:r>
          <w:tab/>
        </w:r>
        <w:r>
          <w:fldChar w:fldCharType="begin"/>
        </w:r>
        <w:r>
          <w:instrText xml:space="preserve"> PAGEREF _Toc10433 \h </w:instrText>
        </w:r>
        <w:r>
          <w:fldChar w:fldCharType="separate"/>
        </w:r>
        <w:r>
          <w:t>45</w:t>
        </w:r>
        <w:r>
          <w:fldChar w:fldCharType="end"/>
        </w:r>
      </w:hyperlink>
    </w:p>
    <w:p>
      <w:pPr>
        <w:pStyle w:val="TOC2"/>
        <w:tabs>
          <w:tab w:val="right" w:leader="dot" w:pos="8306"/>
        </w:tabs>
      </w:pPr>
      <w:hyperlink w:anchor="_Toc22579" w:history="1">
        <w:r>
          <w:rPr>
            <w:rFonts w:ascii="仿宋" w:eastAsia="仿宋" w:hAnsi="仿宋" w:cs="仿宋" w:hint="eastAsia"/>
            <w:lang w:eastAsia="zh-CN"/>
          </w:rPr>
          <w:t>(一)、核燃料元件及组件项目安全生产评估的目的和依据</w:t>
        </w:r>
        <w:r>
          <w:tab/>
        </w:r>
        <w:r>
          <w:fldChar w:fldCharType="begin"/>
        </w:r>
        <w:r>
          <w:instrText xml:space="preserve"> PAGEREF _Toc22579 \h </w:instrText>
        </w:r>
        <w:r>
          <w:fldChar w:fldCharType="separate"/>
        </w:r>
        <w:r>
          <w:t>45</w:t>
        </w:r>
        <w:r>
          <w:fldChar w:fldCharType="end"/>
        </w:r>
      </w:hyperlink>
    </w:p>
    <w:p>
      <w:pPr>
        <w:pStyle w:val="TOC2"/>
        <w:tabs>
          <w:tab w:val="right" w:leader="dot" w:pos="8306"/>
        </w:tabs>
      </w:pPr>
      <w:hyperlink w:anchor="_Toc31024" w:history="1">
        <w:r>
          <w:rPr>
            <w:rFonts w:ascii="仿宋" w:eastAsia="仿宋" w:hAnsi="仿宋" w:cs="仿宋" w:hint="eastAsia"/>
            <w:lang w:eastAsia="zh-CN"/>
          </w:rPr>
          <w:t>(二)、核燃料元件及组件项目安全生产条件和现状评估</w:t>
        </w:r>
        <w:r>
          <w:tab/>
        </w:r>
        <w:r>
          <w:fldChar w:fldCharType="begin"/>
        </w:r>
        <w:r>
          <w:instrText xml:space="preserve"> PAGEREF _Toc31024 \h </w:instrText>
        </w:r>
        <w:r>
          <w:fldChar w:fldCharType="separate"/>
        </w:r>
        <w:r>
          <w:t>46</w:t>
        </w:r>
        <w:r>
          <w:fldChar w:fldCharType="end"/>
        </w:r>
      </w:hyperlink>
    </w:p>
    <w:p>
      <w:pPr>
        <w:pStyle w:val="TOC2"/>
        <w:tabs>
          <w:tab w:val="right" w:leader="dot" w:pos="8306"/>
        </w:tabs>
      </w:pPr>
      <w:hyperlink w:anchor="_Toc2539" w:history="1">
        <w:r>
          <w:rPr>
            <w:rFonts w:ascii="仿宋" w:eastAsia="仿宋" w:hAnsi="仿宋" w:cs="仿宋" w:hint="eastAsia"/>
            <w:lang w:eastAsia="zh-CN"/>
          </w:rPr>
          <w:t>(三)、安全生产风险评估和预测</w:t>
        </w:r>
        <w:r>
          <w:tab/>
        </w:r>
        <w:r>
          <w:fldChar w:fldCharType="begin"/>
        </w:r>
        <w:r>
          <w:instrText xml:space="preserve"> PAGEREF _Toc2539 \h </w:instrText>
        </w:r>
        <w:r>
          <w:fldChar w:fldCharType="separate"/>
        </w:r>
        <w:r>
          <w:t>47</w:t>
        </w:r>
        <w:r>
          <w:fldChar w:fldCharType="end"/>
        </w:r>
      </w:hyperlink>
    </w:p>
    <w:p>
      <w:pPr>
        <w:pStyle w:val="TOC2"/>
        <w:tabs>
          <w:tab w:val="right" w:leader="dot" w:pos="8306"/>
        </w:tabs>
      </w:pPr>
      <w:hyperlink w:anchor="_Toc14228" w:history="1">
        <w:r>
          <w:rPr>
            <w:rFonts w:ascii="仿宋" w:eastAsia="仿宋" w:hAnsi="仿宋" w:cs="仿宋" w:hint="eastAsia"/>
            <w:lang w:eastAsia="zh-CN"/>
          </w:rPr>
          <w:t>(四)、安全生产对策措施和实施方案</w:t>
        </w:r>
        <w:r>
          <w:tab/>
        </w:r>
        <w:r>
          <w:fldChar w:fldCharType="begin"/>
        </w:r>
        <w:r>
          <w:instrText xml:space="preserve"> PAGEREF _Toc14228 \h </w:instrText>
        </w:r>
        <w:r>
          <w:fldChar w:fldCharType="separate"/>
        </w:r>
        <w:r>
          <w:t>49</w:t>
        </w:r>
        <w:r>
          <w:fldChar w:fldCharType="end"/>
        </w:r>
      </w:hyperlink>
    </w:p>
    <w:p>
      <w:pPr>
        <w:pStyle w:val="TOC1"/>
        <w:tabs>
          <w:tab w:val="right" w:leader="dot" w:pos="8306"/>
        </w:tabs>
      </w:pPr>
      <w:hyperlink w:anchor="_Toc7740" w:history="1">
        <w:r>
          <w:rPr>
            <w:rFonts w:ascii="仿宋" w:eastAsia="仿宋" w:hAnsi="仿宋" w:cs="仿宋" w:hint="eastAsia"/>
            <w:lang w:eastAsia="zh-CN"/>
          </w:rPr>
          <w:t>十二、总结和结论</w:t>
        </w:r>
        <w:r>
          <w:tab/>
        </w:r>
        <w:r>
          <w:fldChar w:fldCharType="begin"/>
        </w:r>
        <w:r>
          <w:instrText xml:space="preserve"> PAGEREF _Toc7740 \h </w:instrText>
        </w:r>
        <w:r>
          <w:fldChar w:fldCharType="separate"/>
        </w:r>
        <w:r>
          <w:t>50</w:t>
        </w:r>
        <w:r>
          <w:fldChar w:fldCharType="end"/>
        </w:r>
      </w:hyperlink>
    </w:p>
    <w:p>
      <w:pPr>
        <w:pStyle w:val="TOC2"/>
        <w:tabs>
          <w:tab w:val="right" w:leader="dot" w:pos="8306"/>
        </w:tabs>
      </w:pPr>
      <w:hyperlink w:anchor="_Toc11725" w:history="1">
        <w:r>
          <w:rPr>
            <w:rFonts w:ascii="仿宋" w:eastAsia="仿宋" w:hAnsi="仿宋" w:cs="仿宋" w:hint="eastAsia"/>
            <w:lang w:eastAsia="zh-CN"/>
          </w:rPr>
          <w:t>(一)、核燃料元件及组件项目可行性研究的总结和评价</w:t>
        </w:r>
        <w:r>
          <w:tab/>
        </w:r>
        <w:r>
          <w:fldChar w:fldCharType="begin"/>
        </w:r>
        <w:r>
          <w:instrText xml:space="preserve"> PAGEREF _Toc11725 \h </w:instrText>
        </w:r>
        <w:r>
          <w:fldChar w:fldCharType="separate"/>
        </w:r>
        <w:r>
          <w:t>50</w:t>
        </w:r>
        <w:r>
          <w:fldChar w:fldCharType="end"/>
        </w:r>
      </w:hyperlink>
    </w:p>
    <w:p>
      <w:pPr>
        <w:pStyle w:val="TOC2"/>
        <w:tabs>
          <w:tab w:val="right" w:leader="dot" w:pos="8306"/>
        </w:tabs>
      </w:pPr>
      <w:hyperlink w:anchor="_Toc15660" w:history="1">
        <w:r>
          <w:rPr>
            <w:rFonts w:ascii="仿宋" w:eastAsia="仿宋" w:hAnsi="仿宋" w:cs="仿宋" w:hint="eastAsia"/>
            <w:lang w:eastAsia="zh-CN"/>
          </w:rPr>
          <w:t>(二)、建议和展望未来发展</w:t>
        </w:r>
        <w:r>
          <w:tab/>
        </w:r>
        <w:r>
          <w:fldChar w:fldCharType="begin"/>
        </w:r>
        <w:r>
          <w:instrText xml:space="preserve"> PAGEREF _Toc15660 \h </w:instrText>
        </w:r>
        <w:r>
          <w:fldChar w:fldCharType="separate"/>
        </w:r>
        <w:r>
          <w:t>51</w:t>
        </w:r>
        <w:r>
          <w:fldChar w:fldCharType="end"/>
        </w:r>
      </w:hyperlink>
    </w:p>
    <w:p>
      <w:pPr>
        <w:pStyle w:val="TOC2"/>
        <w:tabs>
          <w:tab w:val="right" w:leader="dot" w:pos="8306"/>
        </w:tabs>
      </w:pPr>
      <w:hyperlink w:anchor="_Toc31436" w:history="1">
        <w:r>
          <w:rPr>
            <w:rFonts w:ascii="仿宋" w:eastAsia="仿宋" w:hAnsi="仿宋" w:cs="仿宋" w:hint="eastAsia"/>
            <w:lang w:eastAsia="zh-CN"/>
          </w:rPr>
          <w:t>(三)、与相关方面的沟通和进一步合作</w:t>
        </w:r>
        <w:r>
          <w:tab/>
        </w:r>
        <w:r>
          <w:fldChar w:fldCharType="begin"/>
        </w:r>
        <w:r>
          <w:instrText xml:space="preserve"> PAGEREF _Toc31436 \h </w:instrText>
        </w:r>
        <w:r>
          <w:fldChar w:fldCharType="separate"/>
        </w:r>
        <w:r>
          <w:t>52</w:t>
        </w:r>
        <w:r>
          <w:fldChar w:fldCharType="end"/>
        </w:r>
      </w:hyperlink>
    </w:p>
    <w:p>
      <w:pPr>
        <w:pStyle w:val="TOC1"/>
        <w:tabs>
          <w:tab w:val="right" w:leader="dot" w:pos="8306"/>
        </w:tabs>
      </w:pPr>
      <w:hyperlink w:anchor="_Toc19683" w:history="1">
        <w:r>
          <w:rPr>
            <w:rFonts w:ascii="仿宋" w:eastAsia="仿宋" w:hAnsi="仿宋" w:cs="仿宋" w:hint="eastAsia"/>
            <w:lang w:eastAsia="zh-CN"/>
          </w:rPr>
          <w:t>十三、环境影响评价和环保措施</w:t>
        </w:r>
        <w:r>
          <w:tab/>
        </w:r>
        <w:r>
          <w:fldChar w:fldCharType="begin"/>
        </w:r>
        <w:r>
          <w:instrText xml:space="preserve"> PAGEREF _Toc19683 \h </w:instrText>
        </w:r>
        <w:r>
          <w:fldChar w:fldCharType="separate"/>
        </w:r>
        <w:r>
          <w:t>53</w:t>
        </w:r>
        <w:r>
          <w:fldChar w:fldCharType="end"/>
        </w:r>
      </w:hyperlink>
    </w:p>
    <w:p>
      <w:pPr>
        <w:pStyle w:val="TOC2"/>
        <w:tabs>
          <w:tab w:val="right" w:leader="dot" w:pos="8306"/>
        </w:tabs>
      </w:pPr>
      <w:hyperlink w:anchor="_Toc2857" w:history="1">
        <w:r>
          <w:rPr>
            <w:rFonts w:ascii="仿宋" w:eastAsia="仿宋" w:hAnsi="仿宋" w:cs="仿宋" w:hint="eastAsia"/>
            <w:lang w:eastAsia="zh-CN"/>
          </w:rPr>
          <w:t>(一)、环境影响评价的程序和方法</w:t>
        </w:r>
        <w:r>
          <w:tab/>
        </w:r>
        <w:r>
          <w:fldChar w:fldCharType="begin"/>
        </w:r>
        <w:r>
          <w:instrText xml:space="preserve"> PAGEREF _Toc2857 \h </w:instrText>
        </w:r>
        <w:r>
          <w:fldChar w:fldCharType="separate"/>
        </w:r>
        <w:r>
          <w:t>53</w:t>
        </w:r>
        <w:r>
          <w:fldChar w:fldCharType="end"/>
        </w:r>
      </w:hyperlink>
    </w:p>
    <w:p>
      <w:pPr>
        <w:pStyle w:val="TOC2"/>
        <w:tabs>
          <w:tab w:val="right" w:leader="dot" w:pos="8306"/>
        </w:tabs>
      </w:pPr>
      <w:hyperlink w:anchor="_Toc29283" w:history="1">
        <w:r>
          <w:rPr>
            <w:rFonts w:ascii="仿宋" w:eastAsia="仿宋" w:hAnsi="仿宋" w:cs="仿宋" w:hint="eastAsia"/>
            <w:lang w:eastAsia="zh-CN"/>
          </w:rPr>
          <w:t>(二)、环保措施的制定和实施</w:t>
        </w:r>
        <w:r>
          <w:tab/>
        </w:r>
        <w:r>
          <w:fldChar w:fldCharType="begin"/>
        </w:r>
        <w:r>
          <w:instrText xml:space="preserve"> PAGEREF _Toc29283 \h </w:instrText>
        </w:r>
        <w:r>
          <w:fldChar w:fldCharType="separate"/>
        </w:r>
        <w:r>
          <w:t>55</w:t>
        </w:r>
        <w:r>
          <w:fldChar w:fldCharType="end"/>
        </w:r>
      </w:hyperlink>
    </w:p>
    <w:p>
      <w:pPr>
        <w:pStyle w:val="TOC2"/>
        <w:tabs>
          <w:tab w:val="right" w:leader="dot" w:pos="8306"/>
        </w:tabs>
      </w:pPr>
      <w:hyperlink w:anchor="_Toc22402" w:history="1">
        <w:r>
          <w:rPr>
            <w:rFonts w:ascii="仿宋" w:eastAsia="仿宋" w:hAnsi="仿宋" w:cs="仿宋" w:hint="eastAsia"/>
            <w:lang w:eastAsia="zh-CN"/>
          </w:rPr>
          <w:t>(三)、环境监测和管理机制的建立</w:t>
        </w:r>
        <w:r>
          <w:tab/>
        </w:r>
        <w:r>
          <w:fldChar w:fldCharType="begin"/>
        </w:r>
        <w:r>
          <w:instrText xml:space="preserve"> PAGEREF _Toc22402 \h </w:instrText>
        </w:r>
        <w:r>
          <w:fldChar w:fldCharType="separate"/>
        </w:r>
        <w:r>
          <w:t>56</w:t>
        </w:r>
        <w:r>
          <w:fldChar w:fldCharType="end"/>
        </w:r>
      </w:hyperlink>
    </w:p>
    <w:p>
      <w:pPr>
        <w:pStyle w:val="TOC1"/>
        <w:tabs>
          <w:tab w:val="right" w:leader="dot" w:pos="8306"/>
        </w:tabs>
      </w:pPr>
      <w:hyperlink w:anchor="_Toc5358" w:history="1">
        <w:r>
          <w:rPr>
            <w:rFonts w:ascii="仿宋" w:eastAsia="仿宋" w:hAnsi="仿宋" w:cs="仿宋" w:hint="eastAsia"/>
            <w:lang w:eastAsia="zh-CN"/>
          </w:rPr>
          <w:t>十四、技术创新和研发能力</w:t>
        </w:r>
        <w:r>
          <w:tab/>
        </w:r>
        <w:r>
          <w:fldChar w:fldCharType="begin"/>
        </w:r>
        <w:r>
          <w:instrText xml:space="preserve"> PAGEREF _Toc5358 \h </w:instrText>
        </w:r>
        <w:r>
          <w:fldChar w:fldCharType="separate"/>
        </w:r>
        <w:r>
          <w:t>58</w:t>
        </w:r>
        <w:r>
          <w:fldChar w:fldCharType="end"/>
        </w:r>
      </w:hyperlink>
    </w:p>
    <w:p>
      <w:pPr>
        <w:pStyle w:val="TOC2"/>
        <w:tabs>
          <w:tab w:val="right" w:leader="dot" w:pos="8306"/>
        </w:tabs>
      </w:pPr>
      <w:hyperlink w:anchor="_Toc7876" w:history="1">
        <w:r>
          <w:rPr>
            <w:rFonts w:ascii="仿宋" w:eastAsia="仿宋" w:hAnsi="仿宋" w:cs="仿宋" w:hint="eastAsia"/>
            <w:lang w:eastAsia="zh-CN"/>
          </w:rPr>
          <w:t>(一)、核燃料元件及组件项目采用的技术创新点和优势</w:t>
        </w:r>
        <w:r>
          <w:tab/>
        </w:r>
        <w:r>
          <w:fldChar w:fldCharType="begin"/>
        </w:r>
        <w:r>
          <w:instrText xml:space="preserve"> PAGEREF _Toc7876 \h </w:instrText>
        </w:r>
        <w:r>
          <w:fldChar w:fldCharType="separate"/>
        </w:r>
        <w:r>
          <w:t>58</w:t>
        </w:r>
        <w:r>
          <w:fldChar w:fldCharType="end"/>
        </w:r>
      </w:hyperlink>
    </w:p>
    <w:p>
      <w:pPr>
        <w:pStyle w:val="TOC2"/>
        <w:tabs>
          <w:tab w:val="right" w:leader="dot" w:pos="8306"/>
        </w:tabs>
      </w:pPr>
      <w:hyperlink w:anchor="_Toc24996" w:history="1">
        <w:r>
          <w:rPr>
            <w:rFonts w:ascii="仿宋" w:eastAsia="仿宋" w:hAnsi="仿宋" w:cs="仿宋" w:hint="eastAsia"/>
            <w:lang w:eastAsia="zh-CN"/>
          </w:rPr>
          <w:t>(二)、技术研发能力和技术转化能力评估</w:t>
        </w:r>
        <w:r>
          <w:tab/>
        </w:r>
        <w:r>
          <w:fldChar w:fldCharType="begin"/>
        </w:r>
        <w:r>
          <w:instrText xml:space="preserve"> PAGEREF _Toc24996 \h </w:instrText>
        </w:r>
        <w:r>
          <w:fldChar w:fldCharType="separate"/>
        </w:r>
        <w:r>
          <w:t>59</w:t>
        </w:r>
        <w:r>
          <w:fldChar w:fldCharType="end"/>
        </w:r>
      </w:hyperlink>
    </w:p>
    <w:p>
      <w:pPr>
        <w:pStyle w:val="TOC2"/>
        <w:tabs>
          <w:tab w:val="right" w:leader="dot" w:pos="8306"/>
        </w:tabs>
      </w:pPr>
      <w:hyperlink w:anchor="_Toc17356" w:history="1">
        <w:r>
          <w:rPr>
            <w:rFonts w:ascii="仿宋" w:eastAsia="仿宋" w:hAnsi="仿宋" w:cs="仿宋" w:hint="eastAsia"/>
            <w:lang w:eastAsia="zh-CN"/>
          </w:rPr>
          <w:t>(三)、技术创新与市场需求的结合方式</w:t>
        </w:r>
        <w:r>
          <w:tab/>
        </w:r>
        <w:r>
          <w:fldChar w:fldCharType="begin"/>
        </w:r>
        <w:r>
          <w:instrText xml:space="preserve"> PAGEREF _Toc17356 \h </w:instrText>
        </w:r>
        <w:r>
          <w:fldChar w:fldCharType="separate"/>
        </w:r>
        <w:r>
          <w:t>61</w:t>
        </w:r>
        <w:r>
          <w:fldChar w:fldCharType="end"/>
        </w:r>
      </w:hyperlink>
    </w:p>
    <w:p>
      <w:pPr>
        <w:pStyle w:val="TOC1"/>
        <w:tabs>
          <w:tab w:val="right" w:leader="dot" w:pos="8306"/>
        </w:tabs>
      </w:pPr>
      <w:hyperlink w:anchor="_Toc31018" w:history="1">
        <w:r>
          <w:rPr>
            <w:rFonts w:ascii="仿宋" w:eastAsia="仿宋" w:hAnsi="仿宋" w:cs="仿宋" w:hint="eastAsia"/>
            <w:lang w:eastAsia="zh-CN"/>
          </w:rPr>
          <w:t>十五、企业形象和品牌传播</w:t>
        </w:r>
        <w:r>
          <w:tab/>
        </w:r>
        <w:r>
          <w:fldChar w:fldCharType="begin"/>
        </w:r>
        <w:r>
          <w:instrText xml:space="preserve"> PAGEREF _Toc31018 \h </w:instrText>
        </w:r>
        <w:r>
          <w:fldChar w:fldCharType="separate"/>
        </w:r>
        <w:r>
          <w:t>62</w:t>
        </w:r>
        <w:r>
          <w:fldChar w:fldCharType="end"/>
        </w:r>
      </w:hyperlink>
    </w:p>
    <w:p>
      <w:pPr>
        <w:pStyle w:val="TOC2"/>
        <w:tabs>
          <w:tab w:val="right" w:leader="dot" w:pos="8306"/>
        </w:tabs>
      </w:pPr>
      <w:hyperlink w:anchor="_Toc28931" w:history="1">
        <w:r>
          <w:rPr>
            <w:rFonts w:ascii="仿宋" w:eastAsia="仿宋" w:hAnsi="仿宋" w:cs="仿宋" w:hint="eastAsia"/>
            <w:lang w:eastAsia="zh-CN"/>
          </w:rPr>
          <w:t>(一)、企业形象的策划和设计</w:t>
        </w:r>
        <w:r>
          <w:tab/>
        </w:r>
        <w:r>
          <w:fldChar w:fldCharType="begin"/>
        </w:r>
        <w:r>
          <w:instrText xml:space="preserve"> PAGEREF _Toc28931 \h </w:instrText>
        </w:r>
        <w:r>
          <w:fldChar w:fldCharType="separate"/>
        </w:r>
        <w:r>
          <w:t>62</w:t>
        </w:r>
        <w:r>
          <w:fldChar w:fldCharType="end"/>
        </w:r>
      </w:hyperlink>
    </w:p>
    <w:p>
      <w:pPr>
        <w:pStyle w:val="TOC2"/>
        <w:tabs>
          <w:tab w:val="right" w:leader="dot" w:pos="8306"/>
        </w:tabs>
      </w:pPr>
      <w:hyperlink w:anchor="_Toc32589" w:history="1">
        <w:r>
          <w:rPr>
            <w:rFonts w:ascii="仿宋" w:eastAsia="仿宋" w:hAnsi="仿宋" w:cs="仿宋" w:hint="eastAsia"/>
            <w:lang w:eastAsia="zh-CN"/>
          </w:rPr>
          <w:t>(二)、品牌传播的策略和渠道</w:t>
        </w:r>
        <w:r>
          <w:tab/>
        </w:r>
        <w:r>
          <w:fldChar w:fldCharType="begin"/>
        </w:r>
        <w:r>
          <w:instrText xml:space="preserve"> PAGEREF _Toc32589 \h </w:instrText>
        </w:r>
        <w:r>
          <w:fldChar w:fldCharType="separate"/>
        </w:r>
        <w:r>
          <w:t>63</w:t>
        </w:r>
        <w:r>
          <w:fldChar w:fldCharType="end"/>
        </w:r>
      </w:hyperlink>
    </w:p>
    <w:p>
      <w:pPr>
        <w:pStyle w:val="TOC2"/>
        <w:tabs>
          <w:tab w:val="right" w:leader="dot" w:pos="8306"/>
        </w:tabs>
      </w:pPr>
      <w:hyperlink w:anchor="_Toc31201" w:history="1">
        <w:r>
          <w:rPr>
            <w:rFonts w:ascii="仿宋" w:eastAsia="仿宋" w:hAnsi="仿宋" w:cs="仿宋" w:hint="eastAsia"/>
            <w:lang w:eastAsia="zh-CN"/>
          </w:rPr>
          <w:t>(三)、品牌传播效果的评估和反馈</w:t>
        </w:r>
        <w:r>
          <w:tab/>
        </w:r>
        <w:r>
          <w:fldChar w:fldCharType="begin"/>
        </w:r>
        <w:r>
          <w:instrText xml:space="preserve"> PAGEREF _Toc31201 \h </w:instrText>
        </w:r>
        <w:r>
          <w:fldChar w:fldCharType="separate"/>
        </w:r>
        <w:r>
          <w:t>64</w:t>
        </w:r>
        <w:r>
          <w:fldChar w:fldCharType="end"/>
        </w:r>
      </w:hyperlink>
    </w:p>
    <w:p>
      <w:pPr>
        <w:pStyle w:val="TOC1"/>
        <w:tabs>
          <w:tab w:val="right" w:leader="dot" w:pos="8306"/>
        </w:tabs>
      </w:pPr>
      <w:hyperlink w:anchor="_Toc17666" w:history="1">
        <w:r>
          <w:rPr>
            <w:rFonts w:ascii="仿宋" w:eastAsia="仿宋" w:hAnsi="仿宋" w:cs="仿宋" w:hint="eastAsia"/>
            <w:lang w:eastAsia="zh-CN"/>
          </w:rPr>
          <w:t>十六、技术创新和研发成果转化</w:t>
        </w:r>
        <w:r>
          <w:tab/>
        </w:r>
        <w:r>
          <w:fldChar w:fldCharType="begin"/>
        </w:r>
        <w:r>
          <w:instrText xml:space="preserve"> PAGEREF _Toc17666 \h </w:instrText>
        </w:r>
        <w:r>
          <w:fldChar w:fldCharType="separate"/>
        </w:r>
        <w:r>
          <w:t>66</w:t>
        </w:r>
        <w:r>
          <w:fldChar w:fldCharType="end"/>
        </w:r>
      </w:hyperlink>
    </w:p>
    <w:p>
      <w:pPr>
        <w:pStyle w:val="TOC2"/>
        <w:tabs>
          <w:tab w:val="right" w:leader="dot" w:pos="8306"/>
        </w:tabs>
      </w:pPr>
      <w:hyperlink w:anchor="_Toc29048" w:history="1">
        <w:r>
          <w:rPr>
            <w:rFonts w:ascii="仿宋" w:eastAsia="仿宋" w:hAnsi="仿宋" w:cs="仿宋" w:hint="eastAsia"/>
            <w:lang w:eastAsia="zh-CN"/>
          </w:rPr>
          <w:t>(一)、技术创新的目标和途径</w:t>
        </w:r>
        <w:r>
          <w:tab/>
        </w:r>
        <w:r>
          <w:fldChar w:fldCharType="begin"/>
        </w:r>
        <w:r>
          <w:instrText xml:space="preserve"> PAGEREF _Toc29048 \h </w:instrText>
        </w:r>
        <w:r>
          <w:fldChar w:fldCharType="separate"/>
        </w:r>
        <w:r>
          <w:t>66</w:t>
        </w:r>
        <w:r>
          <w:fldChar w:fldCharType="end"/>
        </w:r>
      </w:hyperlink>
    </w:p>
    <w:p>
      <w:pPr>
        <w:pStyle w:val="TOC2"/>
        <w:tabs>
          <w:tab w:val="right" w:leader="dot" w:pos="8306"/>
        </w:tabs>
      </w:pPr>
      <w:hyperlink w:anchor="_Toc18232" w:history="1">
        <w:r>
          <w:rPr>
            <w:rFonts w:ascii="仿宋" w:eastAsia="仿宋" w:hAnsi="仿宋" w:cs="仿宋" w:hint="eastAsia"/>
            <w:lang w:eastAsia="zh-CN"/>
          </w:rPr>
          <w:t>(二)、研发成果转化的流程和机制</w:t>
        </w:r>
        <w:r>
          <w:tab/>
        </w:r>
        <w:r>
          <w:fldChar w:fldCharType="begin"/>
        </w:r>
        <w:r>
          <w:instrText xml:space="preserve"> PAGEREF _Toc18232 \h </w:instrText>
        </w:r>
        <w:r>
          <w:fldChar w:fldCharType="separate"/>
        </w:r>
        <w:r>
          <w:t>67</w:t>
        </w:r>
        <w:r>
          <w:fldChar w:fldCharType="end"/>
        </w:r>
      </w:hyperlink>
    </w:p>
    <w:p>
      <w:pPr>
        <w:pStyle w:val="TOC2"/>
        <w:tabs>
          <w:tab w:val="right" w:leader="dot" w:pos="8306"/>
        </w:tabs>
      </w:pPr>
      <w:hyperlink w:anchor="_Toc26237" w:history="1">
        <w:r>
          <w:rPr>
            <w:rFonts w:ascii="仿宋" w:eastAsia="仿宋" w:hAnsi="仿宋" w:cs="仿宋" w:hint="eastAsia"/>
            <w:lang w:eastAsia="zh-CN"/>
          </w:rPr>
          <w:t>(三)、技术创新和研发成果转化的风险控制</w:t>
        </w:r>
        <w:r>
          <w:tab/>
        </w:r>
        <w:r>
          <w:fldChar w:fldCharType="begin"/>
        </w:r>
        <w:r>
          <w:instrText xml:space="preserve"> PAGEREF _Toc26237 \h </w:instrText>
        </w:r>
        <w:r>
          <w:fldChar w:fldCharType="separate"/>
        </w:r>
        <w:r>
          <w:t>69</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评估并确定一个潜在项目或决策的可行性。这份报告代表了一项系统性的研究工作，目的是为决策者提供有关特定方案的详尽信息，以帮助他们做出明智的决策。在现今日新月异的商业环境中，组织和个人都面临着一系列重要的决策。这些决策可能涉及新产品的推出、市场扩张、投资项目、技术采用，或是政策变革等等。无论决策的性质如何，都需要在投入大量资源之前进行仔细的评估，以确保可行性、可持续性和最佳效益。可行性研究是一种广泛采用的方法，它通过系统性的分析和评估，为决策者提供了关键信息，以便他们能够明智地分析潜在的风险和机会。本报告的目的是为您介绍这种方法，并详细探讨我们所研究的特定问题。本报告仅供学习交流不可做为商业用途</w:t>
      </w:r>
    </w:p>
    <w:p>
      <w:pPr>
        <w:pStyle w:val="Heading1"/>
        <w:ind w:firstLine="560" w:firstLineChars="200"/>
        <w:rPr>
          <w:rFonts w:ascii="仿宋" w:eastAsia="仿宋" w:hAnsi="仿宋" w:cs="仿宋" w:hint="eastAsia"/>
          <w:sz w:val="28"/>
          <w:lang w:eastAsia="zh-CN"/>
        </w:rPr>
      </w:pPr>
      <w:bookmarkStart w:id="2" w:name="_Toc9988"/>
      <w:r>
        <w:rPr>
          <w:rFonts w:ascii="仿宋" w:eastAsia="仿宋" w:hAnsi="仿宋" w:cs="仿宋" w:hint="eastAsia"/>
          <w:sz w:val="28"/>
          <w:lang w:eastAsia="zh-CN"/>
        </w:rPr>
        <w:t>一、灵活性和可持续性平衡</w:t>
      </w:r>
      <w:bookmarkEnd w:id="2"/>
    </w:p>
    <w:p>
      <w:pPr>
        <w:pStyle w:val="Heading2"/>
        <w:rPr>
          <w:rFonts w:ascii="仿宋" w:eastAsia="仿宋" w:hAnsi="仿宋" w:cs="仿宋" w:hint="eastAsia"/>
          <w:lang w:eastAsia="zh-CN"/>
        </w:rPr>
      </w:pPr>
      <w:bookmarkStart w:id="3" w:name="_Toc31685"/>
      <w:r>
        <w:rPr>
          <w:rFonts w:ascii="仿宋" w:eastAsia="仿宋" w:hAnsi="仿宋" w:cs="仿宋" w:hint="eastAsia"/>
          <w:lang w:eastAsia="zh-CN"/>
        </w:rPr>
        <w:t>(一)、灵活生产与资源效率的平衡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灵活生产的优势：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灵活生产能够快速适应市场需求的变化，提供个性化和定制化的产品和服务。通过灵活生产，企业可以更好地满足客户的需求，提高市场竞争力和顾客满意度。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资源效率的重要性：</w:t>
      </w:r>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资源效率是企业可持续发展的关键要素之一。通过优化资源的利用和管理，企业可以降低成本、提高生产效率，并减少对有限资源的依赖。资源效率的提高对于企业的长期发展和环境可持续性至关重要。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平衡灵活生产与资源效率：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在可行性研究中，需要平衡灵活生产和资源效率，以实现最佳的生产效果和经济效益。这可以通过合理规划生产流程、优化资源配置、引入先进的生产技术和管理方法等手段实现。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在平衡灵活生产与资源效率方面发挥着重要作用。通过引入先进的生产技术和智能化系统，可以实现生产过程的灵活性和资源的高效利用。例如，使用物联网技术和智能传感器可以实现实时监测和调整生产流程，以提高生产效率和资源利用率。</w:t>
      </w:r>
    </w:p>
    <w:p>
      <w:pPr>
        <w:pStyle w:val="Heading2"/>
        <w:ind w:firstLine="560" w:firstLineChars="200"/>
        <w:rPr>
          <w:rFonts w:ascii="仿宋" w:eastAsia="仿宋" w:hAnsi="仿宋" w:cs="仿宋" w:hint="eastAsia"/>
          <w:sz w:val="28"/>
          <w:lang w:eastAsia="zh-CN"/>
        </w:rPr>
      </w:pPr>
      <w:bookmarkStart w:id="4" w:name="_Toc3744"/>
      <w:r>
        <w:rPr>
          <w:rFonts w:ascii="仿宋" w:eastAsia="仿宋" w:hAnsi="仿宋" w:cs="仿宋" w:hint="eastAsia"/>
          <w:sz w:val="28"/>
          <w:lang w:eastAsia="zh-CN"/>
        </w:rPr>
        <w:t>(二)、可持续生产和市场变化的平衡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可持续生产的重要性：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生产是企业在面对日益严峻的环境和社会挑战时的应对策略之一。通过采用环保技术、优化资源利用、减少废物和污染物的排放等措施，企业可以降低对环境的负面影响，提高社会声誉，并满足消费者对可持续产品和服务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市场变化的影响：</w:t>
      </w:r>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市场变化是不可避免的，包括市场需求的变化、竞争格局的演变以及法规政策的调整等。企业需要及时了解市场变化，并灵活调整生产策略和产品组合，以适应市场需求的变化，保持竞争力和市场份额。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平衡可持续生产与市场变化：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在可行性研究中，需要平衡可持续生产和市场变化，以实现可持续发展和市场竞争力的双重目标。这可以通过建立灵活的生产系统和供应链，加强市场调研和预测，以及持续改进和创新的方式实现。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创新和合作的重要性：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合作是平衡可持续生产和市场变化的关键因素。通过持续的创新，企业可以开发出符合市场需求和可持续发展原则的新产品和服务。同时，与供应商、合作伙伴和利益相关者的合作也能够共同应对市场变化和推动可持续生产的实施。</w:t>
      </w:r>
    </w:p>
    <w:p>
      <w:pPr>
        <w:pStyle w:val="Heading2"/>
        <w:ind w:firstLine="560" w:firstLineChars="200"/>
        <w:rPr>
          <w:rFonts w:ascii="仿宋" w:eastAsia="仿宋" w:hAnsi="仿宋" w:cs="仿宋" w:hint="eastAsia"/>
          <w:sz w:val="28"/>
          <w:lang w:eastAsia="zh-CN"/>
        </w:rPr>
      </w:pPr>
      <w:bookmarkStart w:id="5" w:name="_Toc14184"/>
      <w:r>
        <w:rPr>
          <w:rFonts w:ascii="仿宋" w:eastAsia="仿宋" w:hAnsi="仿宋" w:cs="仿宋" w:hint="eastAsia"/>
          <w:sz w:val="28"/>
          <w:lang w:eastAsia="zh-CN"/>
        </w:rPr>
        <w:t>(三)、灵活可行性策略的实施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弹性核燃料元件及组件项目规划：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灵活可行性策略时，核燃料元件及组件项目规划需要具备一定的弹性。这意味着核燃料元件及组件项目计划和里程碑应该灵活可调整，以适应变化的需求和风险。弹性核燃料元件及组件项目规划需要考虑到不确定性因素，并制定备选方案和应急计划，以应对可能出现的风险和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敏捷开发方法：</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敏捷开发方法是一种灵活的核燃料元件及组件项目管理方法，适用于快速变化的环境和需求。通过采用敏捷开发方法，核燃料元件及组件项目团队可以更快地响应变化，进行迭代开发和持续交付，以确保核燃料元件及组件项目的灵活性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灵活可行性策略需要有效的风险管理和评估机制。核燃料元件及组件项目团队应该识别和评估潜在的风险，并制定相应的应对措施。定期的风险评估和监控可以帮助核燃料元件及组件项目团队及时应对风险，并确保核燃料元件及组件项目的可行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灵活可行性策略的过程中，持续学习和改进是至关重要的。核燃料元件及组件项目团队应该保持开放的心态，接受反馈和经验教训，并及时调整核燃料元件及组件项目策略和实施计划。通过持续学习和改进，核燃料元件及组件项目团队可以提高核燃料元件及组件项目的灵活性和可行性。</w:t>
      </w:r>
    </w:p>
    <w:p>
      <w:pPr>
        <w:pStyle w:val="Heading1"/>
        <w:ind w:firstLine="560" w:firstLineChars="200"/>
        <w:rPr>
          <w:rFonts w:ascii="仿宋" w:eastAsia="仿宋" w:hAnsi="仿宋" w:cs="仿宋" w:hint="eastAsia"/>
          <w:sz w:val="28"/>
          <w:lang w:eastAsia="zh-CN"/>
        </w:rPr>
      </w:pPr>
      <w:bookmarkStart w:id="6" w:name="_Toc6905"/>
      <w:r>
        <w:rPr>
          <w:rFonts w:ascii="仿宋" w:eastAsia="仿宋" w:hAnsi="仿宋" w:cs="仿宋" w:hint="eastAsia"/>
          <w:sz w:val="28"/>
          <w:lang w:eastAsia="zh-CN"/>
        </w:rPr>
        <w:t>二、核燃料元件及组件项目主要建(构)筑物建设工程</w:t>
      </w:r>
      <w:bookmarkEnd w:id="6"/>
    </w:p>
    <w:p>
      <w:pPr>
        <w:pStyle w:val="Heading2"/>
        <w:rPr>
          <w:rFonts w:ascii="仿宋" w:eastAsia="仿宋" w:hAnsi="仿宋" w:cs="仿宋" w:hint="eastAsia"/>
          <w:lang w:eastAsia="zh-CN"/>
        </w:rPr>
      </w:pPr>
      <w:bookmarkStart w:id="7" w:name="_Toc4283"/>
      <w:r>
        <w:rPr>
          <w:rFonts w:ascii="仿宋" w:eastAsia="仿宋" w:hAnsi="仿宋" w:cs="仿宋" w:hint="eastAsia"/>
          <w:lang w:eastAsia="zh-CN"/>
        </w:rPr>
        <w:t>(一)、抗震设防</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考虑到核燃料元件及组件项目的稳定性和安全性，我们深入研究了选址地区的地震情况。经过综合分析，我们得知该地区的基本地震烈度大致为XXX度，这是一个重要的参考指标。</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燃料元件及组件项目在地震等自然灾害面前能够保持稳固，我们紧密遵循了现行的《建筑抗震设计规范》（GBJ11-89）的规定。根据当地地震烈度情况和核燃料元件及组件项目特性，我们决定执行X度的抗震设防标准，这是一个综合考虑了安全和稳定性的决策。我们将充分融入地方实际，以确保核燃料元件及组件项目在地震风险环境下能够安全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抗震设防标准的制定是为了应对地震风险，保障核燃料元件及组件项目在各种自然灾害中的可持续性。通过遵循最新的规范和合理的设计，我们将确保核燃料元件及组件项目的稳定性和安全性，为投资方和利益相关者提供信心。</w:t>
      </w:r>
    </w:p>
    <w:p>
      <w:pPr>
        <w:pStyle w:val="Heading2"/>
        <w:ind w:firstLine="560" w:firstLineChars="200"/>
        <w:rPr>
          <w:rFonts w:ascii="仿宋" w:eastAsia="仿宋" w:hAnsi="仿宋" w:cs="仿宋" w:hint="eastAsia"/>
          <w:sz w:val="28"/>
          <w:lang w:eastAsia="zh-CN"/>
        </w:rPr>
      </w:pPr>
      <w:bookmarkStart w:id="8" w:name="_Toc24451"/>
      <w:r>
        <w:rPr>
          <w:rFonts w:ascii="仿宋" w:eastAsia="仿宋" w:hAnsi="仿宋" w:cs="仿宋" w:hint="eastAsia"/>
          <w:sz w:val="28"/>
          <w:lang w:eastAsia="zh-CN"/>
        </w:rPr>
        <w:t>(二)、建筑结构形势及基础方案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主要厂房的设计在满足工艺使用要求和防火、通风、采光要求的前提下，力求做到布置紧凑、节省用地。车间立面造型简洁明快，体现现代化企业的建筑特色。屋面防水、保温尽可能采用质量较高、性能可靠的新型建筑材料。核燃料元件及组件项目中主要生产车间及仓库均为钢结构，而建筑则为砖混结构。考虑到建设地处于地震带分布区域，因此在工程设计中将加强建筑物抗震结构措施，以增强建筑物的抗震能力。</w:t>
      </w:r>
    </w:p>
    <w:p>
      <w:pPr>
        <w:pStyle w:val="Heading2"/>
        <w:ind w:firstLine="560" w:firstLineChars="200"/>
        <w:rPr>
          <w:rFonts w:ascii="仿宋" w:eastAsia="仿宋" w:hAnsi="仿宋" w:cs="仿宋" w:hint="eastAsia"/>
          <w:sz w:val="28"/>
          <w:lang w:eastAsia="zh-CN"/>
        </w:rPr>
      </w:pPr>
      <w:bookmarkStart w:id="9" w:name="_Toc28335"/>
      <w:r>
        <w:rPr>
          <w:rFonts w:ascii="仿宋" w:eastAsia="仿宋" w:hAnsi="仿宋" w:cs="仿宋" w:hint="eastAsia"/>
          <w:sz w:val="28"/>
          <w:lang w:eastAsia="zh-CN"/>
        </w:rPr>
        <w:t>(三)、主要建(构)筑物建设工程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的土建工程涵盖了广泛的领域，分为六个主要部分，各具重要性：生产工程、辅助生产工程、公用工程、总图工程、服务性工程（包括办公及生活设施）以及其他工程。这些部分的有机结合，构筑了一个完整的核燃料元件及组件项目框架。</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工程作为核燃料元件及组件项目的核心，将提供关键的生产流程和设备布局。辅助生产工程则为主要生产流程提供了必要的支持和补充。公用工程则在背后默默地支持着整个核燃料元件及组件项目的运行，确保了各项功能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总图工程将确保整个核燃料元件及组件项目的布局和规划在空间上得到有效的整合。服务性工程包含了办公和生活等方面的需求，为员工创造了一个舒适、便利的环境，有助于提高工作效率。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规模上，这些土建工程的总量达到XXXX平方米，预计的投资额为XXXX万元。这些工程将通过精心的设计和高质量的施工，为核燃料元件及组件项目的顺利推进和长远发展提供坚实的基础。我们的目标是确保这些工程在未来的生产和运营中发挥出最大的效益，促进核燃料元件及组件项目的成功实施。</w:t>
      </w:r>
    </w:p>
    <w:p>
      <w:pPr>
        <w:pStyle w:val="Heading1"/>
        <w:ind w:firstLine="560" w:firstLineChars="200"/>
        <w:rPr>
          <w:rFonts w:ascii="仿宋" w:eastAsia="仿宋" w:hAnsi="仿宋" w:cs="仿宋" w:hint="eastAsia"/>
          <w:sz w:val="28"/>
          <w:lang w:eastAsia="zh-CN"/>
        </w:rPr>
      </w:pPr>
      <w:bookmarkStart w:id="10" w:name="_Toc27541"/>
      <w:r>
        <w:rPr>
          <w:rFonts w:ascii="仿宋" w:eastAsia="仿宋" w:hAnsi="仿宋" w:cs="仿宋" w:hint="eastAsia"/>
          <w:sz w:val="28"/>
          <w:lang w:eastAsia="zh-CN"/>
        </w:rPr>
        <w:t>三、融资方案和资金使用计划</w:t>
      </w:r>
      <w:bookmarkEnd w:id="10"/>
    </w:p>
    <w:p>
      <w:pPr>
        <w:pStyle w:val="Heading2"/>
        <w:rPr>
          <w:rFonts w:ascii="仿宋" w:eastAsia="仿宋" w:hAnsi="仿宋" w:cs="仿宋" w:hint="eastAsia"/>
          <w:lang w:eastAsia="zh-CN"/>
        </w:rPr>
      </w:pPr>
      <w:bookmarkStart w:id="11" w:name="_Toc24281"/>
      <w:r>
        <w:rPr>
          <w:rFonts w:ascii="仿宋" w:eastAsia="仿宋" w:hAnsi="仿宋" w:cs="仿宋" w:hint="eastAsia"/>
          <w:lang w:eastAsia="zh-CN"/>
        </w:rPr>
        <w:t>(一)、核燃料元件及组件项目融资方式和资金来源选择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融资方式选择：根据核燃料元件及组件项目的规模、发展阶段和资金需求，选择适合的融资方式。融资方式可以包括股权融资、债权融资、风险投资、众筹等。通过评估各种融资方式的优势和风险，选择最适合核燃料元件及组件项目的融资方式，以确保核燃料元件及组件项目能够顺利进行并实现预期目标。</w:t>
      </w:r>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来源选择：确定核燃料元件及组件项目的资金来源，包括内部资金和外部资金。内部资金可以来自创始团队的个人投资或公司内部的利润积累，外部资金可以来自银行贷款、风险投资、合作伙伴投资等。通过评估各种资金来源的可行性和可靠性，选择最适合核燃料元件及组件项目的资金来源，以满足核燃料元件及组件项目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和回报预期：评估核燃料元件及组件项目的风险和回报预期，以确定融资方式和资金来源的可行性。风险评估可以包括市场风险、技术风险、竞争风险等方面的内容，回报预期可以包括投资回报率、股东权益增值等方面的内容。通过综合考虑风险和回报预期，选择能够平衡风险和回报的融资方式和资金来源，以确保核燃料元件及组件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计划和资金管理：制定核燃料元件及组件项目的融资计划和资金管理方案，确保融资资金的合理运用和有效管理。融资计划可以包括资金筹集的时间表、融资金额的分配和使用等方面的内容，资金管理方案可以包括资金流动管理、预算控制、风险管理等方面的内容。通过有效的融资计划和资金管理，可以确保核燃料元件及组件项目的资金使用效率和风险控制，提高核燃料元件及组件项目的可行性和成功实施。</w:t>
      </w:r>
    </w:p>
    <w:p>
      <w:pPr>
        <w:pStyle w:val="Heading2"/>
        <w:ind w:firstLine="560" w:firstLineChars="200"/>
        <w:rPr>
          <w:rFonts w:ascii="仿宋" w:eastAsia="仿宋" w:hAnsi="仿宋" w:cs="仿宋" w:hint="eastAsia"/>
          <w:sz w:val="28"/>
          <w:lang w:eastAsia="zh-CN"/>
        </w:rPr>
      </w:pPr>
      <w:bookmarkStart w:id="12" w:name="_Toc19352"/>
      <w:r>
        <w:rPr>
          <w:rFonts w:ascii="仿宋" w:eastAsia="仿宋" w:hAnsi="仿宋" w:cs="仿宋" w:hint="eastAsia"/>
          <w:sz w:val="28"/>
          <w:lang w:eastAsia="zh-CN"/>
        </w:rPr>
        <w:t>(二)、资金使用计划和管理措施</w:t>
      </w:r>
      <w:bookmarkEnd w:id="12"/>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使用计划：制定详细的资金使用计划，明确资金的分配和使用情况。资金使用计划应包括各项费用的预算、资金使用的时间表、资金流动的路径等。通过合理规划资金使用计划，可以确保资金的有效利用，避免浪费和滥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预算控制：建立预算控制机制，监控和控制资金的支出。预算控制可以包括设定预算限额、制定审批流程、建立预算执行监督机构等。通过严格的预算控制，可以确保资金使用在合理范围内，避免超支和资金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管理：建立有效的资金流动管理措施，确保资金的流动和使用符合核燃料元件及组件项目的需要。资金流动管理可以包括资金调度、资金结算、资金监控等方面的内容。通过合理的资金流动管理，可以确保核燃料元件及组件项目各项活动的顺利进行，避免资金短缺和资金流动不畅。</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制定风险管理措施，评估和控制资金使用过程中的风险。风险管理可以包括制定风险评估方法、建立风险预警机制、制定风险应对策略等。通过有效的风险管理，可以及时发现和应对资金使用过程中的风险，保障核燃料元件及组件项目的财务稳定性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报告和审计：建立完善的财务报告和审计制度，确保资金使用的透明度和合规性。财务报告可以包括资金使用情况的记录和汇总，审计可以包括内部审计和外部审计等。通过财务报告和审计，可以监督和评估资金使用的合规性和效果，提高核燃料元件及组件项目的财务管理水平和透明度。</w:t>
      </w:r>
    </w:p>
    <w:p>
      <w:pPr>
        <w:pStyle w:val="Heading2"/>
        <w:ind w:firstLine="560" w:firstLineChars="200"/>
        <w:rPr>
          <w:rFonts w:ascii="仿宋" w:eastAsia="仿宋" w:hAnsi="仿宋" w:cs="仿宋" w:hint="eastAsia"/>
          <w:sz w:val="28"/>
          <w:lang w:eastAsia="zh-CN"/>
        </w:rPr>
      </w:pPr>
      <w:bookmarkStart w:id="13" w:name="_Toc25700"/>
      <w:r>
        <w:rPr>
          <w:rFonts w:ascii="仿宋" w:eastAsia="仿宋" w:hAnsi="仿宋" w:cs="仿宋" w:hint="eastAsia"/>
          <w:sz w:val="28"/>
          <w:lang w:eastAsia="zh-CN"/>
        </w:rPr>
        <w:t>(三)、财务风险预警和应对方案</w:t>
      </w:r>
      <w:bookmarkEnd w:id="13"/>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风险预警方面，我们需要对核燃料元件及组件项目的财务情况进行全面的分析和评估，包括收入、支出、投资、借贷、资产负债等方面的情况。通过建立财务指标体系，对这些指标进行监测和跟踪，及时发现和预警潜在的风险，并采取相应的措施加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方案方面，我们需要制定具体的措施和计划，以应对可能出现的财务风险。具体措施包括加强资金管理、优化财务结构、控制成本、提高收入等方面。同时，我们还需要建立应急预案，以应对突发事件对核燃料元件及组件项目造成的财务影响。</w:t>
      </w:r>
    </w:p>
    <w:p>
      <w:pPr>
        <w:pStyle w:val="Heading1"/>
        <w:ind w:firstLine="560" w:firstLineChars="200"/>
        <w:rPr>
          <w:rFonts w:ascii="仿宋" w:eastAsia="仿宋" w:hAnsi="仿宋" w:cs="仿宋" w:hint="eastAsia"/>
          <w:sz w:val="28"/>
          <w:lang w:eastAsia="zh-CN"/>
        </w:rPr>
      </w:pPr>
      <w:bookmarkStart w:id="14" w:name="_Toc9430"/>
      <w:r>
        <w:rPr>
          <w:rFonts w:ascii="仿宋" w:eastAsia="仿宋" w:hAnsi="仿宋" w:cs="仿宋" w:hint="eastAsia"/>
          <w:sz w:val="28"/>
          <w:lang w:eastAsia="zh-CN"/>
        </w:rPr>
        <w:t>四、核燃料元件及组件行业社会文化影响评估</w:t>
      </w:r>
      <w:bookmarkEnd w:id="14"/>
    </w:p>
    <w:p>
      <w:pPr>
        <w:pStyle w:val="Heading2"/>
        <w:rPr>
          <w:rFonts w:ascii="仿宋" w:eastAsia="仿宋" w:hAnsi="仿宋" w:cs="仿宋" w:hint="eastAsia"/>
          <w:lang w:eastAsia="zh-CN"/>
        </w:rPr>
      </w:pPr>
      <w:bookmarkStart w:id="15" w:name="_Toc2865"/>
      <w:r>
        <w:rPr>
          <w:rFonts w:ascii="仿宋" w:eastAsia="仿宋" w:hAnsi="仿宋" w:cs="仿宋" w:hint="eastAsia"/>
          <w:lang w:eastAsia="zh-CN"/>
        </w:rPr>
        <w:t>(一)、核燃料元件及组件在文化和艺术中的地位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创造力的拓展：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为艺术家和创作者提供了新的工具和媒介，可以拓展他们的创造力和表达方式。通过核燃料元件及组件，艺术家可以探索新的艺术形式、交互式作品和沉浸式体验，从而为观众带来全新的视听感受。</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艺术作品的互动性：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的技术特性使得观众可以积极参与艺术作品的创作和演示过程。例如，虚拟现实和增强现实技术可以创造出与观众互动的艺术装置和展览，使观众成为艺术作品的一部分，提升了艺术体验的参与度和个性化。</w:t>
      </w:r>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艺术品的数字化保存和传播：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技术可以用于数字化保存和传播艺术品，为文化遗产的保护和传承提供了新的途径。通过数字化技术，艺术品可以以高保真度的形式被保存下来，并通过互联网和虚拟展览等方式向全球观众展示，促进了艺术的跨地域传播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艺术与科技的融合：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在文化和艺术中的应用推动了艺术与科技的融合。艺术家和科技专家可以共同合作，创造出结合艺术和科技元素的作品，探索人类与技术的关系，挑战传统艺术形式的边界，以及探索新的艺术语言和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文化创意产业的发展：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为文化创意产业的发展提供了新的机遇。通过将核燃料元件及组件技术与文化创意产业相结合，可以创造出具有艺术价值和商业潜力的产品和服务。这有助于推动文化创意产业的创新和增长，并为经济发展带来积极的影响。</w:t>
      </w:r>
    </w:p>
    <w:p>
      <w:pPr>
        <w:pStyle w:val="Heading2"/>
        <w:ind w:firstLine="560" w:firstLineChars="200"/>
        <w:rPr>
          <w:rFonts w:ascii="仿宋" w:eastAsia="仿宋" w:hAnsi="仿宋" w:cs="仿宋" w:hint="eastAsia"/>
          <w:sz w:val="28"/>
          <w:lang w:eastAsia="zh-CN"/>
        </w:rPr>
      </w:pPr>
      <w:bookmarkStart w:id="16" w:name="_Toc18551"/>
      <w:r>
        <w:rPr>
          <w:rFonts w:ascii="仿宋" w:eastAsia="仿宋" w:hAnsi="仿宋" w:cs="仿宋" w:hint="eastAsia"/>
          <w:sz w:val="28"/>
          <w:lang w:eastAsia="zh-CN"/>
        </w:rPr>
        <w:t>(二)、文化趋势对核燃料元件及组件需求的影响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数字化生活方式的普及：</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数字化技术的普及，人们的生活方式发生了巨大变化。人们越来越依赖于数字设备和互联网来获取信息、进行交流和娱乐。这种数字化生活方式对核燃料元件及组件的需求产生了影响，人们对于更好的用户体验、个性化定制和互动性的期望也在增加。</w:t>
      </w:r>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多元化和个性化的文化表达：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当今社会，多元化和个性化的文化表达方式得到了广泛关注。人们对于独特、个性化的艺术和文化体验的需求不断增加。核燃料元件及组件技术能够提供创新的艺术形式和个性化的文化产品，满足人们对于多样化文化表达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参与性文化的兴起：</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性文化是指观众和用户参与到文化和艺术创作中的趋势。人们不再满足于被动地接受文化产品，而是希望积极参与其中，成为创作者或共同创造者。核燃料元件及组件技术的互动性和参与性特点与参与性文化的需求相契合，为人们提供了更具参与性的文化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可持续发展和环保意识的崛起：</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环保意识是当今社会的重要议题。人们对于环境保护和可持续性的关注不断增加，对于环保型的技术和产品的需求也在上升。在核燃料元件及组件的应用中，注重环境友好性和可持续性的设计和开发将受到更多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跨文化交流和文化融合：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全球化和跨文化交流的加强促进了不同文化之间的交流和融合。人们对于了解和体验其他文化的需求增加，对于能够促进跨文化交流的技术和产品的需求也在上升。核燃料元件及组件技术可以通过虚拟现实、语言翻译等功能，促进跨文化交流和文化融合。</w:t>
      </w:r>
    </w:p>
    <w:p>
      <w:pPr>
        <w:pStyle w:val="Heading2"/>
        <w:ind w:firstLine="560" w:firstLineChars="200"/>
        <w:rPr>
          <w:rFonts w:ascii="仿宋" w:eastAsia="仿宋" w:hAnsi="仿宋" w:cs="仿宋" w:hint="eastAsia"/>
          <w:sz w:val="28"/>
          <w:lang w:eastAsia="zh-CN"/>
        </w:rPr>
      </w:pPr>
      <w:bookmarkStart w:id="17" w:name="_Toc18769"/>
      <w:r>
        <w:rPr>
          <w:rFonts w:ascii="仿宋" w:eastAsia="仿宋" w:hAnsi="仿宋" w:cs="仿宋" w:hint="eastAsia"/>
          <w:sz w:val="28"/>
          <w:lang w:eastAsia="zh-CN"/>
        </w:rPr>
        <w:t>(三)、社会文化因素的可行性分析</w:t>
      </w:r>
      <w:bookmarkEnd w:id="17"/>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社会价值观念的影响：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观念是指社会对于道德、伦理和文化价值的认知和评价。社会价值观念对技术的需求和应用提出了要求。例如，在艺术和文化领域，社会价值观念对于艺术品的审美标准、文化传承和保护等方面产生影响。在核燃料元件及组件技术的应用中，需要考虑社会价值观念对于技术应用的影响，确保技术的应用符合社会的伦理和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文化传统和文化政策的影响：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传统和文化政策对于文化和艺术的发展和创新具有重要意义。在核燃料元件及组件技术的应用中，需要考虑文化传统和文化政策对于技术应用的影响，确保技术的应用符合文化传统和文化政策的要求。例如，在文化遗产保护和传承方面，需要考虑文化传统的保护和传承，同时结合核燃料元件及组件技术的应用，推动文化遗产的数字化保存和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社会需求和市场趋势的分析：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需求和市场趋势是评估技术可行性的重要因素。在核燃料元件及组件技术的应用中，需要考虑社会需求和市场趋势的变化，以及技术应用的市场前景和商业模式。通过对市场需求和趋势的分析，可以确定技术应用的商业模式和市场定位，提高核燃料元件及组件项目的商业价值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文化多样性和文化交流的促进：</w:t>
      </w:r>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多样性和文化交流是当今社会的重要趋势。在核燃料元件及组件技术的应用中，需要考虑如何促进文化多样性和文化交流，创造出具有跨文化特色和价值的文化和艺术产品。通过结合文化多样性和文化交流的特点，可以推动文化和艺术的创新和发展，提高核燃料元件及组件项目的社会价值和文化影响力。</w:t>
      </w:r>
    </w:p>
    <w:p>
      <w:pPr>
        <w:pStyle w:val="Heading1"/>
        <w:ind w:firstLine="560" w:firstLineChars="200"/>
        <w:rPr>
          <w:rFonts w:ascii="仿宋" w:eastAsia="仿宋" w:hAnsi="仿宋" w:cs="仿宋" w:hint="eastAsia"/>
          <w:sz w:val="28"/>
          <w:lang w:eastAsia="zh-CN"/>
        </w:rPr>
      </w:pPr>
      <w:bookmarkStart w:id="18" w:name="_Toc16303"/>
      <w:r>
        <w:rPr>
          <w:rFonts w:ascii="仿宋" w:eastAsia="仿宋" w:hAnsi="仿宋" w:cs="仿宋" w:hint="eastAsia"/>
          <w:sz w:val="28"/>
          <w:lang w:eastAsia="zh-CN"/>
        </w:rPr>
        <w:t>五、技术可行性分析</w:t>
      </w:r>
      <w:bookmarkEnd w:id="18"/>
    </w:p>
    <w:p>
      <w:pPr>
        <w:pStyle w:val="Heading2"/>
        <w:rPr>
          <w:rFonts w:ascii="仿宋" w:eastAsia="仿宋" w:hAnsi="仿宋" w:cs="仿宋" w:hint="eastAsia"/>
          <w:lang w:eastAsia="zh-CN"/>
        </w:rPr>
      </w:pPr>
      <w:bookmarkStart w:id="19" w:name="_Toc18691"/>
      <w:r>
        <w:rPr>
          <w:rFonts w:ascii="仿宋" w:eastAsia="仿宋" w:hAnsi="仿宋" w:cs="仿宋" w:hint="eastAsia"/>
          <w:lang w:eastAsia="zh-CN"/>
        </w:rPr>
        <w:t>(一)、技术来源及先进性说明</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核燃料元件及组件项目技术来源：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介绍核燃料元件及组件项目所采用的关键技术来源。可以包括已有的成熟技术、学术研究成果、专利技术或合作伙伴的技术支持等。说明技术来源的可靠性和可获得性，以确保核燃料元件及组件项目的技术基础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分析核燃料元件及组件项目所采用的技术在行业或领域中的先进性。评估技术的创新程度、独特性和与现有解决方案的差异。强调核燃料元件及组件项目所采用技术的优势和潜在影响。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对所采用的技术进行可行性评估，包括技术的可靠性、可操作性和适应性。评估技术在核燃料元件及组件项目实施中的可行性和可持续性，以确保核燃料元件及组件项目能够成功应用所选技术。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技术发展趋势：</w:t>
      </w:r>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分析所采用技术的发展趋势和前景。关注相关行业或领域的技术创新和趋势，以确保核燃料元件及组件项目所采用的技术具有长期的可持续性和竞争优势。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识别和评估所采用技术可能面临的风险和挑战。分析技术的可靠性、成本效益、知识产权等方面的风险，并提出相应的风险管理策略。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技术合作与创新：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探讨与其他组织或机构的技术合作和创新机会。强调合作伙伴的技术支持和资源共享，以提升核燃料元件及组件项目的技术能力和创新能力。</w:t>
      </w:r>
    </w:p>
    <w:p>
      <w:pPr>
        <w:pStyle w:val="Heading2"/>
        <w:ind w:firstLine="560" w:firstLineChars="200"/>
        <w:rPr>
          <w:rFonts w:ascii="仿宋" w:eastAsia="仿宋" w:hAnsi="仿宋" w:cs="仿宋" w:hint="eastAsia"/>
          <w:sz w:val="28"/>
          <w:lang w:eastAsia="zh-CN"/>
        </w:rPr>
      </w:pPr>
      <w:bookmarkStart w:id="20" w:name="_Toc8754"/>
      <w:r>
        <w:rPr>
          <w:rFonts w:ascii="仿宋" w:eastAsia="仿宋" w:hAnsi="仿宋" w:cs="仿宋" w:hint="eastAsia"/>
          <w:sz w:val="28"/>
          <w:lang w:eastAsia="zh-CN"/>
        </w:rPr>
        <w:t>(二)、核燃料元件及组件项目的技术难点及解决方案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核燃料元件及组件项目技术难点的识别：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详细列举核燃料元件及组件项目所面临的关键技术难点。这些难点可能包括复杂的数据处理、高性能计算需求、安全性和隐私保护等方面。对每个技术难点进行准确定义和分析，确保对问题的全面理解。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解决方案的提出：</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针对每个技术难点，提出相应的解决方案。解决方案可以包括但不限于以下几个方面：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技术改进：提出改进现有技术或引入新技术的方案，以解决技术难点。例如，采用先进的算法或模型来处理复杂的数据，或使用高性能计算平台来满足计算需求。</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合作与合作伙伴：寻找合适的合作伙伴或专家来共同解决技术难点。合作可以提供额外的技术支持和资源，加快问题的解决速度。例如，与研究机构或技术公司合作，共同攻克技术挑战。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培训与人才发展：通过培训和人才发展来提升团队的技术能力，以应对技术难点。培训可以包括技术知识的更新和专业技能的提升，确保团队具备解决问题所需的技术能力。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风险管理：针对技术难点可能带来的风险，制定相应的风险管理策略。例如，建立备份和灾难恢复机制来应对数据丢失风险，或加强安全措施来保护数据和系统的安全性。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解决方案的可行性评估：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对提出的解决方案进行可行性评估，包括技术可行性、成本效益、实施难度等方面的评估。确保解决方案在技术和实施上可行，并能够有效解决技术难点。</w:t>
      </w:r>
    </w:p>
    <w:p>
      <w:pPr>
        <w:pStyle w:val="Heading2"/>
        <w:ind w:firstLine="560" w:firstLineChars="200"/>
        <w:rPr>
          <w:rFonts w:ascii="仿宋" w:eastAsia="仿宋" w:hAnsi="仿宋" w:cs="仿宋" w:hint="eastAsia"/>
          <w:sz w:val="28"/>
          <w:lang w:eastAsia="zh-CN"/>
        </w:rPr>
      </w:pPr>
      <w:bookmarkStart w:id="21" w:name="_Toc18385"/>
      <w:r>
        <w:rPr>
          <w:rFonts w:ascii="仿宋" w:eastAsia="仿宋" w:hAnsi="仿宋" w:cs="仿宋" w:hint="eastAsia"/>
          <w:sz w:val="28"/>
          <w:lang w:eastAsia="zh-CN"/>
        </w:rPr>
        <w:t>(三)、技术人才需求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技术人才需求的确定：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核燃料元件及组件项目所需的技术人才类型和数量。根据核燃料元件及组件项目的技术要求和目标，确定需要的技能和专业背景。例如，核燃料元件及组件项目可能需要具备数据分析、软件开发、人工智能、网络安全等方面的技术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技术人才市场分析：</w:t>
      </w:r>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进行技术人才市场的分析，评估相关技术领域的供需情况。了解技术人才的供给量和质量，以及市场竞争情况。分析人才市场的趋势和发展，预测未来技术人才的供需状况。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技术人才招聘策略：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提出招聘技术人才的策略和方法。包括招聘渠道的选择、招聘流程的设计、面试和评估的方法等。根据核燃料元件及组件项目需求和市场情况，制定吸引和留住优秀技术人才的策略。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技术人才培养和发展的需求。考虑培训计划、学习资源和职业发展机会等方面，为核燃料元件及组件项目中的技术人才提供成长和发展的机会。建议与教育机构、培训机构或行业组织合作，共同培养和发展技术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团队组建和管理：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提供团队组建和管理的建议。包括团队结构的设计、角色分工、沟通协作机制等方面。强调团队的多样性和协作能力，以提升团队的综合技术能力和创新能力。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提出人才留存和激励的策略。考虑薪酬福利、职业发展、工作环境和文化等方面，为技术人才提供良好的工作条件和发展机会。建议制定激励机制，激发技术人才的积极性和创造力。</w:t>
      </w:r>
    </w:p>
    <w:p>
      <w:pPr>
        <w:pStyle w:val="Heading1"/>
        <w:ind w:firstLine="560" w:firstLineChars="200"/>
        <w:rPr>
          <w:rFonts w:ascii="仿宋" w:eastAsia="仿宋" w:hAnsi="仿宋" w:cs="仿宋" w:hint="eastAsia"/>
          <w:sz w:val="28"/>
          <w:lang w:eastAsia="zh-CN"/>
        </w:rPr>
      </w:pPr>
      <w:bookmarkStart w:id="22" w:name="_Toc20835"/>
      <w:r>
        <w:rPr>
          <w:rFonts w:ascii="仿宋" w:eastAsia="仿宋" w:hAnsi="仿宋" w:cs="仿宋" w:hint="eastAsia"/>
          <w:sz w:val="28"/>
          <w:lang w:eastAsia="zh-CN"/>
        </w:rPr>
        <w:t>六、跨行业合作与创新</w:t>
      </w:r>
      <w:bookmarkEnd w:id="22"/>
    </w:p>
    <w:p>
      <w:pPr>
        <w:pStyle w:val="Heading2"/>
        <w:rPr>
          <w:rFonts w:ascii="仿宋" w:eastAsia="仿宋" w:hAnsi="仿宋" w:cs="仿宋" w:hint="eastAsia"/>
          <w:lang w:eastAsia="zh-CN"/>
        </w:rPr>
      </w:pPr>
      <w:bookmarkStart w:id="23" w:name="_Toc23438"/>
      <w:r>
        <w:rPr>
          <w:rFonts w:ascii="仿宋" w:eastAsia="仿宋" w:hAnsi="仿宋" w:cs="仿宋" w:hint="eastAsia"/>
          <w:lang w:eastAsia="zh-CN"/>
        </w:rPr>
        <w:t>(一)、与其他行业合作的潜力</w:t>
      </w:r>
      <w:bookmarkEnd w:id="23"/>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互补资源和技术：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行业合作可以实现资源和技术的互补。不同行业拥有不同的专业知识、技术和资源，通过合作可以共享这些资源，实现优势互补。例如，技术行业与制造行业的合作可以将先进的技术应用于制造过程，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共同创新和研发：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行业合作可以促进共同创新和研发。不同行业的专业知识和经验可以相互借鉴，激发创新思维，推动新产品和服务的开发。通过合作，可以集聚各方的智慧和创造力，加速创新过程，提高研发效率和成果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市场拓展和渠道扩展：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行业合作可以帮助拓展市场和扩展销售渠道。合作伙伴可能拥有不同的客户群体和市场渠道，通过合作可以进入新的市场领域，扩大产品或服务的覆盖范围。这种合作可以带来更广阔的市场机会和增加销售额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行业间的协同效应：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行业间的合作可以带来协同效应。通过合作，不同行业的企业可以共同解决行业面临的挑战和问题，共享最佳实践和经验，提高整体效能。这种协同效应可以促进行业的发展和创新，提升整个产业链的竞争力。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跨界融合和创造新的商业模式：</w:t>
      </w:r>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行业合作可以促成跨界融合，创造新的商业模式。不同行业的结合可以创造出独特的产品或服务，满足消费者不断变化的需求。通过跨界融合，可以打造全新的商业模式，开辟新的市场空间，获得竞争优势。</w:t>
      </w:r>
    </w:p>
    <w:p>
      <w:pPr>
        <w:pStyle w:val="Heading2"/>
        <w:ind w:firstLine="560" w:firstLineChars="200"/>
        <w:rPr>
          <w:rFonts w:ascii="仿宋" w:eastAsia="仿宋" w:hAnsi="仿宋" w:cs="仿宋" w:hint="eastAsia"/>
          <w:sz w:val="28"/>
          <w:lang w:eastAsia="zh-CN"/>
        </w:rPr>
      </w:pPr>
      <w:bookmarkStart w:id="24" w:name="_Toc17882"/>
      <w:r>
        <w:rPr>
          <w:rFonts w:ascii="仿宋" w:eastAsia="仿宋" w:hAnsi="仿宋" w:cs="仿宋" w:hint="eastAsia"/>
          <w:sz w:val="28"/>
          <w:lang w:eastAsia="zh-CN"/>
        </w:rPr>
        <w:t>(二)、交叉行业创新和合作策略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跨界融合和创新思维：</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行业创新和合作可以促成跨界融合，将不同行业的专业知识和经验相互结合。这种跨界融合可以激发创新思维，打破传统行业壁垒，引入新的观念和方法。通过跨界融合，可以创造出独特的产品或服务，满足消费者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创造新的商业模式：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交叉行业创新和合作可以带来创造新的商业模式的机会。不同行业的结合可以打造全新的商业模式，开辟新的市场空间。通过创造新的商业模式，可以实现差异化竞争，提供独特的价值主张，获得市场竞争优势。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共享资源和合作伙伴：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行业创新和合作可以实现资源的共享和合作伙伴的联合。不同行业拥有不同的资源和专业能力，通过合作可以共享这些资源，实现互利共赢。合作伙伴可以提供补充性的技术、市场渠道、品牌影响力等，为核燃料元件及组件项目的成功实施提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市场拓展和用户群体扩大：</w:t>
      </w:r>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交叉行业创新和合作可以帮助拓展市场和扩大用户群体。不同行业的合作可以进入新的市场领域，吸引新的用户群体。通过合作，可以共同开发适应不同行业需求的产品或服务，满足更广泛的市场需求。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风险分散和创新生态系统建设：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交叉行业创新和合作可以分散风险，减少对单一行业的依赖。通过建立创新生态系统，吸引不同行业的企业和创新者参与合作，形成合作共赢的格局。这种生态系统可以促进创新的持续发展，形成良性循环。</w:t>
      </w:r>
    </w:p>
    <w:p>
      <w:pPr>
        <w:pStyle w:val="Heading2"/>
        <w:ind w:firstLine="560" w:firstLineChars="200"/>
        <w:rPr>
          <w:rFonts w:ascii="仿宋" w:eastAsia="仿宋" w:hAnsi="仿宋" w:cs="仿宋" w:hint="eastAsia"/>
          <w:sz w:val="28"/>
          <w:lang w:eastAsia="zh-CN"/>
        </w:rPr>
      </w:pPr>
      <w:bookmarkStart w:id="25" w:name="_Toc13373"/>
      <w:r>
        <w:rPr>
          <w:rFonts w:ascii="仿宋" w:eastAsia="仿宋" w:hAnsi="仿宋" w:cs="仿宋" w:hint="eastAsia"/>
          <w:sz w:val="28"/>
          <w:lang w:eastAsia="zh-CN"/>
        </w:rPr>
        <w:t>(三)、产业生态系统的参与和合作机会</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资源整合和共享：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产业生态系统可以实现资源的整合和共享。产业生态系统由不同企业、组织和利益相关者组成，每个参与方都拥有独特的资源和专业能力。通过合作共享这些资源，可以实现资源的优化配置，提高整体效率和竞争力。例如，供应商可以与制造商合作，共享供应链资源，实现供需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创新共享和合作：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产业生态系统可以促进创新的共享和合作。不同企业和组织在技术研发、产品设计和市场推广等方面都有各自的专长和经验。通过合作共享创新成果和知识产权，可以加速创新的推出和商业化。创新共享和合作可以降低创新风险和成本，提高创新的成功率。</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市场协同发展：</w:t>
      </w:r>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与产业生态系统可以实现市场的协同发展。产业生态系统中的各个参与方相互依赖，形成了完整的价值链和市场生态。通过合作共同开发市场、拓展销售渠道和合作营销，可以实现市场规模的扩大和市场份额的增加。市场协同发展可以提高整个产业的竞争力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业务协同和合作创新：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产业生态系统可以实现业务的协同和合作创新。不同企业和组织之间可以通过合作共同开展业务活动，实现业务流程的优化和效率的提升。通过合作创新，可以共同开发新的产品或服务，满足市场的不断变化需求。业务协同和合作创新可以促进企业间的互补和优势互补，实现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知识共享和学习机会：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产业生态系统可以提供知识共享和学习的机会。产业生态系统中的各个参与方都拥有丰富的行业知识和经验，通过合作学习和知识共享，可以不断提升自身的专业能力和竞争力。知识共享和学习机会可以促进产业的技术进步和人才培养。</w:t>
      </w:r>
    </w:p>
    <w:p>
      <w:pPr>
        <w:pStyle w:val="Heading1"/>
        <w:ind w:firstLine="560" w:firstLineChars="200"/>
        <w:rPr>
          <w:rFonts w:ascii="仿宋" w:eastAsia="仿宋" w:hAnsi="仿宋" w:cs="仿宋" w:hint="eastAsia"/>
          <w:sz w:val="28"/>
          <w:lang w:eastAsia="zh-CN"/>
        </w:rPr>
      </w:pPr>
      <w:bookmarkStart w:id="26" w:name="_Toc18994"/>
      <w:r>
        <w:rPr>
          <w:rFonts w:ascii="仿宋" w:eastAsia="仿宋" w:hAnsi="仿宋" w:cs="仿宋" w:hint="eastAsia"/>
          <w:sz w:val="28"/>
          <w:lang w:eastAsia="zh-CN"/>
        </w:rPr>
        <w:t>七、客户服务和消费者权益保护</w:t>
      </w:r>
      <w:bookmarkEnd w:id="26"/>
    </w:p>
    <w:p>
      <w:pPr>
        <w:pStyle w:val="Heading2"/>
        <w:rPr>
          <w:rFonts w:ascii="仿宋" w:eastAsia="仿宋" w:hAnsi="仿宋" w:cs="仿宋" w:hint="eastAsia"/>
          <w:lang w:eastAsia="zh-CN"/>
        </w:rPr>
      </w:pPr>
      <w:bookmarkStart w:id="27" w:name="_Toc27174"/>
      <w:r>
        <w:rPr>
          <w:rFonts w:ascii="仿宋" w:eastAsia="仿宋" w:hAnsi="仿宋" w:cs="仿宋" w:hint="eastAsia"/>
          <w:lang w:eastAsia="zh-CN"/>
        </w:rPr>
        <w:t>(一)、客户服务的标准和流程</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客户服务标准的制定：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确定目标：明确客户服务的目标，如提供满意的购物体验、解决客户问题、建立良好的客户关系等。</w:t>
      </w:r>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确定指标：制定客户服务的关键指标，如响应时间、问题解决率、客户满意度等，用于评估和监控服务质量。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建立标准：根据目标和指标，制定客户服务的标准，包括员工礼貌、响应速度、问题解决能力等方面的要求。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客户服务流程的设计：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客户接触点：确定客户与企业接触的各个环节，如电话、电子邮件、社交媒体、门店等，建立多渠道的客户接触点。</w:t>
      </w:r>
    </w:p>
    <w:p>
      <w:pPr>
        <w:ind w:firstLine="560" w:firstLineChars="200"/>
        <w:rPr>
          <w:rFonts w:ascii="仿宋" w:eastAsia="仿宋" w:hAnsi="仿宋" w:cs="仿宋" w:hint="eastAsia"/>
          <w:sz w:val="28"/>
        </w:rPr>
      </w:pPr>
      <w:r>
        <w:rPr>
          <w:rFonts w:ascii="仿宋" w:eastAsia="仿宋" w:hAnsi="仿宋" w:cs="仿宋" w:hint="eastAsia"/>
          <w:sz w:val="28"/>
          <w:lang w:eastAsia="zh-CN"/>
        </w:rPr>
        <w:t>响应流程：制定客户问题和投诉的响应流程，包括问题记录、分类、分派、解决和反馈等环节，确保问题得到及时解决。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投诉处理：建立投诉处理机制，包括投诉接收、调查、解决和跟进，确保客户的投诉得到妥善处理和满意解决。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售后服务：设计售后服务流程，包括产品维修、退换货、技术支持等，提供及时和专业的售后服务。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员工培训和能力提升：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培训计划：制定员工培训计划，包括产品知识、沟通技巧、问题解决能力等方面的培训，提高员工的服务水平。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培训内容：培训内容应涵盖客户服务标准、流程和技巧，以及客户关系管理和投诉处理等方面的知识和技能。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持续提升：建立员工绩效评估和反馈机制，定期进行培训和能力提升，以不断提高员工的客户服务能力。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客户反馈和改进：</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反馈渠道：建立客户反馈渠道，如在线调查、客户满意度调查、投诉反馈等，收集客户的意见和建议。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数据分析：对客户反馈数据进行分析，识别问题和改进机会，及时调整和优化客户服务流程和标准。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持续改进：根据客户反馈和市场需求，不断改进客户服务流程和标准，提高服务质量和客户满意度。</w:t>
      </w:r>
    </w:p>
    <w:p>
      <w:pPr>
        <w:pStyle w:val="Heading2"/>
        <w:ind w:firstLine="560" w:firstLineChars="200"/>
        <w:rPr>
          <w:rFonts w:ascii="仿宋" w:eastAsia="仿宋" w:hAnsi="仿宋" w:cs="仿宋" w:hint="eastAsia"/>
          <w:sz w:val="28"/>
          <w:lang w:eastAsia="zh-CN"/>
        </w:rPr>
      </w:pPr>
      <w:bookmarkStart w:id="28" w:name="_Toc5444"/>
      <w:r>
        <w:rPr>
          <w:rFonts w:ascii="仿宋" w:eastAsia="仿宋" w:hAnsi="仿宋" w:cs="仿宋" w:hint="eastAsia"/>
          <w:sz w:val="28"/>
          <w:lang w:eastAsia="zh-CN"/>
        </w:rPr>
        <w:t>(二)、消费者权益保护的措施和办法</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法律法规和政策支持：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法律依据：介绍相关的消费者权益保护法律法规，如《消费者权益保护法》等，说明消费者的权益和保护措施。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政策支持：介绍政府对消费者权益保护的政策支持，如设立消费者权益保护机构、加强监管等。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产品质量和安全保障：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质量标准：推动建立和完善产品质量标准，确保产品符合相关标准和规定，保障消费者的安全和权益。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质量检测：建立产品质量检测机制，对市场上的产品进行抽检和监测，及时发现和处理不合格产品。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产品召回：建立产品召回制度，对存在质量安全问题的产品进行召回和处理，保障消费者的权益和安全。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信息透明和宣传规范：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产品信息披露：规范企业对产品信息的披露，包括产品成分、质量标准、使用方法、售后服务等，提供准确和完整的信息。</w:t>
      </w:r>
    </w:p>
    <w:p>
      <w:pPr>
        <w:ind w:firstLine="560" w:firstLineChars="200"/>
        <w:rPr>
          <w:rFonts w:ascii="仿宋" w:eastAsia="仿宋" w:hAnsi="仿宋" w:cs="仿宋" w:hint="eastAsia"/>
          <w:sz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虚假宣传打击：加强对虚假宣传行为的打击和处罚，确保广告宣传内容真实、准确、合法，避免误导消费者。</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投诉处理和争议解决：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投诉渠道：建立投诉受理渠道，提供便捷的投诉途径，如客服热线、在线投诉平台等，方便消费者提出投诉。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投诉处理流程：制定投诉处理流程，包括投诉受理、调查核实、问题解决和结果反馈等环节，确保及时处理和解决消费者的投诉。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争议解决机制：建立有效的消费者争议解决机制，如调解、仲裁、诉讼等，提供多样化的解决途径，保护消费者的合法权益。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消费者教育和宣传：</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消费者教育：加强消费者教育，提高消费者的权益意识和消费能力，让消费者更加理性和明智地进行购买决策。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宣传活动：开展消费者权益保护的宣传活动，如主题宣传周、媒体宣传、社交媒体推广等，提高消费者对权益保护的关注度和认知度。</w:t>
      </w:r>
    </w:p>
    <w:p>
      <w:pPr>
        <w:pStyle w:val="Heading2"/>
        <w:ind w:firstLine="560" w:firstLineChars="200"/>
        <w:rPr>
          <w:rFonts w:ascii="仿宋" w:eastAsia="仿宋" w:hAnsi="仿宋" w:cs="仿宋" w:hint="eastAsia"/>
          <w:sz w:val="28"/>
          <w:lang w:eastAsia="zh-CN"/>
        </w:rPr>
      </w:pPr>
      <w:bookmarkStart w:id="29" w:name="_Toc8616"/>
      <w:r>
        <w:rPr>
          <w:rFonts w:ascii="仿宋" w:eastAsia="仿宋" w:hAnsi="仿宋" w:cs="仿宋" w:hint="eastAsia"/>
          <w:sz w:val="28"/>
          <w:lang w:eastAsia="zh-CN"/>
        </w:rPr>
        <w:t>(三)、客户反馈和投诉处理的机制建设</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反馈渠道的建立：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多渠道反馈：建立多样化的反馈渠道，包括在线表单、客服热线、电子邮件、社交媒体等，方便客户提供反馈意见和建议。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反馈接收：确保反馈渠道的畅通和高效，及时接收客户的反馈信息，并进行记录和分类。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投诉处理流程的设计：</w:t>
      </w:r>
    </w:p>
    <w:p>
      <w:pPr>
        <w:ind w:firstLine="560" w:firstLineChars="200"/>
        <w:rPr>
          <w:rFonts w:ascii="仿宋" w:eastAsia="仿宋" w:hAnsi="仿宋" w:cs="仿宋" w:hint="eastAsia"/>
          <w:sz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投诉受理：建立投诉受理流程，明确投诉的接收人员和受理时间，确保投诉能够及时得到处理。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调查核实：对投诉进行调查核实，了解问题的具体情况和原因，确保对投诉的客观、公正处理。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问题解决：制定问题解决方案，与客户沟通并协商解决方案，尽快解决客户的问题和不满。</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结果反馈：及时向客户反馈投诉处理结果，并关注客户的满意度，确保客户对处理结果满意。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投诉数据分析和改进：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数据统计和分析：对投诉数据进行统计和分析，了解投诉类型、频率和趋势，发现问题的症结和改进的机会。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持续改进：根据投诉数据分析的结果，及时调整和优化投诉处理流程和服务标准，提升投诉处理的效率和质量。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培训和能力提升：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员工培训：对涉及投诉处理的员工进行培训，提高其沟通技巧、问题解决能力和客户服务意识，增强投诉处理的专业性。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情景模拟：通过情景模拟和角色扮演等方式，让员工熟悉投诉处理流程和技巧，提高应对各类投诉情况的能力。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投诉信息保密和安全：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信息保密：确保客户投诉信息的保密性，制定相关的信息保护政策和措施，避免客户信息泄露和滥用。</w:t>
      </w:r>
    </w:p>
    <w:p>
      <w:pPr>
        <w:ind w:firstLine="560" w:firstLineChars="200"/>
        <w:rPr>
          <w:rFonts w:ascii="仿宋" w:eastAsia="仿宋" w:hAnsi="仿宋" w:cs="仿宋" w:hint="eastAsia"/>
          <w:sz w:val="28"/>
        </w:rPr>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数据安全：建立投诉信息的安全存储和管理机制，采取必要的技术和物理措施，保护客户投诉数据的安全性。</w:t>
      </w:r>
    </w:p>
    <w:p>
      <w:pPr>
        <w:pStyle w:val="Heading1"/>
        <w:ind w:firstLine="560" w:firstLineChars="200"/>
        <w:rPr>
          <w:rFonts w:ascii="仿宋" w:eastAsia="仿宋" w:hAnsi="仿宋" w:cs="仿宋" w:hint="eastAsia"/>
          <w:sz w:val="28"/>
          <w:lang w:eastAsia="zh-CN"/>
        </w:rPr>
      </w:pPr>
      <w:bookmarkStart w:id="30" w:name="_Toc1847"/>
      <w:r>
        <w:rPr>
          <w:rFonts w:ascii="仿宋" w:eastAsia="仿宋" w:hAnsi="仿宋" w:cs="仿宋" w:hint="eastAsia"/>
          <w:sz w:val="28"/>
          <w:lang w:eastAsia="zh-CN"/>
        </w:rPr>
        <w:t>八、工程设计方案</w:t>
      </w:r>
      <w:bookmarkEnd w:id="30"/>
    </w:p>
    <w:p>
      <w:pPr>
        <w:pStyle w:val="Heading2"/>
        <w:rPr>
          <w:rFonts w:ascii="仿宋" w:eastAsia="仿宋" w:hAnsi="仿宋" w:cs="仿宋" w:hint="eastAsia"/>
          <w:lang w:eastAsia="zh-CN"/>
        </w:rPr>
      </w:pPr>
      <w:bookmarkStart w:id="31" w:name="_Toc23175"/>
      <w:r>
        <w:rPr>
          <w:rFonts w:ascii="仿宋" w:eastAsia="仿宋" w:hAnsi="仿宋" w:cs="仿宋" w:hint="eastAsia"/>
          <w:lang w:eastAsia="zh-CN"/>
        </w:rPr>
        <w:t>(一)、总图布置</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核燃料元件及组件项目总体规划目标：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强调制定总体规划的目标和意义，如合理利用资源、提高效率、满足需求、实现可持续发展等。</w:t>
      </w:r>
    </w:p>
    <w:p>
      <w:pPr>
        <w:ind w:firstLine="560" w:firstLineChars="200"/>
        <w:rPr>
          <w:rFonts w:ascii="仿宋" w:eastAsia="仿宋" w:hAnsi="仿宋" w:cs="仿宋" w:hint="eastAsia"/>
          <w:sz w:val="28"/>
        </w:rPr>
      </w:pPr>
      <w:r>
        <w:rPr>
          <w:rFonts w:ascii="仿宋" w:eastAsia="仿宋" w:hAnsi="仿宋" w:cs="仿宋" w:hint="eastAsia"/>
          <w:sz w:val="28"/>
          <w:lang w:eastAsia="zh-CN"/>
        </w:rPr>
        <w:t>提醒核燃料元件及组件项目团队将核燃料元件及组件项目总体规划与核燃料元件及组件项目的目标和战略一致，确保规划的有效性和可行性。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地理位置和环境特点：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描述核燃料元件及组件项目所处的地理位置和环境特点，包括气候条件、地形地貌、自然资源等。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强调充分了解核燃料元件及组件项目所在地的特点和限制，为总体规划提供科学依据。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用地布局和功能划分：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提出合理的用地布局和功能划分方案，确保各个功能区域的相互协调和便利性。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强调考虑核燃料元件及组件项目的规模、功能需求、交通便捷性、环境保护等因素，进行用地布局和功能划分。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基础设施规划：</w:t>
      </w:r>
    </w:p>
    <w:p>
      <w:pPr>
        <w:ind w:firstLine="560" w:firstLineChars="200"/>
        <w:rPr>
          <w:rFonts w:ascii="仿宋" w:eastAsia="仿宋" w:hAnsi="仿宋" w:cs="仿宋" w:hint="eastAsia"/>
          <w:sz w:val="28"/>
        </w:rPr>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强调规划和布置核燃料元件及组件项目所需的基础设施，如道路、供水、供电、通信等。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提出基础设施规划的原则和要求，确保基础设施的可靠性、安全性和可持续性。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空间布局和建筑设计：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描述核燃料元件及组件项目的空间布局和建筑设计方案，包括建筑风格、建筑高度、景观设计等。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强调考虑核燃料元件及组件项目的功能需求、美观性、可持续性等因素，进行空间布局和建筑设计。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交通规划和交通组织：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提出核燃料元件及组件项目的交通规划和交通组织方案，包括道路布置、交通流量分析、停车规划等。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强调考虑交通的便捷性、安全性和环保性，制定科学合理的交通规划和交通组织方案。</w:t>
      </w:r>
    </w:p>
    <w:p>
      <w:pPr>
        <w:pStyle w:val="Heading2"/>
        <w:ind w:firstLine="560" w:firstLineChars="200"/>
        <w:rPr>
          <w:rFonts w:ascii="仿宋" w:eastAsia="仿宋" w:hAnsi="仿宋" w:cs="仿宋" w:hint="eastAsia"/>
          <w:sz w:val="28"/>
          <w:lang w:eastAsia="zh-CN"/>
        </w:rPr>
      </w:pPr>
      <w:bookmarkStart w:id="32" w:name="_Toc10252"/>
      <w:r>
        <w:rPr>
          <w:rFonts w:ascii="仿宋" w:eastAsia="仿宋" w:hAnsi="仿宋" w:cs="仿宋" w:hint="eastAsia"/>
          <w:sz w:val="28"/>
          <w:lang w:eastAsia="zh-CN"/>
        </w:rPr>
        <w:t>(二)、建筑设计</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核燃料元件及组件项目设计目标和原则：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描述建筑设计的目标和原则，如满足功能需求、体现美学价值、提高空间利用效率等。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强调将设计与核燃料元件及组件项目的整体规划和定位相一致，确保设计方案的可行性和有效性。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建筑类型和功能需求：</w:t>
      </w:r>
    </w:p>
    <w:p>
      <w:pPr>
        <w:ind w:firstLine="560" w:firstLineChars="200"/>
        <w:rPr>
          <w:rFonts w:ascii="仿宋" w:eastAsia="仿宋" w:hAnsi="仿宋" w:cs="仿宋" w:hint="eastAsia"/>
          <w:sz w:val="28"/>
        </w:rPr>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根据核燃料元件及组件项目的特点和需求，确定适合的建筑类型和功能需求，如办公楼、商业综合体、住宅区等。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强调充分了解核燃料元件及组件项目的功能需求和使用者的需求，为建筑设计提供科学依据。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空间布局和平面设计：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提出建筑的空间布局和平面设计方案，包括功能区划、房间布置、走廊通道等。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强调考虑空间的流动性、通风采光、舒适性等因素，制定合理的空间布局和平面设计。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结构设计和材料选择：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描述建筑的结构设计方案，包括结构类型、荷载分析、抗震设计等。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提出合适的材料选择，考虑材料的可行性、可持续性和经济性。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建筑外观和立面设计：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强调建筑的外观和立面设计，包括建筑形态、外墙材料、色彩搭配等。</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提出建筑外观和立面设计的原则和要求，确保建筑的美观性和与环境的协调性。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设备与设施规划：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提出建筑设备与设施的规划方案，包括电力供应、通风空调、给排水等。</w:t>
      </w:r>
    </w:p>
    <w:p>
      <w:pPr>
        <w:ind w:firstLine="560" w:firstLineChars="200"/>
        <w:rPr>
          <w:rFonts w:ascii="仿宋" w:eastAsia="仿宋" w:hAnsi="仿宋" w:cs="仿宋" w:hint="eastAsia"/>
          <w:sz w:val="28"/>
        </w:rPr>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强调考虑设备与设施的功能需求、能源效率和环境友好性，制定科学合理的规划方案。</w:t>
      </w:r>
    </w:p>
    <w:p>
      <w:pPr>
        <w:pStyle w:val="Heading2"/>
        <w:ind w:firstLine="560" w:firstLineChars="200"/>
        <w:rPr>
          <w:rFonts w:ascii="仿宋" w:eastAsia="仿宋" w:hAnsi="仿宋" w:cs="仿宋" w:hint="eastAsia"/>
          <w:sz w:val="28"/>
          <w:lang w:eastAsia="zh-CN"/>
        </w:rPr>
      </w:pPr>
      <w:bookmarkStart w:id="33" w:name="_Toc11980"/>
      <w:r>
        <w:rPr>
          <w:rFonts w:ascii="仿宋" w:eastAsia="仿宋" w:hAnsi="仿宋" w:cs="仿宋" w:hint="eastAsia"/>
          <w:sz w:val="28"/>
          <w:lang w:eastAsia="zh-CN"/>
        </w:rPr>
        <w:t>(三)、结构设计</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核燃料元件及组件项目设计目标和原则：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描述结构设计的目标和原则，如确保建筑物的安全性、承载能力和抗震性等。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强调将设计与核燃料元件及组件项目的整体规划和建筑设计相一致，确保结构设计方案的可行性和有效性。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结构类型和荷载分析：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根据核燃料元件及组件项目的特点和要求，确定适合的结构类型，如钢结构、混凝土结构、钢混凝土结构等。</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进行荷载分析，考虑建筑物所承受的静态荷载和动态荷载，确保结构设计的合理性和安全性。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结构布局和配置：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提出建筑物的结构布局和配置方案，包括柱网、梁板系统、框架结构等。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强调考虑结构的稳定性、刚度和变形控制，制定合理的结构布局和配置方案。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抗震设计和防灾措施：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描述建筑物的抗震设计方案，包括地震作用分析、抗震设防烈度等级的确定等。</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提出相应的防灾措施，如加固措施、减震措施、隔震措施等，确保建筑物在地震等自然灾害中的安全性。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材料选择和构造技术：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5" w:history="1">
        <w:r>
          <w:rPr>
            <w:rFonts w:ascii="SimSun" w:eastAsia="SimSun" w:hAnsi="SimSun" w:cs="SimSun"/>
            <w:b/>
            <w:bCs/>
            <w:color w:val="0000EE"/>
            <w:kern w:val="0"/>
            <w:sz w:val="30"/>
            <w:szCs w:val="30"/>
            <w:u w:val="single" w:color="0000EE"/>
          </w:rPr>
          <w:t>https://d.book118.com/958055036003006023</w:t>
        </w:r>
      </w:hyperlink>
    </w:p>
    <w:p>
      <w:pPr>
        <w:ind w:firstLine="560" w:firstLineChars="200"/>
        <w:rPr>
          <w:rFonts w:ascii="仿宋" w:eastAsia="仿宋" w:hAnsi="仿宋" w:cs="仿宋" w:hint="eastAsia"/>
          <w:sz w:val="28"/>
        </w:rPr>
      </w:pPr>
    </w:p>
    <w:sectPr>
      <w:headerReference w:type="default" r:id="rId66"/>
      <w:footerReference w:type="default" r:id="rId67"/>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73DAF"/>
    <w:rsid w:val="77E73D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yperlink" Target="https://d.book118.com/958055036003006023" TargetMode="External" /><Relationship Id="rId66" Type="http://schemas.openxmlformats.org/officeDocument/2006/relationships/header" Target="header31.xml" /><Relationship Id="rId67" Type="http://schemas.openxmlformats.org/officeDocument/2006/relationships/footer" Target="footer31.xml" /><Relationship Id="rId68" Type="http://schemas.openxmlformats.org/officeDocument/2006/relationships/theme" Target="theme/theme1.xml" /><Relationship Id="rId69"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2023-12-15T19:04:00Z</dcterms:created>
  <dcterms:modified xsi:type="dcterms:W3CDTF">2023-12-15T19:04:13Z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