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2018-2023年唐山海运职业学院高职单招（数学／语文／英语）历年常考试题库含答案解析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王维在《山居秋暝》诗中，流露出隐居山中之意的诗句是（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A.空山新雨后，天气晚来秋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B.明月松间照，清泉石上流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C.竹喧归浣女，莲动下渔舟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D.随意春芳歇，王孙自可留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ja-JP" w:bidi="ar-SA"/>
        </w:rPr>
        <w:t>2.</w:t>
      </w:r>
      <w:r>
        <w:rPr>
          <w:rFonts w:ascii="黑体" w:eastAsia="黑体" w:hAnsi="黑体" w:cs="Times New Roman"/>
          <w:sz w:val="24"/>
          <w:lang w:val="en-US" w:eastAsia="ja-JP" w:bidi="ar-SA"/>
        </w:rPr>
        <w:t>先秦诸子中最善于采用“欲擒故纵、引君入彀”论辩手法的是（　　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A.孔子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B.孟子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C.庄子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D.韩非子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1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下列句中“之”作“到”讲的是（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1762310" cy="1600368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62310" cy="160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曹禺的代表作是（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A.《雷雨》、《日出》、《北京人》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B.《茶馆》、《屈原》、《北京人》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C.《茶馆》、《雷雨》、《日出》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D.《屈原》、《茶馆》、《雷雨》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屠格涅夫最后一部作品是（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A.《贵族之家》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B.《处女地》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C.《散文诗集》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D.《初恋》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下列句子中，含有使动用法的是（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A.故今具道所以，冀君实或见恕也。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B.若弗与，则请除之，无生民心。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C.及尔偕老，老使我怨。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D.千金，重币也；百乘，显使也。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“知识就是力量”这句名言是出自（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A.富兰克林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C.拉封丹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D.伏尔泰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以下诗句中，化用《诗经》诗句的为（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A.周公吐哺，天下归心。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B.对酒当歌，人生几何。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C.山不厌高，海不厌深。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D.呦呦鹿鸣，食野之苹。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下列选项中，加点的字“于”表示被动的一项是（）。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A.夫祸患常积于忽微，而智勇多困于所溺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B.王知如此，则无望民之多于邻国也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C.此其自多也，不似尔向之自多于水乎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D.邦分崩离析而不能守也，而谋动干戈于邦内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鲁迅短篇小说《风波》的结构线索是（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A.张勋复辟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B.九斤老太的唠叨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C.七斤的苦闷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D.辫子事件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辛弃疾在《水龙吟》（登建康赏心亭）中自称（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A.刘郎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B.季鹰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C.江南游子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D.桓温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《谏逐客书》本文中，作者列举秦国四位先君广招人才的史实，然后得出“客何负于秦哉”的结论，这里采用的论证方法是（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B.演绎法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C.类比法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D.对比法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《五代史伶官传序》一文的主旨是（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A.满招损，谦受益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B.祸患积于忽微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https://d.book118.com/958056036132006040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958056036132006040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