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
        <w:rPr>
          <w:rFonts w:ascii="Times New Roman"/>
          <w:sz w:val="23"/>
        </w:rPr>
      </w:pPr>
    </w:p>
    <w:p>
      <w:pPr>
        <w:pStyle w:val="Title"/>
        <w:spacing w:line="336" w:lineRule="auto"/>
      </w:pPr>
      <w:r>
        <w:t>高速公路夜间养护工程施工安全防护作业指南</w:t>
      </w:r>
    </w:p>
    <w:p>
      <w:pPr>
        <w:spacing w:after="0" w:line="336" w:lineRule="auto"/>
        <w:sectPr>
          <w:type w:val="continuous"/>
          <w:pgSz w:w="11910" w:h="16840"/>
          <w:pgMar w:top="1580" w:right="940" w:bottom="280" w:left="1240" w:header="720" w:footer="720" w:gutter="0"/>
          <w:cols w:num="1" w:space="720"/>
        </w:sectPr>
      </w:pPr>
    </w:p>
    <w:p>
      <w:pPr>
        <w:pStyle w:val="BodyText"/>
        <w:rPr>
          <w:rFonts w:ascii="黑体"/>
          <w:sz w:val="20"/>
        </w:rPr>
      </w:pPr>
    </w:p>
    <w:p>
      <w:pPr>
        <w:pStyle w:val="BodyText"/>
        <w:rPr>
          <w:rFonts w:ascii="黑体"/>
          <w:sz w:val="20"/>
        </w:rPr>
      </w:pPr>
    </w:p>
    <w:p>
      <w:pPr>
        <w:pStyle w:val="BodyText"/>
        <w:rPr>
          <w:rFonts w:ascii="黑体"/>
          <w:sz w:val="20"/>
        </w:rPr>
      </w:pPr>
    </w:p>
    <w:p>
      <w:pPr>
        <w:spacing w:before="231"/>
        <w:ind w:left="0" w:right="15" w:firstLine="0"/>
        <w:jc w:val="center"/>
        <w:rPr>
          <w:rFonts w:ascii="黑体" w:eastAsia="黑体" w:hAnsi="黑体" w:hint="eastAsia"/>
          <w:sz w:val="32"/>
        </w:rPr>
      </w:pPr>
      <w:r>
        <w:rPr>
          <w:rFonts w:ascii="黑体" w:eastAsia="黑体" w:hAnsi="黑体" w:hint="eastAsia"/>
          <w:sz w:val="32"/>
        </w:rPr>
        <w:t>目</w:t>
      </w:r>
      <w:r>
        <w:rPr>
          <w:rFonts w:ascii="Times New Roman" w:eastAsia="Times New Roman" w:hAnsi="Times New Roman"/>
          <w:sz w:val="32"/>
        </w:rPr>
        <w:t>  </w:t>
      </w:r>
      <w:r>
        <w:rPr>
          <w:rFonts w:ascii="黑体" w:eastAsia="黑体" w:hAnsi="黑体" w:hint="eastAsia"/>
          <w:sz w:val="32"/>
        </w:rPr>
        <w:t>次</w:t>
      </w:r>
    </w:p>
    <w:p>
      <w:pPr>
        <w:pStyle w:val="ListParagraph"/>
        <w:numPr>
          <w:ilvl w:val="0"/>
          <w:numId w:val="5"/>
        </w:numPr>
        <w:tabs>
          <w:tab w:val="left" w:pos="492"/>
          <w:tab w:val="left" w:pos="493"/>
          <w:tab w:val="right" w:leader="dot" w:pos="9418"/>
        </w:tabs>
        <w:spacing w:before="975" w:after="0" w:line="240" w:lineRule="auto"/>
        <w:ind w:left="493" w:right="0" w:hanging="315"/>
        <w:jc w:val="left"/>
        <w:rPr>
          <w:sz w:val="21"/>
        </w:rPr>
      </w:pPr>
      <w:hyperlink w:anchor="_bookmark0" w:history="1">
        <w:r>
          <w:rPr>
            <w:sz w:val="21"/>
          </w:rPr>
          <w:t>范围</w:t>
        </w:r>
        <w:r>
          <w:rPr>
            <w:rFonts w:ascii="Times New Roman" w:eastAsia="Times New Roman"/>
            <w:sz w:val="21"/>
          </w:rPr>
          <w:tab/>
        </w:r>
        <w:r>
          <w:rPr>
            <w:sz w:val="21"/>
          </w:rPr>
          <w:t>1</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1" w:history="1">
        <w:r>
          <w:rPr>
            <w:sz w:val="21"/>
          </w:rPr>
          <w:t>规范性引用文件</w:t>
        </w:r>
        <w:r>
          <w:rPr>
            <w:rFonts w:ascii="Times New Roman" w:eastAsia="Times New Roman"/>
            <w:sz w:val="21"/>
          </w:rPr>
          <w:tab/>
        </w:r>
        <w:r>
          <w:rPr>
            <w:sz w:val="21"/>
          </w:rPr>
          <w:t>1</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2" w:history="1">
        <w:r>
          <w:rPr>
            <w:sz w:val="21"/>
          </w:rPr>
          <w:t>术语和定义</w:t>
        </w:r>
        <w:r>
          <w:rPr>
            <w:rFonts w:ascii="Times New Roman" w:eastAsia="Times New Roman"/>
            <w:sz w:val="21"/>
          </w:rPr>
          <w:tab/>
        </w:r>
        <w:r>
          <w:rPr>
            <w:sz w:val="21"/>
          </w:rPr>
          <w:t>1</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3" w:history="1">
        <w:r>
          <w:rPr>
            <w:sz w:val="21"/>
          </w:rPr>
          <w:t>符号</w:t>
        </w:r>
        <w:r>
          <w:rPr>
            <w:rFonts w:ascii="Times New Roman" w:eastAsia="Times New Roman"/>
            <w:sz w:val="21"/>
          </w:rPr>
          <w:tab/>
        </w:r>
        <w:r>
          <w:rPr>
            <w:sz w:val="21"/>
          </w:rPr>
          <w:t>3</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4" w:history="1">
        <w:r>
          <w:rPr>
            <w:sz w:val="21"/>
          </w:rPr>
          <w:t>安全防护管理与协调</w:t>
        </w:r>
        <w:r>
          <w:rPr>
            <w:rFonts w:ascii="Times New Roman" w:eastAsia="Times New Roman"/>
            <w:sz w:val="21"/>
          </w:rPr>
          <w:tab/>
        </w:r>
        <w:r>
          <w:rPr>
            <w:sz w:val="21"/>
          </w:rPr>
          <w:t>3</w:t>
        </w:r>
      </w:hyperlink>
    </w:p>
    <w:p>
      <w:pPr>
        <w:pStyle w:val="ListParagraph"/>
        <w:numPr>
          <w:ilvl w:val="1"/>
          <w:numId w:val="5"/>
        </w:numPr>
        <w:tabs>
          <w:tab w:val="left" w:pos="912"/>
          <w:tab w:val="left" w:pos="913"/>
          <w:tab w:val="right" w:leader="dot" w:pos="9418"/>
        </w:tabs>
        <w:spacing w:before="121" w:after="0" w:line="240" w:lineRule="auto"/>
        <w:ind w:left="913" w:right="0" w:hanging="525"/>
        <w:jc w:val="left"/>
        <w:rPr>
          <w:sz w:val="21"/>
        </w:rPr>
      </w:pPr>
      <w:hyperlink w:anchor="_bookmark5" w:history="1">
        <w:r>
          <w:rPr>
            <w:sz w:val="21"/>
          </w:rPr>
          <w:t>安全防护准备</w:t>
        </w:r>
        <w:r>
          <w:rPr>
            <w:rFonts w:ascii="Times New Roman" w:eastAsia="Times New Roman"/>
            <w:sz w:val="21"/>
          </w:rPr>
          <w:tab/>
        </w:r>
        <w:r>
          <w:rPr>
            <w:sz w:val="21"/>
          </w:rPr>
          <w:t>3</w:t>
        </w:r>
      </w:hyperlink>
    </w:p>
    <w:p>
      <w:pPr>
        <w:pStyle w:val="ListParagraph"/>
        <w:numPr>
          <w:ilvl w:val="1"/>
          <w:numId w:val="5"/>
        </w:numPr>
        <w:tabs>
          <w:tab w:val="left" w:pos="912"/>
          <w:tab w:val="left" w:pos="913"/>
          <w:tab w:val="right" w:leader="dot" w:pos="9418"/>
        </w:tabs>
        <w:spacing w:before="43" w:after="0" w:line="240" w:lineRule="auto"/>
        <w:ind w:left="913" w:right="0" w:hanging="525"/>
        <w:jc w:val="left"/>
        <w:rPr>
          <w:sz w:val="21"/>
        </w:rPr>
      </w:pPr>
      <w:hyperlink w:anchor="_bookmark6" w:history="1">
        <w:r>
          <w:rPr>
            <w:sz w:val="21"/>
          </w:rPr>
          <w:t>安全防护实施</w:t>
        </w:r>
        <w:r>
          <w:rPr>
            <w:rFonts w:ascii="Times New Roman" w:eastAsia="Times New Roman"/>
            <w:sz w:val="21"/>
          </w:rPr>
          <w:tab/>
        </w:r>
        <w:r>
          <w:rPr>
            <w:sz w:val="21"/>
          </w:rPr>
          <w:t>3</w:t>
        </w:r>
      </w:hyperlink>
    </w:p>
    <w:p>
      <w:pPr>
        <w:pStyle w:val="ListParagraph"/>
        <w:numPr>
          <w:ilvl w:val="1"/>
          <w:numId w:val="5"/>
        </w:numPr>
        <w:tabs>
          <w:tab w:val="left" w:pos="912"/>
          <w:tab w:val="left" w:pos="913"/>
          <w:tab w:val="right" w:leader="dot" w:pos="9418"/>
        </w:tabs>
        <w:spacing w:before="43" w:after="0" w:line="240" w:lineRule="auto"/>
        <w:ind w:left="913" w:right="0" w:hanging="525"/>
        <w:jc w:val="left"/>
        <w:rPr>
          <w:sz w:val="21"/>
        </w:rPr>
      </w:pPr>
      <w:hyperlink w:anchor="_bookmark7" w:history="1">
        <w:r>
          <w:rPr>
            <w:sz w:val="21"/>
          </w:rPr>
          <w:t>安全防护移除</w:t>
        </w:r>
        <w:r>
          <w:rPr>
            <w:rFonts w:ascii="Times New Roman" w:eastAsia="Times New Roman"/>
            <w:sz w:val="21"/>
          </w:rPr>
          <w:tab/>
        </w:r>
        <w:r>
          <w:rPr>
            <w:sz w:val="21"/>
          </w:rPr>
          <w:t>4</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8" w:history="1">
        <w:r>
          <w:rPr>
            <w:sz w:val="21"/>
          </w:rPr>
          <w:t>安全防护设施</w:t>
        </w:r>
        <w:r>
          <w:rPr>
            <w:rFonts w:ascii="Times New Roman" w:eastAsia="Times New Roman"/>
            <w:sz w:val="21"/>
          </w:rPr>
          <w:tab/>
        </w:r>
        <w:r>
          <w:rPr>
            <w:sz w:val="21"/>
          </w:rPr>
          <w:t>4</w:t>
        </w:r>
      </w:hyperlink>
    </w:p>
    <w:p>
      <w:pPr>
        <w:pStyle w:val="ListParagraph"/>
        <w:numPr>
          <w:ilvl w:val="1"/>
          <w:numId w:val="5"/>
        </w:numPr>
        <w:tabs>
          <w:tab w:val="left" w:pos="912"/>
          <w:tab w:val="left" w:pos="913"/>
          <w:tab w:val="right" w:leader="dot" w:pos="9418"/>
        </w:tabs>
        <w:spacing w:before="121" w:after="0" w:line="240" w:lineRule="auto"/>
        <w:ind w:left="913" w:right="0" w:hanging="525"/>
        <w:jc w:val="left"/>
        <w:rPr>
          <w:sz w:val="21"/>
        </w:rPr>
      </w:pPr>
      <w:hyperlink w:anchor="_bookmark9" w:history="1">
        <w:r>
          <w:rPr>
            <w:sz w:val="21"/>
          </w:rPr>
          <w:t>临时标志</w:t>
        </w:r>
        <w:r>
          <w:rPr>
            <w:rFonts w:ascii="Times New Roman" w:eastAsia="Times New Roman"/>
            <w:sz w:val="21"/>
          </w:rPr>
          <w:tab/>
        </w:r>
        <w:r>
          <w:rPr>
            <w:sz w:val="21"/>
          </w:rPr>
          <w:t>4</w:t>
        </w:r>
      </w:hyperlink>
    </w:p>
    <w:p>
      <w:pPr>
        <w:pStyle w:val="ListParagraph"/>
        <w:numPr>
          <w:ilvl w:val="1"/>
          <w:numId w:val="5"/>
        </w:numPr>
        <w:tabs>
          <w:tab w:val="left" w:pos="912"/>
          <w:tab w:val="left" w:pos="913"/>
          <w:tab w:val="right" w:leader="dot" w:pos="9418"/>
        </w:tabs>
        <w:spacing w:before="43" w:after="0" w:line="240" w:lineRule="auto"/>
        <w:ind w:left="913" w:right="0" w:hanging="525"/>
        <w:jc w:val="left"/>
        <w:rPr>
          <w:sz w:val="21"/>
        </w:rPr>
      </w:pPr>
      <w:hyperlink w:anchor="_bookmark10" w:history="1">
        <w:r>
          <w:rPr>
            <w:sz w:val="21"/>
          </w:rPr>
          <w:t>其他安全设施</w:t>
        </w:r>
        <w:r>
          <w:rPr>
            <w:rFonts w:ascii="Times New Roman" w:eastAsia="Times New Roman"/>
            <w:sz w:val="21"/>
          </w:rPr>
          <w:tab/>
        </w:r>
        <w:r>
          <w:rPr>
            <w:sz w:val="21"/>
          </w:rPr>
          <w:t>4</w:t>
        </w:r>
      </w:hyperlink>
    </w:p>
    <w:p>
      <w:pPr>
        <w:pStyle w:val="ListParagraph"/>
        <w:numPr>
          <w:ilvl w:val="0"/>
          <w:numId w:val="5"/>
        </w:numPr>
        <w:tabs>
          <w:tab w:val="left" w:pos="492"/>
          <w:tab w:val="left" w:pos="493"/>
          <w:tab w:val="right" w:leader="dot" w:pos="9418"/>
        </w:tabs>
        <w:spacing w:before="121" w:after="0" w:line="240" w:lineRule="auto"/>
        <w:ind w:left="493" w:right="0" w:hanging="315"/>
        <w:jc w:val="left"/>
        <w:rPr>
          <w:sz w:val="21"/>
        </w:rPr>
      </w:pPr>
      <w:hyperlink w:anchor="_bookmark11" w:history="1">
        <w:r>
          <w:rPr>
            <w:sz w:val="21"/>
          </w:rPr>
          <w:t>安全防护布设</w:t>
        </w:r>
        <w:r>
          <w:rPr>
            <w:rFonts w:ascii="Times New Roman" w:eastAsia="Times New Roman"/>
            <w:sz w:val="21"/>
          </w:rPr>
          <w:tab/>
        </w:r>
        <w:r>
          <w:rPr>
            <w:sz w:val="21"/>
          </w:rPr>
          <w:t>4</w:t>
        </w:r>
      </w:hyperlink>
    </w:p>
    <w:p>
      <w:pPr>
        <w:pStyle w:val="ListParagraph"/>
        <w:numPr>
          <w:ilvl w:val="1"/>
          <w:numId w:val="5"/>
        </w:numPr>
        <w:tabs>
          <w:tab w:val="left" w:pos="912"/>
          <w:tab w:val="left" w:pos="913"/>
          <w:tab w:val="right" w:leader="dot" w:pos="9418"/>
        </w:tabs>
        <w:spacing w:before="121" w:after="0" w:line="240" w:lineRule="auto"/>
        <w:ind w:left="913" w:right="0" w:hanging="525"/>
        <w:jc w:val="left"/>
        <w:rPr>
          <w:sz w:val="21"/>
        </w:rPr>
      </w:pPr>
      <w:hyperlink w:anchor="_bookmark12" w:history="1">
        <w:r>
          <w:rPr>
            <w:sz w:val="21"/>
          </w:rPr>
          <w:t>一般规定</w:t>
        </w:r>
        <w:r>
          <w:rPr>
            <w:rFonts w:ascii="Times New Roman" w:eastAsia="Times New Roman"/>
            <w:sz w:val="21"/>
          </w:rPr>
          <w:tab/>
        </w:r>
        <w:r>
          <w:rPr>
            <w:sz w:val="21"/>
          </w:rPr>
          <w:t>4</w:t>
        </w:r>
      </w:hyperlink>
    </w:p>
    <w:p>
      <w:pPr>
        <w:pStyle w:val="ListParagraph"/>
        <w:numPr>
          <w:ilvl w:val="1"/>
          <w:numId w:val="5"/>
        </w:numPr>
        <w:tabs>
          <w:tab w:val="left" w:pos="912"/>
          <w:tab w:val="left" w:pos="913"/>
          <w:tab w:val="right" w:leader="dot" w:pos="9418"/>
        </w:tabs>
        <w:spacing w:before="43" w:after="0" w:line="240" w:lineRule="auto"/>
        <w:ind w:left="913" w:right="0" w:hanging="525"/>
        <w:jc w:val="left"/>
        <w:rPr>
          <w:sz w:val="21"/>
        </w:rPr>
      </w:pPr>
      <w:hyperlink w:anchor="_bookmark13" w:history="1">
        <w:r>
          <w:rPr>
            <w:sz w:val="21"/>
          </w:rPr>
          <w:t>作业控制区布置方案</w:t>
        </w:r>
        <w:r>
          <w:rPr>
            <w:rFonts w:ascii="Times New Roman" w:eastAsia="Times New Roman"/>
            <w:sz w:val="21"/>
          </w:rPr>
          <w:tab/>
        </w:r>
        <w:r>
          <w:rPr>
            <w:sz w:val="21"/>
          </w:rPr>
          <w:t>5</w:t>
        </w:r>
      </w:hyperlink>
    </w:p>
    <w:p>
      <w:pPr>
        <w:pStyle w:val="BodyText"/>
        <w:tabs>
          <w:tab w:val="left" w:pos="2435"/>
          <w:tab w:val="right" w:leader="dot" w:pos="9418"/>
        </w:tabs>
        <w:spacing w:before="121"/>
        <w:ind w:left="178"/>
      </w:pPr>
      <w:hyperlink w:anchor="_bookmark14" w:history="1">
        <w:r>
          <w:t>附录</w:t>
        </w:r>
        <w:r>
          <w:rPr>
            <w:spacing w:val="-53"/>
          </w:rPr>
          <w:t xml:space="preserve"> </w:t>
        </w:r>
        <w:r>
          <w:t>A（规范性附录）</w:t>
        </w:r>
        <w:r>
          <w:tab/>
        </w:r>
        <w:r>
          <w:t>养护作业安全防护设施、符号</w:t>
        </w:r>
        <w:r>
          <w:rPr>
            <w:rFonts w:ascii="Times New Roman" w:eastAsia="Times New Roman"/>
          </w:rPr>
          <w:tab/>
        </w:r>
        <w:r>
          <w:t>6</w:t>
        </w:r>
      </w:hyperlink>
    </w:p>
    <w:p>
      <w:pPr>
        <w:pStyle w:val="BodyText"/>
        <w:tabs>
          <w:tab w:val="left" w:pos="2435"/>
          <w:tab w:val="right" w:leader="dot" w:pos="9418"/>
        </w:tabs>
        <w:spacing w:before="120"/>
        <w:ind w:left="178"/>
      </w:pPr>
      <w:hyperlink w:anchor="_bookmark15" w:history="1">
        <w:r>
          <w:t>附录</w:t>
        </w:r>
        <w:r>
          <w:rPr>
            <w:spacing w:val="-53"/>
          </w:rPr>
          <w:t xml:space="preserve"> </w:t>
        </w:r>
        <w:r>
          <w:t>B（规范性附录）</w:t>
        </w:r>
        <w:r>
          <w:tab/>
        </w:r>
        <w:r>
          <w:t>养护作业控制区布置示例</w:t>
        </w:r>
        <w:r>
          <w:rPr>
            <w:rFonts w:ascii="Times New Roman" w:eastAsia="Times New Roman"/>
          </w:rPr>
          <w:tab/>
        </w:r>
        <w:r>
          <w:t>8</w:t>
        </w:r>
      </w:hyperlink>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rFonts w:ascii="Times New Roman"/>
          <w:sz w:val="20"/>
        </w:rPr>
        <w:sectPr>
          <w:footerReference w:type="default" r:id="rId5"/>
          <w:pgSz w:w="11910" w:h="16840"/>
          <w:pgMar w:top="1580" w:right="940" w:bottom="1320" w:left="1240" w:header="0" w:footer="1125" w:gutter="0"/>
          <w:pgNumType w:start="1"/>
          <w:cols w:num="1" w:space="720"/>
        </w:sectPr>
      </w:pPr>
      <w:bookmarkStart w:id="0" w:name="_GoBack"/>
      <w:bookmarkEnd w:id="0"/>
    </w:p>
    <w:p>
      <w:pPr>
        <w:pStyle w:val="BodyText"/>
        <w:rPr>
          <w:rFonts w:ascii="Times New Roman"/>
          <w:sz w:val="20"/>
        </w:rPr>
      </w:pPr>
    </w:p>
    <w:p>
      <w:pPr>
        <w:pStyle w:val="BodyText"/>
        <w:rPr>
          <w:rFonts w:ascii="Times New Roman"/>
          <w:sz w:val="20"/>
        </w:rPr>
      </w:pPr>
    </w:p>
    <w:p>
      <w:pPr>
        <w:pStyle w:val="BodyText"/>
        <w:spacing w:before="2"/>
        <w:rPr>
          <w:rFonts w:ascii="Times New Roman"/>
          <w:sz w:val="22"/>
        </w:rPr>
      </w:pPr>
    </w:p>
    <w:p>
      <w:pPr>
        <w:spacing w:before="55"/>
        <w:ind w:left="0" w:right="15" w:firstLine="0"/>
        <w:jc w:val="center"/>
        <w:rPr>
          <w:rFonts w:ascii="黑体" w:eastAsia="黑体" w:hint="eastAsia"/>
          <w:sz w:val="32"/>
        </w:rPr>
      </w:pPr>
      <w:r>
        <w:rPr>
          <w:rFonts w:ascii="黑体" w:eastAsia="黑体" w:hint="eastAsia"/>
          <w:sz w:val="32"/>
        </w:rPr>
        <w:t>高速公路夜间养护工程施工安全防护作业指南</w:t>
      </w:r>
    </w:p>
    <w:p>
      <w:pPr>
        <w:pStyle w:val="BodyText"/>
        <w:rPr>
          <w:rFonts w:ascii="黑体"/>
          <w:sz w:val="20"/>
        </w:rPr>
      </w:pPr>
    </w:p>
    <w:p>
      <w:pPr>
        <w:pStyle w:val="BodyText"/>
        <w:spacing w:before="2"/>
        <w:rPr>
          <w:rFonts w:ascii="黑体"/>
          <w:sz w:val="20"/>
        </w:rPr>
      </w:pPr>
    </w:p>
    <w:p>
      <w:pPr>
        <w:pStyle w:val="ListParagraph"/>
        <w:numPr>
          <w:ilvl w:val="0"/>
          <w:numId w:val="6"/>
        </w:numPr>
        <w:tabs>
          <w:tab w:val="left" w:pos="492"/>
          <w:tab w:val="left" w:pos="493"/>
        </w:tabs>
        <w:spacing w:before="71" w:after="0" w:line="240" w:lineRule="auto"/>
        <w:ind w:left="493" w:right="0" w:hanging="315"/>
        <w:jc w:val="left"/>
        <w:rPr>
          <w:rFonts w:ascii="黑体" w:eastAsia="黑体" w:hint="eastAsia"/>
          <w:sz w:val="21"/>
        </w:rPr>
      </w:pPr>
      <w:bookmarkStart w:id="1" w:name="_bookmark0"/>
      <w:bookmarkEnd w:id="1"/>
      <w:r>
        <w:rPr>
          <w:rFonts w:ascii="黑体" w:eastAsia="黑体" w:hint="eastAsia"/>
          <w:sz w:val="21"/>
        </w:rPr>
        <w:t>范围</w:t>
      </w:r>
    </w:p>
    <w:p>
      <w:pPr>
        <w:pStyle w:val="BodyText"/>
        <w:spacing w:before="9"/>
        <w:rPr>
          <w:rFonts w:ascii="黑体"/>
          <w:sz w:val="27"/>
        </w:rPr>
      </w:pPr>
    </w:p>
    <w:p>
      <w:pPr>
        <w:pStyle w:val="BodyText"/>
        <w:spacing w:line="278" w:lineRule="auto"/>
        <w:ind w:left="178" w:right="191" w:firstLine="420"/>
      </w:pPr>
      <w:r>
        <w:t>本标准规定了高速公路夜间养护工程施工安全防护作业的术语和定义、符号、安全防护管理与协调、安全防护设施和安全防护布设等内容。</w:t>
      </w:r>
    </w:p>
    <w:p>
      <w:pPr>
        <w:pStyle w:val="BodyText"/>
        <w:spacing w:line="269" w:lineRule="exact"/>
        <w:ind w:left="598"/>
      </w:pPr>
      <w:r>
        <w:t>本标准适用于高速公路夜间短期养护作业和临时养护作业中的安全防护。</w:t>
      </w:r>
    </w:p>
    <w:p>
      <w:pPr>
        <w:pStyle w:val="BodyText"/>
        <w:spacing w:before="9"/>
        <w:rPr>
          <w:sz w:val="27"/>
        </w:rPr>
      </w:pPr>
    </w:p>
    <w:p>
      <w:pPr>
        <w:pStyle w:val="ListParagraph"/>
        <w:numPr>
          <w:ilvl w:val="0"/>
          <w:numId w:val="6"/>
        </w:numPr>
        <w:tabs>
          <w:tab w:val="left" w:pos="492"/>
          <w:tab w:val="left" w:pos="493"/>
        </w:tabs>
        <w:spacing w:before="0" w:after="0" w:line="240" w:lineRule="auto"/>
        <w:ind w:left="493" w:right="0" w:hanging="315"/>
        <w:jc w:val="left"/>
        <w:rPr>
          <w:rFonts w:ascii="黑体" w:eastAsia="黑体" w:hint="eastAsia"/>
          <w:sz w:val="21"/>
        </w:rPr>
      </w:pPr>
      <w:bookmarkStart w:id="2" w:name="_bookmark1"/>
      <w:bookmarkEnd w:id="2"/>
      <w:r>
        <w:rPr>
          <w:rFonts w:ascii="黑体" w:eastAsia="黑体" w:hint="eastAsia"/>
          <w:sz w:val="21"/>
        </w:rPr>
        <w:t>规范性引用文件</w:t>
      </w:r>
    </w:p>
    <w:p>
      <w:pPr>
        <w:pStyle w:val="BodyText"/>
        <w:spacing w:before="9"/>
        <w:rPr>
          <w:rFonts w:ascii="黑体"/>
          <w:sz w:val="27"/>
        </w:rPr>
      </w:pPr>
    </w:p>
    <w:p>
      <w:pPr>
        <w:pStyle w:val="BodyText"/>
        <w:spacing w:line="278" w:lineRule="auto"/>
        <w:ind w:left="178" w:right="191" w:firstLine="420"/>
      </w:pPr>
      <w:r>
        <w:t>下列文件对于本文件的应用是必不可少的。凡是注日期的引用文件，仅所注日期的版本适用于本文件。凡是不注日期的引用文件，其最新版本（包括所有的修改单）适用于本文件。</w:t>
      </w:r>
    </w:p>
    <w:p>
      <w:pPr>
        <w:pStyle w:val="BodyText"/>
        <w:spacing w:line="269" w:lineRule="exact"/>
        <w:ind w:left="598"/>
      </w:pPr>
      <w:r>
        <w:t>GB 2811 安全帽</w:t>
      </w:r>
    </w:p>
    <w:p>
      <w:pPr>
        <w:pStyle w:val="BodyText"/>
        <w:spacing w:before="43"/>
        <w:ind w:left="598"/>
      </w:pPr>
      <w:r>
        <w:t>GB 5768.2 道路交通标志和标线 第2部分：道路交通标志</w:t>
      </w:r>
    </w:p>
    <w:p>
      <w:pPr>
        <w:pStyle w:val="BodyText"/>
        <w:spacing w:before="8"/>
        <w:rPr>
          <w:sz w:val="5"/>
        </w:rPr>
      </w:pPr>
    </w:p>
    <w:tbl>
      <w:tblPr>
        <w:tblStyle w:val="TableNormal"/>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
      <w:tblGrid>
        <w:gridCol w:w="523"/>
        <w:gridCol w:w="630"/>
        <w:gridCol w:w="1993"/>
      </w:tblGrid>
      <w:tr>
        <w:tblPrEx>
          <w:tblW w:w="0" w:type="auto"/>
          <w:tblInd w:w="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PrEx>
        <w:trPr>
          <w:trHeight w:val="261"/>
        </w:trPr>
        <w:tc>
          <w:tcPr>
            <w:tcW w:w="523" w:type="dxa"/>
          </w:tcPr>
          <w:p>
            <w:pPr>
              <w:pStyle w:val="TableParagraph"/>
              <w:spacing w:line="240" w:lineRule="exact"/>
              <w:ind w:left="30" w:right="32"/>
              <w:jc w:val="center"/>
              <w:rPr>
                <w:sz w:val="21"/>
              </w:rPr>
            </w:pPr>
            <w:r>
              <w:rPr>
                <w:sz w:val="21"/>
              </w:rPr>
              <w:t>GB/T</w:t>
            </w:r>
          </w:p>
        </w:tc>
        <w:tc>
          <w:tcPr>
            <w:tcW w:w="630" w:type="dxa"/>
          </w:tcPr>
          <w:p>
            <w:pPr>
              <w:pStyle w:val="TableParagraph"/>
              <w:spacing w:line="240" w:lineRule="exact"/>
              <w:ind w:left="32" w:right="32"/>
              <w:jc w:val="center"/>
              <w:rPr>
                <w:sz w:val="21"/>
              </w:rPr>
            </w:pPr>
            <w:r>
              <w:rPr>
                <w:sz w:val="21"/>
              </w:rPr>
              <w:t>20097</w:t>
            </w:r>
          </w:p>
        </w:tc>
        <w:tc>
          <w:tcPr>
            <w:tcW w:w="1993" w:type="dxa"/>
          </w:tcPr>
          <w:p>
            <w:pPr>
              <w:pStyle w:val="TableParagraph"/>
              <w:spacing w:line="240" w:lineRule="exact"/>
              <w:ind w:left="51"/>
              <w:rPr>
                <w:sz w:val="21"/>
              </w:rPr>
            </w:pPr>
            <w:r>
              <w:rPr>
                <w:sz w:val="21"/>
              </w:rPr>
              <w:t>防护服 一般要求</w:t>
            </w:r>
          </w:p>
        </w:tc>
      </w:tr>
      <w:tr>
        <w:tblPrEx>
          <w:tblW w:w="0" w:type="auto"/>
          <w:tblInd w:w="555" w:type="dxa"/>
          <w:tblLayout w:type="fixed"/>
          <w:tblCellMar>
            <w:top w:w="0" w:type="dxa"/>
            <w:left w:w="0" w:type="dxa"/>
            <w:bottom w:w="0" w:type="dxa"/>
            <w:right w:w="0" w:type="dxa"/>
          </w:tblCellMar>
        </w:tblPrEx>
        <w:trPr>
          <w:trHeight w:val="312"/>
        </w:trPr>
        <w:tc>
          <w:tcPr>
            <w:tcW w:w="523" w:type="dxa"/>
          </w:tcPr>
          <w:p>
            <w:pPr>
              <w:pStyle w:val="TableParagraph"/>
              <w:spacing w:before="21"/>
              <w:ind w:left="30" w:right="32"/>
              <w:jc w:val="center"/>
              <w:rPr>
                <w:sz w:val="21"/>
              </w:rPr>
            </w:pPr>
            <w:r>
              <w:rPr>
                <w:sz w:val="21"/>
              </w:rPr>
              <w:t>GB/T</w:t>
            </w:r>
          </w:p>
        </w:tc>
        <w:tc>
          <w:tcPr>
            <w:tcW w:w="630" w:type="dxa"/>
          </w:tcPr>
          <w:p>
            <w:pPr>
              <w:pStyle w:val="TableParagraph"/>
              <w:spacing w:before="21"/>
              <w:ind w:left="32" w:right="32"/>
              <w:jc w:val="center"/>
              <w:rPr>
                <w:sz w:val="21"/>
              </w:rPr>
            </w:pPr>
            <w:r>
              <w:rPr>
                <w:sz w:val="21"/>
              </w:rPr>
              <w:t>24720</w:t>
            </w:r>
          </w:p>
        </w:tc>
        <w:tc>
          <w:tcPr>
            <w:tcW w:w="1993" w:type="dxa"/>
          </w:tcPr>
          <w:p>
            <w:pPr>
              <w:pStyle w:val="TableParagraph"/>
              <w:spacing w:before="21"/>
              <w:ind w:left="51"/>
              <w:rPr>
                <w:sz w:val="21"/>
              </w:rPr>
            </w:pPr>
            <w:r>
              <w:rPr>
                <w:sz w:val="21"/>
              </w:rPr>
              <w:t>交通锥</w:t>
            </w:r>
          </w:p>
        </w:tc>
      </w:tr>
      <w:tr>
        <w:tblPrEx>
          <w:tblW w:w="0" w:type="auto"/>
          <w:tblInd w:w="555" w:type="dxa"/>
          <w:tblLayout w:type="fixed"/>
          <w:tblCellMar>
            <w:top w:w="0" w:type="dxa"/>
            <w:left w:w="0" w:type="dxa"/>
            <w:bottom w:w="0" w:type="dxa"/>
            <w:right w:w="0" w:type="dxa"/>
          </w:tblCellMar>
        </w:tblPrEx>
        <w:trPr>
          <w:trHeight w:val="311"/>
        </w:trPr>
        <w:tc>
          <w:tcPr>
            <w:tcW w:w="523" w:type="dxa"/>
          </w:tcPr>
          <w:p>
            <w:pPr>
              <w:pStyle w:val="TableParagraph"/>
              <w:spacing w:before="21"/>
              <w:ind w:left="30" w:right="32"/>
              <w:jc w:val="center"/>
              <w:rPr>
                <w:sz w:val="21"/>
              </w:rPr>
            </w:pPr>
            <w:r>
              <w:rPr>
                <w:sz w:val="21"/>
              </w:rPr>
              <w:t>GB/T</w:t>
            </w:r>
          </w:p>
        </w:tc>
        <w:tc>
          <w:tcPr>
            <w:tcW w:w="630" w:type="dxa"/>
          </w:tcPr>
          <w:p>
            <w:pPr>
              <w:pStyle w:val="TableParagraph"/>
              <w:spacing w:before="21"/>
              <w:ind w:left="32" w:right="32"/>
              <w:jc w:val="center"/>
              <w:rPr>
                <w:sz w:val="21"/>
              </w:rPr>
            </w:pPr>
            <w:r>
              <w:rPr>
                <w:sz w:val="21"/>
              </w:rPr>
              <w:t>28650</w:t>
            </w:r>
          </w:p>
        </w:tc>
        <w:tc>
          <w:tcPr>
            <w:tcW w:w="1993" w:type="dxa"/>
          </w:tcPr>
          <w:p>
            <w:pPr>
              <w:pStyle w:val="TableParagraph"/>
              <w:spacing w:before="21"/>
              <w:ind w:left="51"/>
              <w:rPr>
                <w:sz w:val="21"/>
              </w:rPr>
            </w:pPr>
            <w:r>
              <w:rPr>
                <w:sz w:val="21"/>
              </w:rPr>
              <w:t>公路防撞桶</w:t>
            </w:r>
          </w:p>
        </w:tc>
      </w:tr>
      <w:tr>
        <w:tblPrEx>
          <w:tblW w:w="0" w:type="auto"/>
          <w:tblInd w:w="555" w:type="dxa"/>
          <w:tblLayout w:type="fixed"/>
          <w:tblCellMar>
            <w:top w:w="0" w:type="dxa"/>
            <w:left w:w="0" w:type="dxa"/>
            <w:bottom w:w="0" w:type="dxa"/>
            <w:right w:w="0" w:type="dxa"/>
          </w:tblCellMar>
        </w:tblPrEx>
        <w:trPr>
          <w:trHeight w:val="261"/>
        </w:trPr>
        <w:tc>
          <w:tcPr>
            <w:tcW w:w="523" w:type="dxa"/>
          </w:tcPr>
          <w:p>
            <w:pPr>
              <w:pStyle w:val="TableParagraph"/>
              <w:spacing w:before="21" w:line="220" w:lineRule="exact"/>
              <w:ind w:left="30" w:right="32"/>
              <w:jc w:val="center"/>
              <w:rPr>
                <w:sz w:val="21"/>
              </w:rPr>
            </w:pPr>
            <w:r>
              <w:rPr>
                <w:sz w:val="21"/>
              </w:rPr>
              <w:t>GB/T</w:t>
            </w:r>
          </w:p>
        </w:tc>
        <w:tc>
          <w:tcPr>
            <w:tcW w:w="630" w:type="dxa"/>
          </w:tcPr>
          <w:p>
            <w:pPr>
              <w:pStyle w:val="TableParagraph"/>
              <w:spacing w:before="21" w:line="220" w:lineRule="exact"/>
              <w:ind w:left="32" w:right="32"/>
              <w:jc w:val="center"/>
              <w:rPr>
                <w:sz w:val="21"/>
              </w:rPr>
            </w:pPr>
            <w:r>
              <w:rPr>
                <w:sz w:val="21"/>
              </w:rPr>
              <w:t>28651</w:t>
            </w:r>
          </w:p>
        </w:tc>
        <w:tc>
          <w:tcPr>
            <w:tcW w:w="1993" w:type="dxa"/>
          </w:tcPr>
          <w:p>
            <w:pPr>
              <w:pStyle w:val="TableParagraph"/>
              <w:spacing w:before="21" w:line="220" w:lineRule="exact"/>
              <w:ind w:left="51"/>
              <w:rPr>
                <w:sz w:val="21"/>
              </w:rPr>
            </w:pPr>
            <w:r>
              <w:rPr>
                <w:sz w:val="21"/>
              </w:rPr>
              <w:t>公路临时性交通标志</w:t>
            </w:r>
          </w:p>
        </w:tc>
      </w:tr>
    </w:tbl>
    <w:p>
      <w:pPr>
        <w:pStyle w:val="BodyText"/>
        <w:spacing w:before="73" w:line="278" w:lineRule="auto"/>
        <w:ind w:left="598" w:right="5452"/>
      </w:pPr>
      <w:r>
        <w:t>JGJ 46 施工现场临时用电安全技术规范JTG D81 公路交通安全设施设计规范JTG H30 公路养护安全作业规程</w:t>
      </w:r>
    </w:p>
    <w:p>
      <w:pPr>
        <w:pStyle w:val="BodyText"/>
        <w:spacing w:line="269" w:lineRule="exact"/>
        <w:ind w:left="598"/>
      </w:pPr>
      <w:r>
        <w:t>DB32/T 1363 高速公路养护工程施工安全技术规程</w:t>
      </w:r>
    </w:p>
    <w:p>
      <w:pPr>
        <w:pStyle w:val="BodyText"/>
        <w:spacing w:before="8"/>
        <w:rPr>
          <w:sz w:val="27"/>
        </w:rPr>
      </w:pPr>
    </w:p>
    <w:p>
      <w:pPr>
        <w:pStyle w:val="ListParagraph"/>
        <w:numPr>
          <w:ilvl w:val="0"/>
          <w:numId w:val="6"/>
        </w:numPr>
        <w:tabs>
          <w:tab w:val="left" w:pos="492"/>
          <w:tab w:val="left" w:pos="493"/>
        </w:tabs>
        <w:spacing w:before="1" w:after="0" w:line="240" w:lineRule="auto"/>
        <w:ind w:left="493" w:right="0" w:hanging="315"/>
        <w:jc w:val="left"/>
        <w:rPr>
          <w:rFonts w:ascii="黑体" w:eastAsia="黑体" w:hint="eastAsia"/>
          <w:sz w:val="21"/>
        </w:rPr>
      </w:pPr>
      <w:bookmarkStart w:id="3" w:name="_bookmark2"/>
      <w:bookmarkEnd w:id="3"/>
      <w:r>
        <w:rPr>
          <w:rFonts w:ascii="黑体" w:eastAsia="黑体" w:hint="eastAsia"/>
          <w:sz w:val="21"/>
        </w:rPr>
        <w:t>术语和定义</w:t>
      </w:r>
    </w:p>
    <w:p>
      <w:pPr>
        <w:pStyle w:val="BodyText"/>
        <w:spacing w:before="8"/>
        <w:rPr>
          <w:rFonts w:ascii="黑体"/>
          <w:sz w:val="27"/>
        </w:rPr>
      </w:pPr>
    </w:p>
    <w:p>
      <w:pPr>
        <w:pStyle w:val="BodyText"/>
        <w:spacing w:before="1" w:line="278" w:lineRule="auto"/>
        <w:ind w:left="178" w:right="118" w:firstLine="420"/>
      </w:pPr>
      <w:r>
        <w:t>JTG H30界定的以及下列术语和定义适用于本文件。为了便于使用，以下重复列出了JTG H30</w:t>
      </w:r>
      <w:r>
        <w:rPr>
          <w:spacing w:val="-7"/>
        </w:rPr>
        <w:t>中的某</w:t>
      </w:r>
      <w:r>
        <w:t>些术语和定义。</w:t>
      </w:r>
    </w:p>
    <w:p>
      <w:pPr>
        <w:pStyle w:val="BodyText"/>
        <w:spacing w:before="162"/>
        <w:ind w:left="178"/>
        <w:rPr>
          <w:rFonts w:ascii="黑体"/>
        </w:rPr>
      </w:pPr>
      <w:r>
        <w:rPr>
          <w:rFonts w:ascii="黑体"/>
        </w:rPr>
        <w:t>3.1</w:t>
      </w:r>
    </w:p>
    <w:p>
      <w:pPr>
        <w:pStyle w:val="BodyText"/>
        <w:rPr>
          <w:rFonts w:ascii="黑体"/>
          <w:sz w:val="15"/>
        </w:rPr>
      </w:pPr>
    </w:p>
    <w:p>
      <w:pPr>
        <w:pStyle w:val="BodyText"/>
        <w:ind w:left="598"/>
        <w:rPr>
          <w:rFonts w:ascii="黑体" w:eastAsia="黑体" w:hint="eastAsia"/>
        </w:rPr>
      </w:pPr>
      <w:r>
        <w:rPr>
          <w:rFonts w:ascii="黑体" w:eastAsia="黑体" w:hint="eastAsia"/>
        </w:rPr>
        <w:t>短期养护作业 short-term maintenance work</w:t>
      </w:r>
    </w:p>
    <w:p>
      <w:pPr>
        <w:pStyle w:val="BodyText"/>
        <w:spacing w:before="43"/>
        <w:ind w:left="598"/>
      </w:pPr>
      <w:r>
        <w:t>定点作业时间大于4h且小于或等于24h的各类养护作业。</w:t>
      </w:r>
    </w:p>
    <w:p>
      <w:pPr>
        <w:pStyle w:val="BodyText"/>
        <w:spacing w:before="43"/>
        <w:ind w:left="598"/>
      </w:pPr>
      <w:r>
        <w:t>[JTG H30-2015，定义2.1.2]</w:t>
      </w:r>
    </w:p>
    <w:p>
      <w:pPr>
        <w:pStyle w:val="BodyText"/>
        <w:spacing w:before="1"/>
        <w:rPr>
          <w:sz w:val="16"/>
        </w:rPr>
      </w:pPr>
    </w:p>
    <w:p>
      <w:pPr>
        <w:pStyle w:val="BodyText"/>
        <w:ind w:left="178"/>
        <w:rPr>
          <w:rFonts w:ascii="黑体"/>
        </w:rPr>
      </w:pPr>
      <w:r>
        <w:rPr>
          <w:rFonts w:ascii="黑体"/>
        </w:rPr>
        <w:t>3.2</w:t>
      </w:r>
    </w:p>
    <w:p>
      <w:pPr>
        <w:pStyle w:val="BodyText"/>
        <w:spacing w:before="12"/>
        <w:rPr>
          <w:rFonts w:ascii="黑体"/>
          <w:sz w:val="14"/>
        </w:rPr>
      </w:pPr>
    </w:p>
    <w:p>
      <w:pPr>
        <w:pStyle w:val="BodyText"/>
        <w:ind w:left="598"/>
        <w:rPr>
          <w:rFonts w:ascii="黑体" w:eastAsia="黑体" w:hint="eastAsia"/>
        </w:rPr>
      </w:pPr>
      <w:r>
        <w:rPr>
          <w:rFonts w:ascii="黑体" w:eastAsia="黑体" w:hint="eastAsia"/>
        </w:rPr>
        <w:t>临时养护作业 temporary maintenance work</w:t>
      </w:r>
    </w:p>
    <w:p>
      <w:pPr>
        <w:pStyle w:val="BodyText"/>
        <w:spacing w:before="43"/>
        <w:ind w:left="598"/>
      </w:pPr>
      <w:r>
        <w:t>定点作业时间大于30min且小于或等于4h的各类养护作业。</w:t>
      </w:r>
    </w:p>
    <w:p>
      <w:pPr>
        <w:pStyle w:val="BodyText"/>
        <w:spacing w:before="43"/>
        <w:ind w:left="598"/>
      </w:pPr>
      <w:r>
        <w:t>[JTG H30-2015，定义2.1.3]</w:t>
      </w:r>
    </w:p>
    <w:p>
      <w:pPr>
        <w:pStyle w:val="BodyText"/>
        <w:spacing w:before="1"/>
        <w:rPr>
          <w:sz w:val="16"/>
        </w:rPr>
      </w:pPr>
    </w:p>
    <w:p>
      <w:pPr>
        <w:pStyle w:val="BodyText"/>
        <w:ind w:left="178"/>
        <w:rPr>
          <w:rFonts w:ascii="黑体"/>
        </w:rPr>
      </w:pPr>
      <w:r>
        <w:rPr>
          <w:rFonts w:ascii="黑体"/>
        </w:rPr>
        <w:t>3.3</w:t>
      </w:r>
    </w:p>
    <w:p>
      <w:pPr>
        <w:pStyle w:val="BodyText"/>
        <w:rPr>
          <w:rFonts w:ascii="黑体"/>
          <w:sz w:val="15"/>
        </w:rPr>
      </w:pPr>
    </w:p>
    <w:p>
      <w:pPr>
        <w:pStyle w:val="BodyText"/>
        <w:ind w:left="598"/>
        <w:rPr>
          <w:rFonts w:ascii="黑体" w:eastAsia="黑体" w:hint="eastAsia"/>
        </w:rPr>
      </w:pPr>
      <w:r>
        <w:rPr>
          <w:rFonts w:ascii="黑体" w:eastAsia="黑体" w:hint="eastAsia"/>
        </w:rPr>
        <w:t>养护作业控制区 traffic control zone for maintenance work</w:t>
      </w:r>
    </w:p>
    <w:p>
      <w:pPr>
        <w:spacing w:after="0"/>
        <w:rPr>
          <w:rFonts w:ascii="黑体" w:eastAsia="黑体" w:hint="eastAsia"/>
        </w:rPr>
        <w:sectPr>
          <w:footerReference w:type="default" r:id="rId6"/>
          <w:type w:val="nextPage"/>
          <w:pgSz w:w="11910" w:h="16840"/>
          <w:pgMar w:top="1580" w:right="940" w:bottom="1320" w:left="1240" w:header="0" w:footer="1125" w:gutter="0"/>
          <w:pgNumType w:start="2"/>
          <w:cols w:num="1" w:space="720"/>
          <w:titlePg w:val="0"/>
        </w:sectPr>
      </w:pPr>
    </w:p>
    <w:p>
      <w:pPr>
        <w:pStyle w:val="BodyText"/>
        <w:spacing w:before="8"/>
        <w:rPr>
          <w:rFonts w:ascii="黑体"/>
          <w:sz w:val="20"/>
        </w:rPr>
      </w:pPr>
    </w:p>
    <w:p>
      <w:pPr>
        <w:pStyle w:val="BodyText"/>
        <w:spacing w:before="71" w:line="278" w:lineRule="auto"/>
        <w:ind w:left="178" w:right="191" w:firstLine="420"/>
      </w:pPr>
      <w:r>
        <w:t>为公路养护作业所设置的交通管控区域，分为警告、上游过渡、缓冲、工作、下游过渡、终止区等区域。</w:t>
      </w:r>
    </w:p>
    <w:p>
      <w:pPr>
        <w:pStyle w:val="BodyText"/>
        <w:spacing w:line="269" w:lineRule="exact"/>
        <w:ind w:left="598"/>
      </w:pPr>
      <w:r>
        <w:t>[JTG H30-2015，定义2.1.5]</w:t>
      </w:r>
    </w:p>
    <w:p>
      <w:pPr>
        <w:pStyle w:val="BodyText"/>
        <w:rPr>
          <w:sz w:val="16"/>
        </w:rPr>
      </w:pPr>
    </w:p>
    <w:p>
      <w:pPr>
        <w:pStyle w:val="BodyText"/>
        <w:spacing w:before="1"/>
        <w:ind w:left="178"/>
        <w:rPr>
          <w:rFonts w:ascii="黑体"/>
        </w:rPr>
      </w:pPr>
      <w:r>
        <w:rPr>
          <w:rFonts w:ascii="黑体"/>
        </w:rPr>
        <w:t>3.4</w:t>
      </w:r>
    </w:p>
    <w:p>
      <w:pPr>
        <w:pStyle w:val="BodyText"/>
        <w:spacing w:before="12"/>
        <w:rPr>
          <w:rFonts w:ascii="黑体"/>
          <w:sz w:val="14"/>
        </w:rPr>
      </w:pPr>
    </w:p>
    <w:p>
      <w:pPr>
        <w:pStyle w:val="BodyText"/>
        <w:ind w:left="598"/>
        <w:rPr>
          <w:rFonts w:ascii="黑体" w:eastAsia="黑体" w:hint="eastAsia"/>
        </w:rPr>
      </w:pPr>
      <w:r>
        <w:rPr>
          <w:rFonts w:ascii="黑体" w:eastAsia="黑体" w:hint="eastAsia"/>
        </w:rPr>
        <w:t>警告区 advance warming area</w:t>
      </w:r>
    </w:p>
    <w:p>
      <w:pPr>
        <w:pStyle w:val="BodyText"/>
        <w:spacing w:before="43" w:line="278" w:lineRule="auto"/>
        <w:ind w:left="178" w:right="191" w:firstLine="420"/>
      </w:pPr>
      <w:r>
        <w:t>从公路养护作业控制区起点布设施工标志到上游过渡区起点之间的区域，用以警告驾驶人员已进入养护作业区域，按交通标志调整行车状态。</w:t>
      </w:r>
    </w:p>
    <w:p>
      <w:pPr>
        <w:pStyle w:val="BodyText"/>
        <w:spacing w:line="269" w:lineRule="exact"/>
        <w:ind w:left="598"/>
      </w:pPr>
      <w:r>
        <w:t>[JTG H30-2015，定义2.1.6]</w:t>
      </w:r>
    </w:p>
    <w:p>
      <w:pPr>
        <w:pStyle w:val="BodyText"/>
        <w:spacing w:before="7"/>
        <w:rPr>
          <w:sz w:val="15"/>
        </w:rPr>
      </w:pPr>
    </w:p>
    <w:p>
      <w:pPr>
        <w:pStyle w:val="BodyText"/>
        <w:ind w:left="178"/>
        <w:rPr>
          <w:rFonts w:ascii="黑体"/>
        </w:rPr>
      </w:pPr>
      <w:r>
        <w:rPr>
          <w:rFonts w:ascii="黑体"/>
        </w:rPr>
        <w:t>3.5</w:t>
      </w:r>
    </w:p>
    <w:p>
      <w:pPr>
        <w:pStyle w:val="BodyText"/>
        <w:spacing w:before="7"/>
        <w:rPr>
          <w:rFonts w:ascii="黑体"/>
          <w:sz w:val="15"/>
        </w:rPr>
      </w:pPr>
    </w:p>
    <w:p>
      <w:pPr>
        <w:pStyle w:val="BodyText"/>
        <w:ind w:left="598"/>
        <w:rPr>
          <w:rFonts w:ascii="黑体" w:eastAsia="黑体" w:hint="eastAsia"/>
        </w:rPr>
      </w:pPr>
      <w:r>
        <w:rPr>
          <w:rFonts w:ascii="黑体" w:eastAsia="黑体" w:hint="eastAsia"/>
        </w:rPr>
        <w:t>上游过渡区 upstream transition area</w:t>
      </w:r>
    </w:p>
    <w:p>
      <w:pPr>
        <w:pStyle w:val="BodyText"/>
        <w:spacing w:before="43"/>
        <w:ind w:left="598"/>
      </w:pPr>
      <w:r>
        <w:t>保证车辆从警告区终点封闭车道平稳地过渡到缓冲区起点侧面非封闭车道之间的区域。</w:t>
      </w:r>
    </w:p>
    <w:p>
      <w:pPr>
        <w:pStyle w:val="BodyText"/>
        <w:spacing w:before="43"/>
        <w:ind w:left="598"/>
      </w:pPr>
      <w:r>
        <w:t>[JTG H30-2015，定义2.1.7]</w:t>
      </w:r>
    </w:p>
    <w:p>
      <w:pPr>
        <w:pStyle w:val="BodyText"/>
        <w:spacing w:before="6"/>
        <w:rPr>
          <w:sz w:val="15"/>
        </w:rPr>
      </w:pPr>
    </w:p>
    <w:p>
      <w:pPr>
        <w:pStyle w:val="BodyText"/>
        <w:ind w:left="178"/>
        <w:rPr>
          <w:rFonts w:ascii="黑体"/>
        </w:rPr>
      </w:pPr>
      <w:r>
        <w:rPr>
          <w:rFonts w:ascii="黑体"/>
        </w:rPr>
        <w:t>3.6</w:t>
      </w:r>
    </w:p>
    <w:p>
      <w:pPr>
        <w:pStyle w:val="BodyText"/>
        <w:spacing w:before="7"/>
        <w:rPr>
          <w:rFonts w:ascii="黑体"/>
          <w:sz w:val="15"/>
        </w:rPr>
      </w:pPr>
    </w:p>
    <w:p>
      <w:pPr>
        <w:pStyle w:val="BodyText"/>
        <w:ind w:left="598"/>
        <w:rPr>
          <w:rFonts w:ascii="黑体" w:eastAsia="黑体" w:hint="eastAsia"/>
        </w:rPr>
      </w:pPr>
      <w:r>
        <w:rPr>
          <w:rFonts w:ascii="黑体" w:eastAsia="黑体" w:hint="eastAsia"/>
        </w:rPr>
        <w:t>纵向缓冲区 longitudinal buffer area</w:t>
      </w:r>
    </w:p>
    <w:p>
      <w:pPr>
        <w:pStyle w:val="BodyText"/>
        <w:spacing w:before="43"/>
        <w:ind w:left="598"/>
      </w:pPr>
      <w:r>
        <w:t>上游过渡区终点到工作区起点之间的安全缓冲区域。</w:t>
      </w:r>
    </w:p>
    <w:p>
      <w:pPr>
        <w:pStyle w:val="BodyText"/>
        <w:spacing w:before="43"/>
        <w:ind w:left="598"/>
      </w:pPr>
      <w:r>
        <w:t>[JTG H30-2015，定义2.1.8]</w:t>
      </w:r>
    </w:p>
    <w:p>
      <w:pPr>
        <w:pStyle w:val="BodyText"/>
        <w:spacing w:before="7"/>
        <w:rPr>
          <w:sz w:val="15"/>
        </w:rPr>
      </w:pPr>
    </w:p>
    <w:p>
      <w:pPr>
        <w:pStyle w:val="BodyText"/>
        <w:ind w:left="178"/>
        <w:rPr>
          <w:rFonts w:ascii="黑体"/>
        </w:rPr>
      </w:pPr>
      <w:r>
        <w:rPr>
          <w:rFonts w:ascii="黑体"/>
        </w:rPr>
        <w:t>3.7</w:t>
      </w:r>
    </w:p>
    <w:p>
      <w:pPr>
        <w:pStyle w:val="BodyText"/>
        <w:spacing w:before="6"/>
        <w:rPr>
          <w:rFonts w:ascii="黑体"/>
          <w:sz w:val="15"/>
        </w:rPr>
      </w:pPr>
    </w:p>
    <w:p>
      <w:pPr>
        <w:pStyle w:val="BodyText"/>
        <w:spacing w:before="1"/>
        <w:ind w:left="598"/>
        <w:rPr>
          <w:rFonts w:ascii="黑体" w:eastAsia="黑体" w:hint="eastAsia"/>
        </w:rPr>
      </w:pPr>
      <w:r>
        <w:rPr>
          <w:rFonts w:ascii="黑体" w:eastAsia="黑体" w:hint="eastAsia"/>
        </w:rPr>
        <w:t>横向缓冲区 transverse buffer area</w:t>
      </w:r>
    </w:p>
    <w:p>
      <w:pPr>
        <w:pStyle w:val="BodyText"/>
        <w:spacing w:before="43"/>
        <w:ind w:left="598"/>
      </w:pPr>
      <w:r>
        <w:t>布置于纵向缓冲区和工作区与非封闭车道之间，保障养护作业人员和设备横向安全的区域。</w:t>
      </w:r>
    </w:p>
    <w:p>
      <w:pPr>
        <w:pStyle w:val="BodyText"/>
        <w:spacing w:before="42"/>
        <w:ind w:left="598"/>
      </w:pPr>
      <w:r>
        <w:t>[JTG H30-2015，定义2.1.9]</w:t>
      </w:r>
    </w:p>
    <w:p>
      <w:pPr>
        <w:pStyle w:val="BodyText"/>
        <w:spacing w:before="7"/>
        <w:rPr>
          <w:sz w:val="15"/>
        </w:rPr>
      </w:pPr>
    </w:p>
    <w:p>
      <w:pPr>
        <w:pStyle w:val="BodyText"/>
        <w:ind w:left="178"/>
        <w:rPr>
          <w:rFonts w:ascii="黑体"/>
        </w:rPr>
      </w:pPr>
      <w:r>
        <w:rPr>
          <w:rFonts w:ascii="黑体"/>
        </w:rPr>
        <w:t>3.8</w:t>
      </w:r>
    </w:p>
    <w:p>
      <w:pPr>
        <w:pStyle w:val="BodyText"/>
        <w:spacing w:before="7"/>
        <w:rPr>
          <w:rFonts w:ascii="黑体"/>
          <w:sz w:val="15"/>
        </w:rPr>
      </w:pPr>
    </w:p>
    <w:p>
      <w:pPr>
        <w:pStyle w:val="BodyText"/>
        <w:ind w:left="598"/>
        <w:rPr>
          <w:rFonts w:ascii="黑体" w:eastAsia="黑体" w:hint="eastAsia"/>
        </w:rPr>
      </w:pPr>
      <w:r>
        <w:rPr>
          <w:rFonts w:ascii="黑体" w:eastAsia="黑体" w:hint="eastAsia"/>
        </w:rPr>
        <w:t>工作区 activity area</w:t>
      </w:r>
    </w:p>
    <w:p>
      <w:pPr>
        <w:pStyle w:val="BodyText"/>
        <w:spacing w:before="43"/>
        <w:ind w:left="598"/>
      </w:pPr>
      <w:r>
        <w:t>从纵向缓冲区终点到下游过渡区起点之间的施工作业区域。</w:t>
      </w:r>
    </w:p>
    <w:p>
      <w:pPr>
        <w:pStyle w:val="BodyText"/>
        <w:spacing w:before="43"/>
        <w:ind w:left="598"/>
      </w:pPr>
      <w:r>
        <w:t>[JTG H30-2015，定义2.1.10]</w:t>
      </w:r>
    </w:p>
    <w:p>
      <w:pPr>
        <w:pStyle w:val="BodyText"/>
        <w:spacing w:before="6"/>
        <w:rPr>
          <w:sz w:val="15"/>
        </w:rPr>
      </w:pPr>
    </w:p>
    <w:p>
      <w:pPr>
        <w:pStyle w:val="BodyText"/>
        <w:spacing w:before="1"/>
        <w:ind w:left="178"/>
        <w:rPr>
          <w:rFonts w:ascii="黑体"/>
        </w:rPr>
      </w:pPr>
      <w:r>
        <w:rPr>
          <w:rFonts w:ascii="黑体"/>
        </w:rPr>
        <w:t>3.9</w:t>
      </w:r>
    </w:p>
    <w:p>
      <w:pPr>
        <w:pStyle w:val="BodyText"/>
        <w:spacing w:before="6"/>
        <w:rPr>
          <w:rFonts w:ascii="黑体"/>
          <w:sz w:val="15"/>
        </w:rPr>
      </w:pPr>
    </w:p>
    <w:p>
      <w:pPr>
        <w:pStyle w:val="BodyText"/>
        <w:ind w:left="598"/>
        <w:rPr>
          <w:rFonts w:ascii="黑体" w:eastAsia="黑体" w:hint="eastAsia"/>
        </w:rPr>
      </w:pPr>
      <w:r>
        <w:rPr>
          <w:rFonts w:ascii="黑体" w:eastAsia="黑体" w:hint="eastAsia"/>
        </w:rPr>
        <w:t>下游过渡区 downstream transition area</w:t>
      </w:r>
    </w:p>
    <w:p>
      <w:pPr>
        <w:pStyle w:val="BodyText"/>
        <w:spacing w:before="43"/>
        <w:ind w:left="598"/>
      </w:pPr>
      <w:r>
        <w:t>保证车辆从工作区终点非封闭车道平稳地横向过渡到终止区起点之间的区域。</w:t>
      </w:r>
    </w:p>
    <w:p>
      <w:pPr>
        <w:pStyle w:val="BodyText"/>
        <w:spacing w:before="43"/>
        <w:ind w:left="598"/>
      </w:pPr>
      <w:r>
        <w:t>[JTG H30-2015，定义2.1.11]</w:t>
      </w:r>
    </w:p>
    <w:p>
      <w:pPr>
        <w:pStyle w:val="BodyText"/>
        <w:spacing w:before="7"/>
        <w:rPr>
          <w:sz w:val="15"/>
        </w:rPr>
      </w:pPr>
    </w:p>
    <w:p>
      <w:pPr>
        <w:pStyle w:val="BodyText"/>
        <w:ind w:left="178"/>
        <w:rPr>
          <w:rFonts w:ascii="黑体"/>
        </w:rPr>
      </w:pPr>
      <w:r>
        <w:rPr>
          <w:rFonts w:ascii="黑体"/>
        </w:rPr>
        <w:t>3.10</w:t>
      </w:r>
    </w:p>
    <w:p>
      <w:pPr>
        <w:pStyle w:val="BodyText"/>
        <w:spacing w:before="7"/>
        <w:rPr>
          <w:rFonts w:ascii="黑体"/>
          <w:sz w:val="15"/>
        </w:rPr>
      </w:pPr>
    </w:p>
    <w:p>
      <w:pPr>
        <w:pStyle w:val="BodyText"/>
        <w:ind w:left="598"/>
        <w:rPr>
          <w:rFonts w:ascii="黑体" w:eastAsia="黑体" w:hint="eastAsia"/>
        </w:rPr>
      </w:pPr>
      <w:r>
        <w:rPr>
          <w:rFonts w:ascii="黑体" w:eastAsia="黑体" w:hint="eastAsia"/>
        </w:rPr>
        <w:t>终止区 termination area</w:t>
      </w:r>
    </w:p>
    <w:p>
      <w:pPr>
        <w:pStyle w:val="BodyText"/>
        <w:spacing w:before="43"/>
        <w:ind w:left="598"/>
      </w:pPr>
      <w:r>
        <w:t>设置于下游过渡区后调整车辆恢复到正常行车状态的区域。</w:t>
      </w:r>
    </w:p>
    <w:p>
      <w:pPr>
        <w:pStyle w:val="BodyText"/>
        <w:spacing w:before="43"/>
        <w:ind w:left="598"/>
      </w:pPr>
      <w:r>
        <w:t>[JTG H30-2015，定义2.1.12]</w:t>
      </w:r>
    </w:p>
    <w:p>
      <w:pPr>
        <w:pStyle w:val="BodyText"/>
        <w:spacing w:before="6"/>
        <w:rPr>
          <w:sz w:val="15"/>
        </w:rPr>
      </w:pPr>
    </w:p>
    <w:p>
      <w:pPr>
        <w:pStyle w:val="BodyText"/>
        <w:ind w:left="178"/>
        <w:rPr>
          <w:rFonts w:ascii="黑体"/>
        </w:rPr>
      </w:pPr>
      <w:r>
        <w:rPr>
          <w:rFonts w:ascii="黑体"/>
        </w:rPr>
        <w:t>3.11</w:t>
      </w:r>
    </w:p>
    <w:p>
      <w:pPr>
        <w:pStyle w:val="BodyText"/>
        <w:spacing w:before="7"/>
        <w:rPr>
          <w:rFonts w:ascii="黑体"/>
          <w:sz w:val="15"/>
        </w:rPr>
      </w:pPr>
    </w:p>
    <w:p>
      <w:pPr>
        <w:pStyle w:val="BodyText"/>
        <w:ind w:left="598"/>
        <w:rPr>
          <w:rFonts w:ascii="黑体" w:eastAsia="黑体" w:hint="eastAsia"/>
        </w:rPr>
      </w:pPr>
      <w:r>
        <w:rPr>
          <w:rFonts w:ascii="黑体" w:eastAsia="黑体" w:hint="eastAsia"/>
        </w:rPr>
        <w:t>防撞车 anti-collision vehicle</w:t>
      </w:r>
    </w:p>
    <w:p>
      <w:pPr>
        <w:spacing w:after="0"/>
        <w:rPr>
          <w:rFonts w:ascii="黑体" w:eastAsia="黑体" w:hint="eastAsia"/>
        </w:rPr>
        <w:sectPr>
          <w:footerReference w:type="default" r:id="rId7"/>
          <w:pgSz w:w="11910" w:h="16840"/>
          <w:pgMar w:top="1580" w:right="940" w:bottom="1320" w:left="1240" w:header="0" w:footer="1125" w:gutter="0"/>
          <w:pgNumType w:start="3"/>
          <w:cols w:num="1" w:space="720"/>
        </w:sectPr>
      </w:pPr>
    </w:p>
    <w:p>
      <w:pPr>
        <w:pStyle w:val="BodyText"/>
        <w:spacing w:before="8"/>
        <w:rPr>
          <w:rFonts w:ascii="黑体"/>
          <w:sz w:val="20"/>
        </w:rPr>
      </w:pPr>
    </w:p>
    <w:p>
      <w:pPr>
        <w:pStyle w:val="BodyText"/>
        <w:spacing w:before="71" w:line="278" w:lineRule="auto"/>
        <w:ind w:left="178" w:right="191" w:firstLine="420"/>
      </w:pPr>
      <w:r>
        <w:t>在车辆后部挂装车载式防撞垫、导向标志架等装置，用于保护养护作业控制区人员和设备安全的一种车辆。</w:t>
      </w:r>
    </w:p>
    <w:p>
      <w:pPr>
        <w:pStyle w:val="BodyText"/>
        <w:spacing w:before="4"/>
        <w:rPr>
          <w:sz w:val="24"/>
        </w:rPr>
      </w:pPr>
    </w:p>
    <w:p>
      <w:pPr>
        <w:pStyle w:val="ListParagraph"/>
        <w:numPr>
          <w:ilvl w:val="0"/>
          <w:numId w:val="2"/>
        </w:numPr>
        <w:tabs>
          <w:tab w:val="left" w:pos="492"/>
          <w:tab w:val="left" w:pos="493"/>
        </w:tabs>
        <w:spacing w:before="0" w:after="0" w:line="240" w:lineRule="auto"/>
        <w:ind w:left="493" w:right="0" w:hanging="315"/>
        <w:jc w:val="left"/>
        <w:rPr>
          <w:rFonts w:ascii="黑体" w:eastAsia="黑体" w:hint="eastAsia"/>
          <w:sz w:val="21"/>
        </w:rPr>
      </w:pPr>
      <w:bookmarkStart w:id="4" w:name="_bookmark3"/>
      <w:bookmarkEnd w:id="4"/>
      <w:r>
        <w:rPr>
          <w:rFonts w:ascii="黑体" w:eastAsia="黑体" w:hint="eastAsia"/>
          <w:sz w:val="21"/>
        </w:rPr>
        <w:t>符号</w:t>
      </w:r>
    </w:p>
    <w:p>
      <w:pPr>
        <w:pStyle w:val="BodyText"/>
        <w:spacing w:before="9"/>
        <w:rPr>
          <w:rFonts w:ascii="黑体"/>
          <w:sz w:val="27"/>
        </w:rPr>
      </w:pPr>
    </w:p>
    <w:p>
      <w:pPr>
        <w:pStyle w:val="BodyText"/>
        <w:spacing w:line="278" w:lineRule="auto"/>
        <w:ind w:left="598" w:right="6817"/>
      </w:pPr>
      <w:r>
        <w:rPr>
          <w:spacing w:val="-2"/>
        </w:rPr>
        <w:t>下列符号适用于本文件。</w:t>
      </w:r>
      <w:r>
        <w:t>G:工作区长度。      H：纵向缓冲区长度。 Ls:上游过渡区长度。 Lx:下游过渡区长度。 S：警告区长度。     Z：终止区长度。</w:t>
      </w:r>
    </w:p>
    <w:p>
      <w:pPr>
        <w:pStyle w:val="BodyText"/>
        <w:spacing w:before="4"/>
        <w:rPr>
          <w:sz w:val="24"/>
        </w:rPr>
      </w:pPr>
    </w:p>
    <w:p>
      <w:pPr>
        <w:pStyle w:val="ListParagraph"/>
        <w:numPr>
          <w:ilvl w:val="0"/>
          <w:numId w:val="2"/>
        </w:numPr>
        <w:tabs>
          <w:tab w:val="left" w:pos="492"/>
          <w:tab w:val="left" w:pos="493"/>
        </w:tabs>
        <w:spacing w:before="0" w:after="0" w:line="240" w:lineRule="auto"/>
        <w:ind w:left="493" w:right="0" w:hanging="315"/>
        <w:jc w:val="left"/>
        <w:rPr>
          <w:rFonts w:ascii="黑体" w:eastAsia="黑体" w:hint="eastAsia"/>
          <w:sz w:val="21"/>
        </w:rPr>
      </w:pPr>
      <w:bookmarkStart w:id="5" w:name="_bookmark4"/>
      <w:bookmarkEnd w:id="5"/>
      <w:r>
        <w:rPr>
          <w:rFonts w:ascii="黑体" w:eastAsia="黑体" w:hint="eastAsia"/>
          <w:sz w:val="21"/>
        </w:rPr>
        <w:t>安全防护管理与协调</w:t>
      </w:r>
    </w:p>
    <w:p>
      <w:pPr>
        <w:pStyle w:val="BodyText"/>
        <w:spacing w:before="9"/>
        <w:rPr>
          <w:rFonts w:ascii="黑体"/>
          <w:sz w:val="27"/>
        </w:rPr>
      </w:pPr>
    </w:p>
    <w:p>
      <w:pPr>
        <w:pStyle w:val="ListParagraph"/>
        <w:numPr>
          <w:ilvl w:val="1"/>
          <w:numId w:val="2"/>
        </w:numPr>
        <w:tabs>
          <w:tab w:val="left" w:pos="702"/>
          <w:tab w:val="left" w:pos="703"/>
        </w:tabs>
        <w:spacing w:before="0" w:after="0" w:line="240" w:lineRule="auto"/>
        <w:ind w:left="703" w:right="0" w:hanging="525"/>
        <w:jc w:val="left"/>
        <w:rPr>
          <w:rFonts w:ascii="黑体" w:eastAsia="黑体" w:hint="eastAsia"/>
          <w:sz w:val="21"/>
        </w:rPr>
      </w:pPr>
      <w:bookmarkStart w:id="6" w:name="_bookmark5"/>
      <w:bookmarkEnd w:id="6"/>
      <w:r>
        <w:rPr>
          <w:rFonts w:ascii="黑体" w:eastAsia="黑体" w:hint="eastAsia"/>
          <w:sz w:val="21"/>
        </w:rPr>
        <w:t>安全防护准备</w:t>
      </w:r>
    </w:p>
    <w:p>
      <w:pPr>
        <w:pStyle w:val="BodyText"/>
        <w:spacing w:before="6"/>
        <w:rPr>
          <w:rFonts w:ascii="黑体"/>
          <w:sz w:val="15"/>
        </w:rPr>
      </w:pPr>
    </w:p>
    <w:p>
      <w:pPr>
        <w:pStyle w:val="ListParagraph"/>
        <w:numPr>
          <w:ilvl w:val="2"/>
          <w:numId w:val="2"/>
        </w:numPr>
        <w:tabs>
          <w:tab w:val="left" w:pos="912"/>
          <w:tab w:val="left" w:pos="913"/>
        </w:tabs>
        <w:spacing w:before="1" w:after="0" w:line="278" w:lineRule="auto"/>
        <w:ind w:left="178" w:right="202" w:firstLine="0"/>
        <w:jc w:val="left"/>
        <w:rPr>
          <w:sz w:val="21"/>
        </w:rPr>
      </w:pPr>
      <w:r>
        <w:rPr>
          <w:spacing w:val="-1"/>
          <w:sz w:val="21"/>
        </w:rPr>
        <w:t>养护施工单位应取得法律规定的安全生产资质，建立完善的安全生产管理体系，养护人员应具</w:t>
      </w:r>
      <w:r>
        <w:rPr>
          <w:sz w:val="21"/>
        </w:rPr>
        <w:t>有相应的资格证书。</w:t>
      </w:r>
    </w:p>
    <w:p>
      <w:pPr>
        <w:pStyle w:val="ListParagraph"/>
        <w:numPr>
          <w:ilvl w:val="2"/>
          <w:numId w:val="2"/>
        </w:numPr>
        <w:tabs>
          <w:tab w:val="left" w:pos="912"/>
          <w:tab w:val="left" w:pos="913"/>
        </w:tabs>
        <w:spacing w:before="0" w:after="0" w:line="269" w:lineRule="exact"/>
        <w:ind w:left="913" w:right="0" w:hanging="735"/>
        <w:jc w:val="left"/>
        <w:rPr>
          <w:sz w:val="21"/>
        </w:rPr>
      </w:pPr>
      <w:r>
        <w:rPr>
          <w:sz w:val="21"/>
        </w:rPr>
        <w:t>养护作业安全防护设施应符合下列要求：</w:t>
      </w:r>
    </w:p>
    <w:p>
      <w:pPr>
        <w:pStyle w:val="ListParagraph"/>
        <w:numPr>
          <w:ilvl w:val="3"/>
          <w:numId w:val="2"/>
        </w:numPr>
        <w:tabs>
          <w:tab w:val="left" w:pos="1017"/>
          <w:tab w:val="left" w:pos="1018"/>
        </w:tabs>
        <w:spacing w:before="43" w:after="0" w:line="240" w:lineRule="auto"/>
        <w:ind w:left="1018" w:right="0" w:hanging="420"/>
        <w:jc w:val="left"/>
        <w:rPr>
          <w:sz w:val="21"/>
        </w:rPr>
      </w:pPr>
      <w:r>
        <w:rPr>
          <w:spacing w:val="-9"/>
          <w:sz w:val="21"/>
        </w:rPr>
        <w:t xml:space="preserve">应按照附录 </w:t>
      </w:r>
      <w:r>
        <w:rPr>
          <w:sz w:val="21"/>
        </w:rPr>
        <w:t>B</w:t>
      </w:r>
      <w:r>
        <w:rPr>
          <w:spacing w:val="-8"/>
          <w:sz w:val="21"/>
        </w:rPr>
        <w:t xml:space="preserve"> 的养护作业控制区布置示例备全安全防护设施；</w:t>
      </w:r>
    </w:p>
    <w:p>
      <w:pPr>
        <w:pStyle w:val="ListParagraph"/>
        <w:numPr>
          <w:ilvl w:val="3"/>
          <w:numId w:val="2"/>
        </w:numPr>
        <w:tabs>
          <w:tab w:val="left" w:pos="1017"/>
          <w:tab w:val="left" w:pos="1018"/>
        </w:tabs>
        <w:spacing w:before="43" w:after="0" w:line="278" w:lineRule="auto"/>
        <w:ind w:left="1016" w:right="192" w:hanging="419"/>
        <w:jc w:val="left"/>
        <w:rPr>
          <w:sz w:val="21"/>
        </w:rPr>
      </w:pPr>
      <w:r>
        <w:rPr>
          <w:sz w:val="21"/>
        </w:rPr>
        <w:t>应检查各类安全防护设备是否正常工作，其电瓶电量是否充足，其柴油、汽油等燃料是否充足。</w:t>
      </w:r>
    </w:p>
    <w:p>
      <w:pPr>
        <w:pStyle w:val="ListParagraph"/>
        <w:numPr>
          <w:ilvl w:val="2"/>
          <w:numId w:val="2"/>
        </w:numPr>
        <w:tabs>
          <w:tab w:val="left" w:pos="912"/>
          <w:tab w:val="left" w:pos="913"/>
        </w:tabs>
        <w:spacing w:before="0" w:after="0" w:line="269" w:lineRule="exact"/>
        <w:ind w:left="913" w:right="0" w:hanging="735"/>
        <w:jc w:val="left"/>
        <w:rPr>
          <w:sz w:val="21"/>
        </w:rPr>
      </w:pPr>
      <w:r>
        <w:rPr>
          <w:sz w:val="21"/>
        </w:rPr>
        <w:t>养护作业安全防护人员应符合下列要求：</w:t>
      </w:r>
    </w:p>
    <w:p>
      <w:pPr>
        <w:pStyle w:val="ListParagraph"/>
        <w:numPr>
          <w:ilvl w:val="3"/>
          <w:numId w:val="2"/>
        </w:numPr>
        <w:tabs>
          <w:tab w:val="left" w:pos="1017"/>
          <w:tab w:val="left" w:pos="1018"/>
        </w:tabs>
        <w:spacing w:before="42" w:after="0" w:line="240" w:lineRule="auto"/>
        <w:ind w:left="1018" w:right="0" w:hanging="420"/>
        <w:jc w:val="left"/>
        <w:rPr>
          <w:sz w:val="21"/>
        </w:rPr>
      </w:pPr>
      <w:r>
        <w:rPr>
          <w:spacing w:val="-5"/>
          <w:sz w:val="21"/>
        </w:rPr>
        <w:t xml:space="preserve">应配备安全防护人员 </w:t>
      </w:r>
      <w:r>
        <w:rPr>
          <w:sz w:val="21"/>
        </w:rPr>
        <w:t>4</w:t>
      </w:r>
      <w:r>
        <w:rPr>
          <w:spacing w:val="-26"/>
          <w:sz w:val="21"/>
        </w:rPr>
        <w:t xml:space="preserve"> 人</w:t>
      </w:r>
      <w:r>
        <w:rPr>
          <w:rFonts w:ascii="Times New Roman" w:eastAsia="Times New Roman"/>
          <w:sz w:val="21"/>
        </w:rPr>
        <w:t>~</w:t>
      </w:r>
      <w:r>
        <w:rPr>
          <w:sz w:val="21"/>
        </w:rPr>
        <w:t>5</w:t>
      </w:r>
      <w:r>
        <w:rPr>
          <w:spacing w:val="-12"/>
          <w:sz w:val="21"/>
        </w:rPr>
        <w:t xml:space="preserve"> 人，其中防撞车驾驶员 </w:t>
      </w:r>
      <w:r>
        <w:rPr>
          <w:sz w:val="21"/>
        </w:rPr>
        <w:t>1</w:t>
      </w:r>
      <w:r>
        <w:rPr>
          <w:spacing w:val="-12"/>
          <w:sz w:val="21"/>
        </w:rPr>
        <w:t xml:space="preserve"> 名，标志灯车驾驶员 </w:t>
      </w:r>
      <w:r>
        <w:rPr>
          <w:sz w:val="21"/>
        </w:rPr>
        <w:t>1</w:t>
      </w:r>
      <w:r>
        <w:rPr>
          <w:spacing w:val="-15"/>
          <w:sz w:val="21"/>
        </w:rPr>
        <w:t xml:space="preserve"> 名，辅助人员 </w:t>
      </w:r>
      <w:r>
        <w:rPr>
          <w:sz w:val="21"/>
        </w:rPr>
        <w:t>2</w:t>
      </w:r>
    </w:p>
    <w:p>
      <w:pPr>
        <w:pStyle w:val="BodyText"/>
        <w:spacing w:before="43"/>
        <w:ind w:left="1016"/>
      </w:pPr>
      <w:r>
        <w:t>名</w:t>
      </w:r>
      <w:r>
        <w:rPr>
          <w:rFonts w:ascii="Times New Roman" w:eastAsia="Times New Roman"/>
        </w:rPr>
        <w:t>~</w:t>
      </w:r>
      <w:r>
        <w:t>3 名；</w:t>
      </w:r>
    </w:p>
    <w:p>
      <w:pPr>
        <w:pStyle w:val="ListParagraph"/>
        <w:numPr>
          <w:ilvl w:val="3"/>
          <w:numId w:val="2"/>
        </w:numPr>
        <w:tabs>
          <w:tab w:val="left" w:pos="1017"/>
          <w:tab w:val="left" w:pos="1018"/>
        </w:tabs>
        <w:spacing w:before="43" w:after="0" w:line="278" w:lineRule="auto"/>
        <w:ind w:left="1016" w:right="192" w:hanging="419"/>
        <w:jc w:val="left"/>
        <w:rPr>
          <w:sz w:val="21"/>
        </w:rPr>
      </w:pPr>
      <w:r>
        <w:rPr>
          <w:spacing w:val="-2"/>
          <w:sz w:val="21"/>
        </w:rPr>
        <w:t xml:space="preserve">当遇到匝道等出入口施工时，应适当增加人员 </w:t>
      </w:r>
      <w:r>
        <w:rPr>
          <w:sz w:val="21"/>
        </w:rPr>
        <w:t>1</w:t>
      </w:r>
      <w:r>
        <w:rPr>
          <w:spacing w:val="-21"/>
          <w:sz w:val="21"/>
        </w:rPr>
        <w:t xml:space="preserve"> 人</w:t>
      </w:r>
      <w:r>
        <w:rPr>
          <w:rFonts w:ascii="Times New Roman" w:eastAsia="Times New Roman"/>
          <w:sz w:val="21"/>
        </w:rPr>
        <w:t>~</w:t>
      </w:r>
      <w:r>
        <w:rPr>
          <w:sz w:val="21"/>
        </w:rPr>
        <w:t>2</w:t>
      </w:r>
      <w:r>
        <w:rPr>
          <w:spacing w:val="-7"/>
          <w:sz w:val="21"/>
        </w:rPr>
        <w:t xml:space="preserve"> 人，在匝道的上游过渡区内，匝道同主线合流处设置人员，负责警戒；</w:t>
      </w:r>
    </w:p>
    <w:p>
      <w:pPr>
        <w:pStyle w:val="ListParagraph"/>
        <w:numPr>
          <w:ilvl w:val="3"/>
          <w:numId w:val="2"/>
        </w:numPr>
        <w:tabs>
          <w:tab w:val="left" w:pos="1017"/>
          <w:tab w:val="left" w:pos="1018"/>
        </w:tabs>
        <w:spacing w:before="0" w:after="0" w:line="278" w:lineRule="auto"/>
        <w:ind w:left="1016" w:right="192" w:hanging="419"/>
        <w:jc w:val="left"/>
        <w:rPr>
          <w:sz w:val="21"/>
        </w:rPr>
      </w:pPr>
      <w:r>
        <w:rPr>
          <w:sz w:val="21"/>
        </w:rPr>
        <w:t>安全防护人员进入养护作业控制区时，应穿着统一的防护服、安全帽等个人防护用具；防护</w:t>
      </w:r>
      <w:r>
        <w:rPr>
          <w:spacing w:val="-3"/>
          <w:sz w:val="21"/>
        </w:rPr>
        <w:t xml:space="preserve">服应具备自发光功能，安全帽应增加照明灯，并分别符合 </w:t>
      </w:r>
      <w:r>
        <w:rPr>
          <w:sz w:val="21"/>
        </w:rPr>
        <w:t>GB/T 20097、GB 2811</w:t>
      </w:r>
      <w:r>
        <w:rPr>
          <w:spacing w:val="-12"/>
          <w:sz w:val="21"/>
        </w:rPr>
        <w:t xml:space="preserve"> 的要求。</w:t>
      </w:r>
    </w:p>
    <w:p>
      <w:pPr>
        <w:pStyle w:val="ListParagraph"/>
        <w:numPr>
          <w:ilvl w:val="2"/>
          <w:numId w:val="2"/>
        </w:numPr>
        <w:tabs>
          <w:tab w:val="left" w:pos="912"/>
          <w:tab w:val="left" w:pos="913"/>
        </w:tabs>
        <w:spacing w:before="0" w:after="0" w:line="278" w:lineRule="auto"/>
        <w:ind w:left="178" w:right="202" w:firstLine="0"/>
        <w:jc w:val="left"/>
        <w:rPr>
          <w:sz w:val="21"/>
        </w:rPr>
      </w:pPr>
      <w:r>
        <w:rPr>
          <w:sz w:val="21"/>
        </w:rPr>
        <w:t>作业前，养护工区（养护施工单位）</w:t>
      </w:r>
      <w:r>
        <w:rPr>
          <w:spacing w:val="-1"/>
          <w:sz w:val="21"/>
        </w:rPr>
        <w:t>应至少提前一天将施工计划报监控中心，监控中心在统筹</w:t>
      </w:r>
      <w:r>
        <w:rPr>
          <w:sz w:val="21"/>
        </w:rPr>
        <w:t>所有施工任务后报交警大队。进入作业现场前负责人报监控中心，监控中心接报后，同时报值班交</w:t>
      </w:r>
    </w:p>
    <w:p>
      <w:pPr>
        <w:pStyle w:val="BodyText"/>
        <w:spacing w:line="269" w:lineRule="exact"/>
        <w:ind w:left="178"/>
      </w:pPr>
      <w:r>
        <w:t>警，值班交警同意后，方可进行施工。</w:t>
      </w:r>
    </w:p>
    <w:p>
      <w:pPr>
        <w:pStyle w:val="BodyText"/>
        <w:spacing w:before="6"/>
        <w:rPr>
          <w:sz w:val="15"/>
        </w:rPr>
      </w:pPr>
    </w:p>
    <w:p>
      <w:pPr>
        <w:pStyle w:val="ListParagraph"/>
        <w:numPr>
          <w:ilvl w:val="1"/>
          <w:numId w:val="2"/>
        </w:numPr>
        <w:tabs>
          <w:tab w:val="left" w:pos="702"/>
          <w:tab w:val="left" w:pos="703"/>
        </w:tabs>
        <w:spacing w:before="1" w:after="0" w:line="240" w:lineRule="auto"/>
        <w:ind w:left="703" w:right="0" w:hanging="525"/>
        <w:jc w:val="left"/>
        <w:rPr>
          <w:rFonts w:ascii="黑体" w:eastAsia="黑体" w:hint="eastAsia"/>
          <w:sz w:val="21"/>
        </w:rPr>
      </w:pPr>
      <w:bookmarkStart w:id="7" w:name="_bookmark6"/>
      <w:bookmarkEnd w:id="7"/>
      <w:r>
        <w:rPr>
          <w:rFonts w:ascii="黑体" w:eastAsia="黑体" w:hint="eastAsia"/>
          <w:sz w:val="21"/>
        </w:rPr>
        <w:t>安全防护实施</w:t>
      </w:r>
    </w:p>
    <w:p>
      <w:pPr>
        <w:pStyle w:val="BodyText"/>
        <w:spacing w:before="6"/>
        <w:rPr>
          <w:rFonts w:ascii="黑体"/>
          <w:sz w:val="15"/>
        </w:rPr>
      </w:pPr>
    </w:p>
    <w:p>
      <w:pPr>
        <w:pStyle w:val="ListParagraph"/>
        <w:numPr>
          <w:ilvl w:val="2"/>
          <w:numId w:val="2"/>
        </w:numPr>
        <w:tabs>
          <w:tab w:val="left" w:pos="912"/>
          <w:tab w:val="left" w:pos="913"/>
        </w:tabs>
        <w:spacing w:before="0" w:after="0" w:line="240" w:lineRule="auto"/>
        <w:ind w:left="913" w:right="0" w:hanging="735"/>
        <w:jc w:val="left"/>
        <w:rPr>
          <w:sz w:val="21"/>
        </w:rPr>
      </w:pPr>
      <w:r>
        <w:rPr>
          <w:spacing w:val="-3"/>
          <w:sz w:val="21"/>
        </w:rPr>
        <w:t xml:space="preserve">根据高速公路交通流量情况，作业时间宜安排在 </w:t>
      </w:r>
      <w:r>
        <w:rPr>
          <w:sz w:val="21"/>
        </w:rPr>
        <w:t>22:00</w:t>
      </w:r>
      <w:r>
        <w:rPr>
          <w:rFonts w:ascii="Times New Roman" w:eastAsia="Times New Roman"/>
          <w:sz w:val="21"/>
        </w:rPr>
        <w:t>~</w:t>
      </w:r>
      <w:r>
        <w:rPr>
          <w:spacing w:val="-11"/>
          <w:sz w:val="21"/>
        </w:rPr>
        <w:t xml:space="preserve">次日凌晨 </w:t>
      </w:r>
      <w:r>
        <w:rPr>
          <w:sz w:val="21"/>
        </w:rPr>
        <w:t>4:00。</w:t>
      </w:r>
    </w:p>
    <w:p>
      <w:pPr>
        <w:pStyle w:val="ListParagraph"/>
        <w:numPr>
          <w:ilvl w:val="2"/>
          <w:numId w:val="2"/>
        </w:numPr>
        <w:tabs>
          <w:tab w:val="left" w:pos="912"/>
          <w:tab w:val="left" w:pos="913"/>
        </w:tabs>
        <w:spacing w:before="43" w:after="0" w:line="278" w:lineRule="auto"/>
        <w:ind w:left="178" w:right="202" w:firstLine="0"/>
        <w:jc w:val="left"/>
        <w:rPr>
          <w:sz w:val="21"/>
        </w:rPr>
      </w:pPr>
      <w:r>
        <w:rPr>
          <w:spacing w:val="-1"/>
          <w:sz w:val="21"/>
        </w:rPr>
        <w:t>施工计划因故局部调整，如施工地点、时间提前或延后，施工前现场负责人应报监控中心，监</w:t>
      </w:r>
      <w:r>
        <w:rPr>
          <w:sz w:val="21"/>
        </w:rPr>
        <w:t>控中心接报后，同时报值班交警，值班交警同意后，方可进行施工。对于施工时间、施工规模、交通管制规模有较大变化的，监控中心应事先与交警部门汇报，同意后方可施工。</w:t>
      </w:r>
    </w:p>
    <w:p>
      <w:pPr>
        <w:pStyle w:val="ListParagraph"/>
        <w:numPr>
          <w:ilvl w:val="2"/>
          <w:numId w:val="2"/>
        </w:numPr>
        <w:tabs>
          <w:tab w:val="left" w:pos="913"/>
        </w:tabs>
        <w:spacing w:before="0" w:after="0" w:line="278" w:lineRule="auto"/>
        <w:ind w:left="178" w:right="202" w:firstLine="0"/>
        <w:jc w:val="both"/>
        <w:rPr>
          <w:sz w:val="21"/>
        </w:rPr>
      </w:pPr>
      <w:r>
        <w:rPr>
          <w:spacing w:val="-1"/>
          <w:sz w:val="21"/>
        </w:rPr>
        <w:t>安全防护实施时，养护作业人员应在后方收费站区等候。若在主线上等候，车辆应开启导向箭</w:t>
      </w:r>
      <w:r>
        <w:rPr>
          <w:spacing w:val="-3"/>
          <w:sz w:val="21"/>
        </w:rPr>
        <w:t xml:space="preserve">头指示灯并停靠在应急车道，在来车方向 </w:t>
      </w:r>
      <w:r>
        <w:rPr>
          <w:sz w:val="21"/>
        </w:rPr>
        <w:t>150m</w:t>
      </w:r>
      <w:r>
        <w:rPr>
          <w:spacing w:val="-9"/>
          <w:sz w:val="21"/>
        </w:rPr>
        <w:t xml:space="preserve"> 处设置锥形筒，养护作业人员在防撞护栏外等待。在实</w:t>
      </w:r>
      <w:r>
        <w:rPr>
          <w:sz w:val="21"/>
        </w:rPr>
        <w:t>施过程中，养护作业人员和车辆应服从交警部门的指挥和协调。</w:t>
      </w:r>
    </w:p>
    <w:p>
      <w:pPr>
        <w:pStyle w:val="ListParagraph"/>
        <w:numPr>
          <w:ilvl w:val="2"/>
          <w:numId w:val="2"/>
        </w:numPr>
        <w:tabs>
          <w:tab w:val="left" w:pos="913"/>
        </w:tabs>
        <w:spacing w:before="0" w:after="0" w:line="269" w:lineRule="exact"/>
        <w:ind w:left="913" w:right="0" w:hanging="735"/>
        <w:jc w:val="both"/>
        <w:rPr>
          <w:sz w:val="21"/>
        </w:rPr>
        <w:sectPr>
          <w:footerReference w:type="default" r:id="rId8"/>
          <w:pgSz w:w="11910" w:h="16840"/>
          <w:pgMar w:top="1580" w:right="940" w:bottom="1320" w:left="1240" w:header="0" w:footer="1125" w:gutter="0"/>
          <w:pgNumType w:start="4"/>
          <w:cols w:num="1" w:space="720"/>
        </w:sectPr>
      </w:pPr>
      <w:r>
        <w:rPr>
          <w:spacing w:val="-4"/>
          <w:sz w:val="21"/>
        </w:rPr>
        <w:t xml:space="preserve">作业现场的临时用电安全应符合 </w:t>
      </w:r>
      <w:r>
        <w:rPr>
          <w:sz w:val="21"/>
        </w:rPr>
        <w:t>JGJ 46</w:t>
      </w:r>
      <w:r>
        <w:rPr>
          <w:spacing w:val="-9"/>
          <w:sz w:val="21"/>
        </w:rPr>
        <w:t xml:space="preserve"> 的有关规定。</w:t>
      </w:r>
    </w:p>
    <w:p>
      <w:pPr>
        <w:pStyle w:val="ListParagraph"/>
        <w:numPr>
          <w:ilvl w:val="2"/>
          <w:numId w:val="2"/>
        </w:numPr>
        <w:tabs>
          <w:tab w:val="left" w:pos="913"/>
        </w:tabs>
        <w:spacing w:before="43" w:after="0" w:line="240" w:lineRule="auto"/>
        <w:ind w:left="913" w:right="0" w:hanging="735"/>
        <w:jc w:val="both"/>
        <w:rPr>
          <w:sz w:val="21"/>
        </w:rPr>
      </w:pPr>
      <w:r>
        <w:rPr>
          <w:spacing w:val="-3"/>
          <w:sz w:val="21"/>
        </w:rPr>
        <w:t xml:space="preserve">特殊路段及特殊气象条件下的养护作业安全防护应符合 </w:t>
      </w:r>
      <w:r>
        <w:rPr>
          <w:sz w:val="21"/>
        </w:rPr>
        <w:t>JTG H30</w:t>
      </w:r>
      <w:r>
        <w:rPr>
          <w:spacing w:val="-36"/>
          <w:sz w:val="21"/>
        </w:rPr>
        <w:t xml:space="preserve"> 和 </w:t>
      </w:r>
      <w:r>
        <w:rPr>
          <w:sz w:val="21"/>
        </w:rPr>
        <w:t>DB32/T 1363</w:t>
      </w:r>
      <w:r>
        <w:rPr>
          <w:spacing w:val="-9"/>
          <w:sz w:val="21"/>
        </w:rPr>
        <w:t xml:space="preserve"> 的相关规定。</w:t>
      </w:r>
    </w:p>
    <w:p>
      <w:pPr>
        <w:spacing w:after="0" w:line="240" w:lineRule="auto"/>
        <w:jc w:val="both"/>
        <w:rPr>
          <w:sz w:val="21"/>
        </w:rPr>
        <w:sectPr>
          <w:footerReference w:type="default" r:id="rId9"/>
          <w:type w:val="nextPage"/>
          <w:pgSz w:w="11910" w:h="16840"/>
          <w:pgMar w:top="1580" w:right="940" w:bottom="1320" w:left="1240" w:header="0" w:footer="1125" w:gutter="0"/>
          <w:pgNumType w:start="5"/>
          <w:cols w:num="1" w:space="720"/>
          <w:titlePg w:val="0"/>
        </w:sectPr>
      </w:pPr>
    </w:p>
    <w:p>
      <w:pPr>
        <w:pStyle w:val="BodyText"/>
        <w:spacing w:before="8"/>
        <w:rPr>
          <w:sz w:val="20"/>
        </w:rPr>
      </w:pPr>
    </w:p>
    <w:p>
      <w:pPr>
        <w:pStyle w:val="ListParagraph"/>
        <w:numPr>
          <w:ilvl w:val="1"/>
          <w:numId w:val="2"/>
        </w:numPr>
        <w:tabs>
          <w:tab w:val="left" w:pos="702"/>
          <w:tab w:val="left" w:pos="703"/>
        </w:tabs>
        <w:spacing w:before="71" w:after="0" w:line="240" w:lineRule="auto"/>
        <w:ind w:left="703" w:right="0" w:hanging="525"/>
        <w:jc w:val="left"/>
        <w:rPr>
          <w:rFonts w:ascii="黑体" w:eastAsia="黑体" w:hint="eastAsia"/>
          <w:sz w:val="21"/>
        </w:rPr>
      </w:pPr>
      <w:bookmarkStart w:id="8" w:name="_bookmark7"/>
      <w:bookmarkEnd w:id="8"/>
      <w:r>
        <w:rPr>
          <w:rFonts w:ascii="黑体" w:eastAsia="黑体" w:hint="eastAsia"/>
          <w:sz w:val="21"/>
        </w:rPr>
        <w:t>安全防护移除</w:t>
      </w:r>
    </w:p>
    <w:p>
      <w:pPr>
        <w:pStyle w:val="BodyText"/>
        <w:spacing w:before="6"/>
        <w:rPr>
          <w:rFonts w:ascii="黑体"/>
          <w:sz w:val="15"/>
        </w:rPr>
      </w:pPr>
    </w:p>
    <w:p>
      <w:pPr>
        <w:pStyle w:val="BodyText"/>
        <w:spacing w:before="1" w:line="278" w:lineRule="auto"/>
        <w:ind w:left="178" w:right="191" w:firstLine="420"/>
        <w:jc w:val="both"/>
      </w:pPr>
      <w:r>
        <w:t>养护作业完成后，应及时拆除临时作业设施、清理施工现场，组织机械设备、人员安全有序撤场，并按照与安全防护设施布设相反的顺序移除安全标志和隔离设施。符合通行要求后养护工区（养护施工单位）上报监控中心、交警部门等有关单位。</w:t>
      </w:r>
    </w:p>
    <w:p>
      <w:pPr>
        <w:pStyle w:val="BodyText"/>
        <w:spacing w:before="4"/>
        <w:rPr>
          <w:sz w:val="24"/>
        </w:rPr>
      </w:pPr>
    </w:p>
    <w:p>
      <w:pPr>
        <w:pStyle w:val="ListParagraph"/>
        <w:numPr>
          <w:ilvl w:val="0"/>
          <w:numId w:val="2"/>
        </w:numPr>
        <w:tabs>
          <w:tab w:val="left" w:pos="492"/>
          <w:tab w:val="left" w:pos="493"/>
        </w:tabs>
        <w:spacing w:before="0" w:after="0" w:line="240" w:lineRule="auto"/>
        <w:ind w:left="493" w:right="0" w:hanging="315"/>
        <w:jc w:val="left"/>
        <w:rPr>
          <w:rFonts w:ascii="黑体" w:eastAsia="黑体" w:hint="eastAsia"/>
          <w:sz w:val="21"/>
        </w:rPr>
      </w:pPr>
      <w:bookmarkStart w:id="9" w:name="_bookmark8"/>
      <w:bookmarkEnd w:id="9"/>
      <w:r>
        <w:rPr>
          <w:rFonts w:ascii="黑体" w:eastAsia="黑体" w:hint="eastAsia"/>
          <w:sz w:val="21"/>
        </w:rPr>
        <w:t>安全防护设施</w:t>
      </w:r>
    </w:p>
    <w:p>
      <w:pPr>
        <w:pStyle w:val="BodyText"/>
        <w:spacing w:before="9"/>
        <w:rPr>
          <w:rFonts w:ascii="黑体"/>
          <w:sz w:val="27"/>
        </w:rPr>
      </w:pPr>
    </w:p>
    <w:p>
      <w:pPr>
        <w:pStyle w:val="ListParagraph"/>
        <w:numPr>
          <w:ilvl w:val="1"/>
          <w:numId w:val="2"/>
        </w:numPr>
        <w:tabs>
          <w:tab w:val="left" w:pos="702"/>
          <w:tab w:val="left" w:pos="703"/>
        </w:tabs>
        <w:spacing w:before="0" w:after="0" w:line="240" w:lineRule="auto"/>
        <w:ind w:left="703" w:right="0" w:hanging="525"/>
        <w:jc w:val="left"/>
        <w:rPr>
          <w:rFonts w:ascii="黑体" w:eastAsia="黑体" w:hint="eastAsia"/>
          <w:sz w:val="21"/>
        </w:rPr>
      </w:pPr>
      <w:bookmarkStart w:id="10" w:name="_bookmark9"/>
      <w:bookmarkEnd w:id="10"/>
      <w:r>
        <w:rPr>
          <w:rFonts w:ascii="黑体" w:eastAsia="黑体" w:hint="eastAsia"/>
          <w:sz w:val="21"/>
        </w:rPr>
        <w:t>临时标志</w:t>
      </w:r>
    </w:p>
    <w:p>
      <w:pPr>
        <w:pStyle w:val="BodyText"/>
        <w:spacing w:before="6"/>
        <w:rPr>
          <w:rFonts w:ascii="黑体"/>
          <w:sz w:val="15"/>
        </w:rPr>
      </w:pPr>
    </w:p>
    <w:p>
      <w:pPr>
        <w:pStyle w:val="BodyText"/>
        <w:spacing w:before="1"/>
        <w:ind w:left="598"/>
      </w:pPr>
      <w:r>
        <w:t>临时标志包括施工标志、限速标志等，其产品和使用应符合GB/T 28651和JTG H30的相关规定。</w:t>
      </w:r>
    </w:p>
    <w:p>
      <w:pPr>
        <w:pStyle w:val="BodyText"/>
        <w:spacing w:before="6"/>
        <w:rPr>
          <w:sz w:val="15"/>
        </w:rPr>
      </w:pPr>
    </w:p>
    <w:p>
      <w:pPr>
        <w:pStyle w:val="ListParagraph"/>
        <w:numPr>
          <w:ilvl w:val="1"/>
          <w:numId w:val="2"/>
        </w:numPr>
        <w:tabs>
          <w:tab w:val="left" w:pos="702"/>
          <w:tab w:val="left" w:pos="703"/>
        </w:tabs>
        <w:spacing w:before="0" w:after="0" w:line="240" w:lineRule="auto"/>
        <w:ind w:left="703" w:right="0" w:hanging="525"/>
        <w:jc w:val="left"/>
        <w:rPr>
          <w:rFonts w:ascii="黑体" w:eastAsia="黑体" w:hint="eastAsia"/>
          <w:sz w:val="21"/>
        </w:rPr>
      </w:pPr>
      <w:bookmarkStart w:id="11" w:name="_bookmark10"/>
      <w:bookmarkEnd w:id="11"/>
      <w:r>
        <w:rPr>
          <w:rFonts w:ascii="黑体" w:eastAsia="黑体" w:hint="eastAsia"/>
          <w:sz w:val="21"/>
        </w:rPr>
        <w:t>其他安全设施</w:t>
      </w:r>
    </w:p>
    <w:p>
      <w:pPr>
        <w:pStyle w:val="BodyText"/>
        <w:spacing w:before="7"/>
        <w:rPr>
          <w:rFonts w:ascii="黑体"/>
          <w:sz w:val="15"/>
        </w:rPr>
      </w:pPr>
    </w:p>
    <w:p>
      <w:pPr>
        <w:pStyle w:val="BodyText"/>
        <w:spacing w:line="278" w:lineRule="auto"/>
        <w:ind w:left="178" w:right="191" w:firstLine="420"/>
        <w:jc w:val="both"/>
      </w:pPr>
      <w:r>
        <w:t>其他安全设施包括车道渠化设施、夜间照明设施、语音提示设施、临时交通控制信号设施、移动式标志车、移动式护栏、车载式防撞垫、防撞车、定向喇叭和带爆闪灯的锥筒等，典型安全防护设施见表A.1，养护安全防护设施及人员符号见图A.1，各类安全设施应符合下列要求：</w:t>
      </w:r>
    </w:p>
    <w:p>
      <w:pPr>
        <w:pStyle w:val="ListParagraph"/>
        <w:numPr>
          <w:ilvl w:val="0"/>
          <w:numId w:val="3"/>
        </w:numPr>
        <w:tabs>
          <w:tab w:val="left" w:pos="1017"/>
          <w:tab w:val="left" w:pos="1018"/>
        </w:tabs>
        <w:spacing w:before="0" w:after="0" w:line="278" w:lineRule="auto"/>
        <w:ind w:left="1016" w:right="192" w:hanging="419"/>
        <w:jc w:val="left"/>
        <w:rPr>
          <w:sz w:val="21"/>
        </w:rPr>
      </w:pPr>
      <w:r>
        <w:rPr>
          <w:sz w:val="21"/>
        </w:rPr>
        <w:t>车道渠化设施包括交通锥、防撞桶、水马、防撞墙、隔离墩、附设警示灯的路栏等，其产品</w:t>
      </w:r>
      <w:r>
        <w:rPr>
          <w:spacing w:val="-8"/>
          <w:sz w:val="21"/>
        </w:rPr>
        <w:t xml:space="preserve">和使用应符合 </w:t>
      </w:r>
      <w:r>
        <w:rPr>
          <w:sz w:val="21"/>
        </w:rPr>
        <w:t>GB/T 24720、GB/T 28650、JTG H30</w:t>
      </w:r>
      <w:r>
        <w:rPr>
          <w:spacing w:val="-9"/>
          <w:sz w:val="21"/>
        </w:rPr>
        <w:t xml:space="preserve"> 的有关规定；</w:t>
      </w:r>
    </w:p>
    <w:p>
      <w:pPr>
        <w:pStyle w:val="ListParagraph"/>
        <w:numPr>
          <w:ilvl w:val="0"/>
          <w:numId w:val="3"/>
        </w:numPr>
        <w:tabs>
          <w:tab w:val="left" w:pos="1017"/>
          <w:tab w:val="left" w:pos="1018"/>
        </w:tabs>
        <w:spacing w:before="0" w:after="0" w:line="278" w:lineRule="auto"/>
        <w:ind w:left="1016" w:right="192" w:hanging="419"/>
        <w:jc w:val="left"/>
        <w:rPr>
          <w:sz w:val="21"/>
        </w:rPr>
      </w:pPr>
      <w:r>
        <w:rPr>
          <w:sz w:val="21"/>
        </w:rPr>
        <w:t>夜间照明设施、语音提示设施、临时交通控制信号设施、移动式标志车、移动式护栏和车载</w:t>
      </w:r>
      <w:r>
        <w:rPr>
          <w:spacing w:val="-5"/>
          <w:sz w:val="21"/>
        </w:rPr>
        <w:t xml:space="preserve">式防撞垫，其使用应符合 </w:t>
      </w:r>
      <w:r>
        <w:rPr>
          <w:sz w:val="21"/>
        </w:rPr>
        <w:t>JTG D81</w:t>
      </w:r>
      <w:r>
        <w:rPr>
          <w:spacing w:val="-36"/>
          <w:sz w:val="21"/>
        </w:rPr>
        <w:t xml:space="preserve"> 和 </w:t>
      </w:r>
      <w:r>
        <w:rPr>
          <w:sz w:val="21"/>
        </w:rPr>
        <w:t>JTG H30</w:t>
      </w:r>
      <w:r>
        <w:rPr>
          <w:spacing w:val="-9"/>
          <w:sz w:val="21"/>
        </w:rPr>
        <w:t xml:space="preserve"> 的有关规定；</w:t>
      </w:r>
    </w:p>
    <w:p>
      <w:pPr>
        <w:pStyle w:val="ListParagraph"/>
        <w:numPr>
          <w:ilvl w:val="0"/>
          <w:numId w:val="3"/>
        </w:numPr>
        <w:tabs>
          <w:tab w:val="left" w:pos="1017"/>
          <w:tab w:val="left" w:pos="1018"/>
        </w:tabs>
        <w:spacing w:before="0" w:after="0" w:line="278" w:lineRule="auto"/>
        <w:ind w:left="1016" w:right="192" w:hanging="419"/>
        <w:jc w:val="left"/>
        <w:rPr>
          <w:sz w:val="21"/>
        </w:rPr>
      </w:pPr>
      <w:r>
        <w:rPr>
          <w:sz w:val="21"/>
        </w:rPr>
        <w:t>防撞车应配置车载式防撞垫、导向标志架等，具备交通警示、抵御后方闯入作业现场车辆的</w:t>
      </w:r>
      <w:r>
        <w:rPr>
          <w:spacing w:val="-3"/>
          <w:sz w:val="21"/>
        </w:rPr>
        <w:t xml:space="preserve">功能，符合有关标准规定，宜放置在作业区后方 </w:t>
      </w:r>
      <w:r>
        <w:rPr>
          <w:sz w:val="21"/>
        </w:rPr>
        <w:t>50m</w:t>
      </w:r>
      <w:r>
        <w:rPr>
          <w:spacing w:val="-18"/>
          <w:sz w:val="21"/>
        </w:rPr>
        <w:t xml:space="preserve"> 处；</w:t>
      </w:r>
    </w:p>
    <w:p>
      <w:pPr>
        <w:pStyle w:val="ListParagraph"/>
        <w:numPr>
          <w:ilvl w:val="0"/>
          <w:numId w:val="3"/>
        </w:numPr>
        <w:tabs>
          <w:tab w:val="left" w:pos="1017"/>
          <w:tab w:val="left" w:pos="1018"/>
        </w:tabs>
        <w:spacing w:before="0" w:after="0" w:line="269" w:lineRule="exact"/>
        <w:ind w:left="1018" w:right="0" w:hanging="420"/>
        <w:jc w:val="left"/>
        <w:rPr>
          <w:sz w:val="21"/>
        </w:rPr>
      </w:pPr>
      <w:r>
        <w:rPr>
          <w:sz w:val="21"/>
        </w:rPr>
        <w:t>定向喇叭应具备定向扬声功能，符合有关标准规定；</w:t>
      </w:r>
    </w:p>
    <w:p>
      <w:pPr>
        <w:pStyle w:val="ListParagraph"/>
        <w:numPr>
          <w:ilvl w:val="0"/>
          <w:numId w:val="3"/>
        </w:numPr>
        <w:tabs>
          <w:tab w:val="left" w:pos="1017"/>
          <w:tab w:val="left" w:pos="1018"/>
        </w:tabs>
        <w:spacing w:before="42" w:after="0" w:line="240" w:lineRule="auto"/>
        <w:ind w:left="1018" w:right="0" w:hanging="420"/>
        <w:jc w:val="left"/>
        <w:rPr>
          <w:sz w:val="21"/>
        </w:rPr>
      </w:pPr>
      <w:r>
        <w:rPr>
          <w:sz w:val="21"/>
        </w:rPr>
        <w:t>带爆闪灯的锥筒应具备夜间警示、引导车辆行驶功能，符合有关标准规定。</w:t>
      </w:r>
    </w:p>
    <w:p>
      <w:pPr>
        <w:pStyle w:val="BodyText"/>
        <w:spacing w:before="9"/>
        <w:rPr>
          <w:sz w:val="27"/>
        </w:rPr>
      </w:pPr>
    </w:p>
    <w:p>
      <w:pPr>
        <w:pStyle w:val="ListParagraph"/>
        <w:numPr>
          <w:ilvl w:val="0"/>
          <w:numId w:val="2"/>
        </w:numPr>
        <w:tabs>
          <w:tab w:val="left" w:pos="492"/>
          <w:tab w:val="left" w:pos="493"/>
        </w:tabs>
        <w:spacing w:before="0" w:after="0" w:line="240" w:lineRule="auto"/>
        <w:ind w:left="493" w:right="0" w:hanging="315"/>
        <w:jc w:val="left"/>
        <w:rPr>
          <w:rFonts w:ascii="黑体" w:eastAsia="黑体" w:hint="eastAsia"/>
          <w:sz w:val="21"/>
        </w:rPr>
      </w:pPr>
      <w:bookmarkStart w:id="12" w:name="_bookmark11"/>
      <w:bookmarkEnd w:id="12"/>
      <w:r>
        <w:rPr>
          <w:rFonts w:ascii="黑体" w:eastAsia="黑体" w:hint="eastAsia"/>
          <w:sz w:val="21"/>
        </w:rPr>
        <w:t>安全防护布设</w:t>
      </w:r>
    </w:p>
    <w:p>
      <w:pPr>
        <w:pStyle w:val="BodyText"/>
        <w:spacing w:before="9"/>
        <w:rPr>
          <w:rFonts w:ascii="黑体"/>
          <w:sz w:val="27"/>
        </w:rPr>
      </w:pPr>
    </w:p>
    <w:p>
      <w:pPr>
        <w:pStyle w:val="ListParagraph"/>
        <w:numPr>
          <w:ilvl w:val="1"/>
          <w:numId w:val="2"/>
        </w:numPr>
        <w:tabs>
          <w:tab w:val="left" w:pos="702"/>
          <w:tab w:val="left" w:pos="703"/>
        </w:tabs>
        <w:spacing w:before="0" w:after="0" w:line="240" w:lineRule="auto"/>
        <w:ind w:left="703" w:right="0" w:hanging="525"/>
        <w:jc w:val="left"/>
        <w:rPr>
          <w:rFonts w:ascii="黑体" w:eastAsia="黑体" w:hint="eastAsia"/>
          <w:sz w:val="21"/>
        </w:rPr>
      </w:pPr>
      <w:bookmarkStart w:id="13" w:name="_bookmark12"/>
      <w:bookmarkEnd w:id="13"/>
      <w:r>
        <w:rPr>
          <w:rFonts w:ascii="黑体" w:eastAsia="黑体" w:hint="eastAsia"/>
          <w:sz w:val="21"/>
        </w:rPr>
        <w:t>一般规定</w:t>
      </w:r>
    </w:p>
    <w:p>
      <w:pPr>
        <w:pStyle w:val="BodyText"/>
        <w:spacing w:before="7"/>
        <w:rPr>
          <w:rFonts w:ascii="黑体"/>
          <w:sz w:val="15"/>
        </w:rPr>
      </w:pPr>
    </w:p>
    <w:p>
      <w:pPr>
        <w:pStyle w:val="ListParagraph"/>
        <w:numPr>
          <w:ilvl w:val="2"/>
          <w:numId w:val="2"/>
        </w:numPr>
        <w:tabs>
          <w:tab w:val="left" w:pos="912"/>
          <w:tab w:val="left" w:pos="913"/>
        </w:tabs>
        <w:spacing w:before="0" w:after="0" w:line="278" w:lineRule="auto"/>
        <w:ind w:left="178" w:right="202" w:firstLine="0"/>
        <w:jc w:val="left"/>
        <w:rPr>
          <w:sz w:val="21"/>
        </w:rPr>
      </w:pPr>
      <w:r>
        <w:rPr>
          <w:spacing w:val="-1"/>
          <w:sz w:val="21"/>
        </w:rPr>
        <w:t>养护作业控制区应按照警告区、上游过渡区、纵向缓冲区、作业区、下游过渡区和终止区的顺</w:t>
      </w:r>
      <w:r>
        <w:rPr>
          <w:sz w:val="21"/>
        </w:rPr>
        <w:t>序依次布置安全防护设施。</w:t>
      </w:r>
    </w:p>
    <w:p>
      <w:pPr>
        <w:pStyle w:val="ListParagraph"/>
        <w:numPr>
          <w:ilvl w:val="2"/>
          <w:numId w:val="2"/>
        </w:numPr>
        <w:tabs>
          <w:tab w:val="left" w:pos="912"/>
          <w:tab w:val="left" w:pos="913"/>
        </w:tabs>
        <w:spacing w:before="0" w:after="0" w:line="278" w:lineRule="auto"/>
        <w:ind w:left="178" w:right="307" w:firstLine="0"/>
        <w:jc w:val="left"/>
        <w:rPr>
          <w:sz w:val="21"/>
        </w:rPr>
      </w:pPr>
      <w:r>
        <w:rPr>
          <w:sz w:val="21"/>
        </w:rPr>
        <w:t xml:space="preserve">养护作业控制区的布置应考虑养护作业的内容与要求、时间和周期、交通量、经济效益等因素，其中防撞车和定向喇叭是必要设施。当作业控制区域道路交通状况复杂时，宜增设现场预警设 </w:t>
      </w:r>
      <w:r>
        <w:rPr>
          <w:spacing w:val="-1"/>
          <w:sz w:val="21"/>
        </w:rPr>
        <w:t>备、水马或其它安全设施，加强现场安全防护。控制区内交通标志的布设必须合理、前后协调、起到</w:t>
      </w:r>
      <w:r>
        <w:rPr>
          <w:sz w:val="21"/>
        </w:rPr>
        <w:t>引导车流平稳变化的作用。</w:t>
      </w:r>
    </w:p>
    <w:p>
      <w:pPr>
        <w:pStyle w:val="ListParagraph"/>
        <w:numPr>
          <w:ilvl w:val="2"/>
          <w:numId w:val="2"/>
        </w:numPr>
        <w:tabs>
          <w:tab w:val="left" w:pos="912"/>
          <w:tab w:val="left" w:pos="913"/>
        </w:tabs>
        <w:spacing w:before="0" w:after="0" w:line="278" w:lineRule="auto"/>
        <w:ind w:left="178" w:right="202" w:firstLine="0"/>
        <w:jc w:val="left"/>
        <w:rPr>
          <w:sz w:val="21"/>
        </w:rPr>
      </w:pPr>
      <w:r>
        <w:rPr>
          <w:spacing w:val="-1"/>
          <w:sz w:val="21"/>
        </w:rPr>
        <w:t>在条件允许情况下，高速公路养护作业可同时封闭相邻一侧车道，建立横向缓冲区并降低最终</w:t>
      </w:r>
      <w:r>
        <w:rPr>
          <w:sz w:val="21"/>
        </w:rPr>
        <w:t>限速值。</w:t>
      </w:r>
    </w:p>
    <w:p>
      <w:pPr>
        <w:pStyle w:val="ListParagraph"/>
        <w:numPr>
          <w:ilvl w:val="2"/>
          <w:numId w:val="2"/>
        </w:numPr>
        <w:tabs>
          <w:tab w:val="left" w:pos="912"/>
          <w:tab w:val="left" w:pos="913"/>
        </w:tabs>
        <w:spacing w:before="0" w:after="0" w:line="269" w:lineRule="exact"/>
        <w:ind w:left="913" w:right="0" w:hanging="735"/>
        <w:jc w:val="left"/>
        <w:rPr>
          <w:sz w:val="21"/>
        </w:rPr>
      </w:pPr>
      <w:r>
        <w:rPr>
          <w:sz w:val="21"/>
        </w:rPr>
        <w:t>养护作业控制区两侧应差异化布设安全设施，并应符合下列要求：</w:t>
      </w:r>
    </w:p>
    <w:p>
      <w:pPr>
        <w:pStyle w:val="ListParagraph"/>
        <w:numPr>
          <w:ilvl w:val="3"/>
          <w:numId w:val="2"/>
        </w:numPr>
        <w:tabs>
          <w:tab w:val="left" w:pos="1017"/>
          <w:tab w:val="left" w:pos="1018"/>
        </w:tabs>
        <w:spacing w:before="42" w:after="0" w:line="278" w:lineRule="auto"/>
        <w:ind w:left="1016" w:right="192" w:hanging="419"/>
        <w:jc w:val="left"/>
        <w:rPr>
          <w:sz w:val="21"/>
        </w:rPr>
      </w:pPr>
      <w:r>
        <w:rPr>
          <w:sz w:val="21"/>
        </w:rPr>
        <w:t>车道养护作业时，在封闭车道一侧的警告区应布设施工标志、定向喇叭、限速标志，在非封闭车道一侧的警告区应布设施工标志、限速标志、禁止超车标志，并宜布设警示频闪灯；</w:t>
      </w:r>
    </w:p>
    <w:p>
      <w:pPr>
        <w:pStyle w:val="ListParagraph"/>
        <w:numPr>
          <w:ilvl w:val="3"/>
          <w:numId w:val="2"/>
        </w:numPr>
        <w:tabs>
          <w:tab w:val="left" w:pos="1017"/>
          <w:tab w:val="left" w:pos="1018"/>
        </w:tabs>
        <w:spacing w:before="0" w:after="0" w:line="278" w:lineRule="auto"/>
        <w:ind w:left="1016" w:right="192" w:hanging="419"/>
        <w:jc w:val="left"/>
        <w:rPr>
          <w:sz w:val="21"/>
        </w:rPr>
      </w:pPr>
      <w:r>
        <w:rPr>
          <w:spacing w:val="-3"/>
          <w:sz w:val="21"/>
        </w:rPr>
        <w:t xml:space="preserve">交通标志的布设除应符合 </w:t>
      </w:r>
      <w:r>
        <w:rPr>
          <w:sz w:val="21"/>
        </w:rPr>
        <w:t>GB</w:t>
      </w:r>
      <w:r>
        <w:rPr>
          <w:spacing w:val="3"/>
          <w:sz w:val="21"/>
        </w:rPr>
        <w:t xml:space="preserve"> </w:t>
      </w:r>
      <w:r>
        <w:rPr>
          <w:sz w:val="21"/>
        </w:rPr>
        <w:t>5768.2</w:t>
      </w:r>
      <w:r>
        <w:rPr>
          <w:spacing w:val="-5"/>
          <w:sz w:val="21"/>
        </w:rPr>
        <w:t xml:space="preserve"> 的规定外，还可以利用电子标牌主动发光显示、可变信息标志动态显示前方施工信息。</w:t>
      </w:r>
    </w:p>
    <w:p>
      <w:pPr>
        <w:pStyle w:val="ListParagraph"/>
        <w:numPr>
          <w:ilvl w:val="2"/>
          <w:numId w:val="2"/>
        </w:numPr>
        <w:tabs>
          <w:tab w:val="left" w:pos="912"/>
          <w:tab w:val="left" w:pos="913"/>
        </w:tabs>
        <w:spacing w:before="0" w:after="0" w:line="278" w:lineRule="auto"/>
        <w:ind w:left="178" w:right="193" w:firstLine="0"/>
        <w:jc w:val="left"/>
        <w:rPr>
          <w:sz w:val="21"/>
        </w:rPr>
      </w:pPr>
      <w:r>
        <w:rPr>
          <w:spacing w:val="-4"/>
          <w:sz w:val="21"/>
        </w:rPr>
        <w:t xml:space="preserve">单个作业控制区长度不宜大于 </w:t>
      </w:r>
      <w:r>
        <w:rPr>
          <w:sz w:val="21"/>
        </w:rPr>
        <w:t>2</w:t>
      </w:r>
      <w:r>
        <w:rPr>
          <w:spacing w:val="-44"/>
          <w:sz w:val="21"/>
        </w:rPr>
        <w:t xml:space="preserve"> </w:t>
      </w:r>
      <w:r>
        <w:rPr>
          <w:sz w:val="21"/>
        </w:rPr>
        <w:t>km，</w:t>
      </w:r>
      <w:r>
        <w:rPr>
          <w:spacing w:val="-1"/>
          <w:sz w:val="21"/>
        </w:rPr>
        <w:t>同一行车方向不同断面同时进行养护作业时，相邻两个工</w:t>
      </w:r>
      <w:r>
        <w:rPr>
          <w:spacing w:val="-6"/>
          <w:sz w:val="21"/>
        </w:rPr>
        <w:t xml:space="preserve">作区净距不宜小于 </w:t>
      </w:r>
      <w:r>
        <w:rPr>
          <w:sz w:val="21"/>
        </w:rPr>
        <w:t>5km。</w:t>
      </w:r>
    </w:p>
    <w:p>
      <w:pPr>
        <w:spacing w:after="0" w:line="278" w:lineRule="auto"/>
        <w:jc w:val="left"/>
        <w:rPr>
          <w:sz w:val="21"/>
        </w:rPr>
        <w:sectPr>
          <w:footerReference w:type="default" r:id="rId10"/>
          <w:pgSz w:w="11910" w:h="16840"/>
          <w:pgMar w:top="1580" w:right="940" w:bottom="1320" w:left="1240" w:header="0" w:footer="1125" w:gutter="0"/>
          <w:pgNumType w:start="6"/>
          <w:cols w:num="1" w:space="720"/>
        </w:sectPr>
      </w:pPr>
    </w:p>
    <w:p>
      <w:pPr>
        <w:pStyle w:val="BodyText"/>
        <w:spacing w:before="8"/>
        <w:rPr>
          <w:sz w:val="20"/>
        </w:rPr>
      </w:pPr>
    </w:p>
    <w:p>
      <w:pPr>
        <w:pStyle w:val="ListParagraph"/>
        <w:numPr>
          <w:ilvl w:val="2"/>
          <w:numId w:val="2"/>
        </w:numPr>
        <w:tabs>
          <w:tab w:val="left" w:pos="912"/>
          <w:tab w:val="left" w:pos="913"/>
        </w:tabs>
        <w:spacing w:before="71" w:after="0" w:line="278" w:lineRule="auto"/>
        <w:ind w:left="178" w:right="202" w:firstLine="0"/>
        <w:jc w:val="left"/>
        <w:rPr>
          <w:sz w:val="21"/>
        </w:rPr>
      </w:pPr>
      <w:r>
        <w:rPr>
          <w:spacing w:val="-1"/>
          <w:sz w:val="21"/>
        </w:rPr>
        <w:t>养护作业控制区应设置工程车辆专门的出、入口，并宜设在顺行车方向的下游过渡区内。当工</w:t>
      </w:r>
      <w:r>
        <w:rPr>
          <w:sz w:val="21"/>
        </w:rPr>
        <w:t>程车辆需经上游过渡区或工作区进入时，应布设警告标志。</w:t>
      </w:r>
    </w:p>
    <w:p>
      <w:pPr>
        <w:pStyle w:val="ListParagraph"/>
        <w:numPr>
          <w:ilvl w:val="1"/>
          <w:numId w:val="2"/>
        </w:numPr>
        <w:tabs>
          <w:tab w:val="left" w:pos="702"/>
          <w:tab w:val="left" w:pos="703"/>
        </w:tabs>
        <w:spacing w:before="156" w:after="0" w:line="240" w:lineRule="auto"/>
        <w:ind w:left="703" w:right="0" w:hanging="525"/>
        <w:jc w:val="left"/>
        <w:rPr>
          <w:rFonts w:ascii="黑体" w:eastAsia="黑体" w:hint="eastAsia"/>
          <w:sz w:val="21"/>
        </w:rPr>
      </w:pPr>
      <w:bookmarkStart w:id="14" w:name="_bookmark13"/>
      <w:bookmarkEnd w:id="14"/>
      <w:r>
        <w:rPr>
          <w:rFonts w:ascii="黑体" w:eastAsia="黑体" w:hint="eastAsia"/>
          <w:sz w:val="21"/>
        </w:rPr>
        <w:t>作业控制区布置方案</w:t>
      </w:r>
    </w:p>
    <w:p>
      <w:pPr>
        <w:pStyle w:val="ListParagraph"/>
        <w:numPr>
          <w:ilvl w:val="2"/>
          <w:numId w:val="2"/>
        </w:numPr>
        <w:tabs>
          <w:tab w:val="left" w:pos="912"/>
          <w:tab w:val="left" w:pos="913"/>
        </w:tabs>
        <w:spacing w:before="179" w:after="0" w:line="240" w:lineRule="auto"/>
        <w:ind w:left="913" w:right="0" w:hanging="735"/>
        <w:jc w:val="left"/>
        <w:rPr>
          <w:rFonts w:ascii="黑体" w:eastAsia="黑体" w:hint="eastAsia"/>
          <w:sz w:val="21"/>
        </w:rPr>
      </w:pPr>
      <w:r>
        <w:rPr>
          <w:rFonts w:ascii="黑体" w:eastAsia="黑体" w:hint="eastAsia"/>
          <w:sz w:val="21"/>
        </w:rPr>
        <w:t>四车道</w:t>
      </w:r>
    </w:p>
    <w:p>
      <w:pPr>
        <w:pStyle w:val="BodyText"/>
        <w:spacing w:before="179"/>
        <w:ind w:left="598"/>
      </w:pPr>
      <w:r>
        <w:t>四车道公路封闭车道及立交匝道的养护作业，作业控制区的布置见图B.1</w:t>
      </w:r>
      <w:r>
        <w:rPr>
          <w:rFonts w:ascii="Times New Roman" w:eastAsia="Times New Roman"/>
        </w:rPr>
        <w:t>~</w:t>
      </w:r>
      <w:r>
        <w:t>图B.8。</w:t>
      </w:r>
    </w:p>
    <w:p>
      <w:pPr>
        <w:pStyle w:val="BodyText"/>
        <w:spacing w:before="6"/>
        <w:rPr>
          <w:sz w:val="15"/>
        </w:rPr>
      </w:pPr>
    </w:p>
    <w:p>
      <w:pPr>
        <w:pStyle w:val="ListParagraph"/>
        <w:numPr>
          <w:ilvl w:val="2"/>
          <w:numId w:val="2"/>
        </w:numPr>
        <w:tabs>
          <w:tab w:val="left" w:pos="912"/>
          <w:tab w:val="left" w:pos="913"/>
        </w:tabs>
        <w:spacing w:before="1" w:after="0" w:line="240" w:lineRule="auto"/>
        <w:ind w:left="913" w:right="0" w:hanging="735"/>
        <w:jc w:val="left"/>
        <w:rPr>
          <w:rFonts w:ascii="黑体" w:eastAsia="黑体" w:hint="eastAsia"/>
          <w:sz w:val="21"/>
        </w:rPr>
      </w:pPr>
      <w:r>
        <w:rPr>
          <w:rFonts w:ascii="黑体" w:eastAsia="黑体" w:hint="eastAsia"/>
          <w:sz w:val="21"/>
        </w:rPr>
        <w:t>六车道</w:t>
      </w:r>
    </w:p>
    <w:p>
      <w:pPr>
        <w:pStyle w:val="BodyText"/>
        <w:spacing w:before="6"/>
        <w:rPr>
          <w:rFonts w:ascii="黑体"/>
          <w:sz w:val="15"/>
        </w:rPr>
      </w:pPr>
    </w:p>
    <w:p>
      <w:pPr>
        <w:pStyle w:val="BodyText"/>
        <w:ind w:left="598"/>
      </w:pPr>
      <w:r>
        <w:t>六车道公路封闭车道及立交匝道的养护作业，作业控制区的布置见图B.9</w:t>
      </w:r>
      <w:r>
        <w:rPr>
          <w:rFonts w:ascii="Times New Roman" w:eastAsia="Times New Roman"/>
        </w:rPr>
        <w:t>~</w:t>
      </w:r>
      <w:r>
        <w:t>图B.17。</w:t>
      </w:r>
    </w:p>
    <w:p>
      <w:pPr>
        <w:pStyle w:val="BodyText"/>
        <w:spacing w:before="7"/>
        <w:rPr>
          <w:sz w:val="15"/>
        </w:rPr>
      </w:pPr>
    </w:p>
    <w:p>
      <w:pPr>
        <w:pStyle w:val="ListParagraph"/>
        <w:numPr>
          <w:ilvl w:val="2"/>
          <w:numId w:val="2"/>
        </w:numPr>
        <w:tabs>
          <w:tab w:val="left" w:pos="912"/>
          <w:tab w:val="left" w:pos="913"/>
        </w:tabs>
        <w:spacing w:before="0" w:after="0" w:line="240" w:lineRule="auto"/>
        <w:ind w:left="913" w:right="0" w:hanging="735"/>
        <w:jc w:val="left"/>
        <w:rPr>
          <w:rFonts w:ascii="黑体" w:eastAsia="黑体" w:hint="eastAsia"/>
          <w:sz w:val="21"/>
        </w:rPr>
      </w:pPr>
      <w:r>
        <w:rPr>
          <w:rFonts w:ascii="黑体" w:eastAsia="黑体" w:hint="eastAsia"/>
          <w:sz w:val="21"/>
        </w:rPr>
        <w:t>八车道</w:t>
      </w:r>
    </w:p>
    <w:p>
      <w:pPr>
        <w:pStyle w:val="BodyText"/>
        <w:spacing w:before="7"/>
        <w:rPr>
          <w:rFonts w:ascii="黑体"/>
          <w:sz w:val="15"/>
        </w:rPr>
      </w:pPr>
    </w:p>
    <w:p>
      <w:pPr>
        <w:pStyle w:val="BodyText"/>
        <w:ind w:left="598"/>
      </w:pPr>
      <w:r>
        <w:t>八车道公路封闭车道及立交匝道的养护作业，作业控制区的布置见图B.18</w:t>
      </w:r>
      <w:r>
        <w:rPr>
          <w:rFonts w:ascii="Times New Roman" w:eastAsia="Times New Roman"/>
        </w:rPr>
        <w:t>~</w:t>
      </w:r>
      <w:r>
        <w:t>图B.27。</w:t>
      </w:r>
    </w:p>
    <w:p>
      <w:pPr>
        <w:spacing w:after="0"/>
        <w:sectPr>
          <w:footerReference w:type="default" r:id="rId11"/>
          <w:pgSz w:w="11910" w:h="16840"/>
          <w:pgMar w:top="1580" w:right="940" w:bottom="1320" w:left="1240" w:header="0" w:footer="1125" w:gutter="0"/>
          <w:pgNumType w:start="7"/>
          <w:cols w:num="1" w:space="720"/>
        </w:sectPr>
      </w:pPr>
    </w:p>
    <w:p>
      <w:pPr>
        <w:pStyle w:val="BodyText"/>
        <w:rPr>
          <w:sz w:val="20"/>
        </w:rPr>
      </w:pPr>
    </w:p>
    <w:p>
      <w:pPr>
        <w:pStyle w:val="BodyText"/>
        <w:rPr>
          <w:sz w:val="20"/>
        </w:rPr>
      </w:pPr>
    </w:p>
    <w:p>
      <w:pPr>
        <w:pStyle w:val="BodyText"/>
        <w:rPr>
          <w:sz w:val="20"/>
        </w:rPr>
      </w:pPr>
    </w:p>
    <w:p>
      <w:pPr>
        <w:pStyle w:val="BodyText"/>
        <w:spacing w:before="4"/>
        <w:rPr>
          <w:sz w:val="18"/>
        </w:rPr>
      </w:pPr>
    </w:p>
    <w:p>
      <w:pPr>
        <w:pStyle w:val="BodyText"/>
        <w:tabs>
          <w:tab w:val="left" w:pos="419"/>
          <w:tab w:val="left" w:pos="839"/>
        </w:tabs>
        <w:ind w:right="15"/>
        <w:jc w:val="center"/>
        <w:rPr>
          <w:rFonts w:ascii="黑体" w:eastAsia="黑体" w:hint="eastAsia"/>
        </w:rPr>
      </w:pPr>
      <w:r>
        <w:rPr>
          <w:rFonts w:ascii="黑体" w:eastAsia="黑体" w:hint="eastAsia"/>
        </w:rPr>
        <w:t>附</w:t>
      </w:r>
      <w:r>
        <w:rPr>
          <w:rFonts w:ascii="黑体" w:eastAsia="黑体" w:hint="eastAsia"/>
        </w:rPr>
        <w:tab/>
      </w:r>
      <w:r>
        <w:rPr>
          <w:rFonts w:ascii="黑体" w:eastAsia="黑体" w:hint="eastAsia"/>
        </w:rPr>
        <w:t>录</w:t>
      </w:r>
      <w:r>
        <w:rPr>
          <w:rFonts w:ascii="黑体" w:eastAsia="黑体" w:hint="eastAsia"/>
        </w:rPr>
        <w:tab/>
      </w:r>
      <w:r>
        <w:rPr>
          <w:rFonts w:ascii="黑体" w:eastAsia="黑体" w:hint="eastAsia"/>
        </w:rPr>
        <w:t>A</w:t>
      </w:r>
    </w:p>
    <w:p>
      <w:pPr>
        <w:pStyle w:val="BodyText"/>
        <w:spacing w:before="43"/>
        <w:ind w:right="15"/>
        <w:jc w:val="center"/>
        <w:rPr>
          <w:rFonts w:ascii="黑体" w:eastAsia="黑体" w:hint="eastAsia"/>
        </w:rPr>
      </w:pPr>
      <w:bookmarkStart w:id="15" w:name="_bookmark14"/>
      <w:bookmarkEnd w:id="15"/>
      <w:r>
        <w:rPr>
          <w:rFonts w:ascii="黑体" w:eastAsia="黑体" w:hint="eastAsia"/>
        </w:rPr>
        <w:t>（规范性附录）</w:t>
      </w:r>
    </w:p>
    <w:p>
      <w:pPr>
        <w:pStyle w:val="BodyText"/>
        <w:spacing w:before="43"/>
        <w:ind w:right="15"/>
        <w:jc w:val="center"/>
        <w:rPr>
          <w:rFonts w:ascii="黑体" w:eastAsia="黑体" w:hint="eastAsia"/>
        </w:rPr>
      </w:pPr>
      <w:r>
        <w:rPr>
          <w:rFonts w:ascii="黑体" w:eastAsia="黑体" w:hint="eastAsia"/>
        </w:rPr>
        <w:t>养护作业安全防护设施、符号</w:t>
      </w:r>
    </w:p>
    <w:p>
      <w:pPr>
        <w:pStyle w:val="BodyText"/>
        <w:spacing w:before="8"/>
        <w:rPr>
          <w:rFonts w:ascii="黑体"/>
          <w:sz w:val="27"/>
        </w:rPr>
      </w:pPr>
    </w:p>
    <w:p>
      <w:pPr>
        <w:pStyle w:val="ListParagraph"/>
        <w:numPr>
          <w:ilvl w:val="1"/>
          <w:numId w:val="7"/>
        </w:numPr>
        <w:tabs>
          <w:tab w:val="left" w:pos="702"/>
          <w:tab w:val="left" w:pos="703"/>
        </w:tabs>
        <w:spacing w:before="1" w:after="0" w:line="240" w:lineRule="auto"/>
        <w:ind w:left="703" w:right="0" w:hanging="525"/>
        <w:jc w:val="left"/>
        <w:rPr>
          <w:rFonts w:ascii="黑体" w:eastAsia="黑体" w:hint="eastAsia"/>
          <w:sz w:val="21"/>
        </w:rPr>
      </w:pPr>
      <w:r>
        <w:rPr>
          <w:rFonts w:ascii="黑体" w:eastAsia="黑体" w:hint="eastAsia"/>
          <w:sz w:val="21"/>
        </w:rPr>
        <w:t>有关养护作业安全防护设施图表</w:t>
      </w:r>
    </w:p>
    <w:p>
      <w:pPr>
        <w:pStyle w:val="BodyText"/>
        <w:spacing w:before="8"/>
        <w:rPr>
          <w:rFonts w:ascii="黑体"/>
          <w:sz w:val="27"/>
        </w:rPr>
      </w:pPr>
    </w:p>
    <w:p>
      <w:pPr>
        <w:pStyle w:val="BodyText"/>
        <w:tabs>
          <w:tab w:val="left" w:pos="734"/>
        </w:tabs>
        <w:spacing w:before="1"/>
        <w:ind w:right="15"/>
        <w:jc w:val="center"/>
        <w:rPr>
          <w:rFonts w:ascii="黑体" w:eastAsia="黑体" w:hint="eastAsia"/>
        </w:rPr>
      </w:pPr>
      <w:r>
        <w:rPr>
          <w:rFonts w:ascii="黑体" w:eastAsia="黑体" w:hint="eastAsia"/>
        </w:rPr>
        <w:t>表A.1</w:t>
      </w:r>
      <w:r>
        <w:rPr>
          <w:rFonts w:ascii="黑体" w:eastAsia="黑体" w:hint="eastAsia"/>
        </w:rPr>
        <w:tab/>
      </w:r>
      <w:r>
        <w:rPr>
          <w:rFonts w:ascii="黑体" w:eastAsia="黑体" w:hint="eastAsia"/>
        </w:rPr>
        <w:t>有关养护作业安全防护设施</w:t>
      </w:r>
    </w:p>
    <w:p>
      <w:pPr>
        <w:pStyle w:val="BodyText"/>
        <w:spacing w:before="9"/>
        <w:rPr>
          <w:rFonts w:ascii="黑体"/>
          <w:sz w:val="13"/>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28"/>
        <w:gridCol w:w="7062"/>
      </w:tblGrid>
      <w:tr>
        <w:tblPrEx>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454"/>
        </w:trPr>
        <w:tc>
          <w:tcPr>
            <w:tcW w:w="2428" w:type="dxa"/>
          </w:tcPr>
          <w:p>
            <w:pPr>
              <w:pStyle w:val="TableParagraph"/>
              <w:spacing w:before="113"/>
              <w:ind w:left="564" w:right="554"/>
              <w:jc w:val="center"/>
              <w:rPr>
                <w:sz w:val="18"/>
              </w:rPr>
            </w:pPr>
            <w:r>
              <w:rPr>
                <w:sz w:val="18"/>
              </w:rPr>
              <w:t>设施名称</w:t>
            </w:r>
          </w:p>
        </w:tc>
        <w:tc>
          <w:tcPr>
            <w:tcW w:w="7062" w:type="dxa"/>
          </w:tcPr>
          <w:p>
            <w:pPr>
              <w:pStyle w:val="TableParagraph"/>
              <w:spacing w:before="113"/>
              <w:ind w:left="1096" w:right="1086"/>
              <w:jc w:val="center"/>
              <w:rPr>
                <w:sz w:val="18"/>
              </w:rPr>
            </w:pPr>
            <w:r>
              <w:rPr>
                <w:sz w:val="18"/>
              </w:rPr>
              <w:t>设施图案</w:t>
            </w:r>
          </w:p>
        </w:tc>
      </w:tr>
      <w:tr>
        <w:tblPrEx>
          <w:tblW w:w="0" w:type="auto"/>
          <w:tblInd w:w="115" w:type="dxa"/>
          <w:tblLayout w:type="fixed"/>
          <w:tblCellMar>
            <w:top w:w="0" w:type="dxa"/>
            <w:left w:w="0" w:type="dxa"/>
            <w:bottom w:w="0" w:type="dxa"/>
            <w:right w:w="0" w:type="dxa"/>
          </w:tblCellMar>
        </w:tblPrEx>
        <w:trPr>
          <w:trHeight w:val="3431"/>
        </w:trPr>
        <w:tc>
          <w:tcPr>
            <w:tcW w:w="2428" w:type="dxa"/>
          </w:tcPr>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7"/>
              </w:rPr>
            </w:pPr>
          </w:p>
          <w:p>
            <w:pPr>
              <w:pStyle w:val="TableParagraph"/>
              <w:ind w:left="564" w:right="554"/>
              <w:jc w:val="center"/>
              <w:rPr>
                <w:sz w:val="18"/>
              </w:rPr>
            </w:pPr>
            <w:r>
              <w:rPr>
                <w:sz w:val="18"/>
              </w:rPr>
              <w:t>定向喇叭</w:t>
            </w:r>
          </w:p>
        </w:tc>
        <w:tc>
          <w:tcPr>
            <w:tcW w:w="7062" w:type="dxa"/>
          </w:tcPr>
          <w:p>
            <w:pPr>
              <w:pStyle w:val="TableParagraph"/>
              <w:spacing w:before="6"/>
              <w:rPr>
                <w:rFonts w:ascii="黑体"/>
                <w:sz w:val="4"/>
              </w:rPr>
            </w:pPr>
          </w:p>
          <w:p>
            <w:pPr>
              <w:pStyle w:val="TableParagraph"/>
              <w:ind w:left="1317"/>
              <w:rPr>
                <w:rFonts w:ascii="黑体"/>
                <w:sz w:val="20"/>
              </w:rPr>
            </w:pPr>
            <w:r>
              <w:rPr>
                <w:rFonts w:ascii="黑体"/>
                <w:sz w:val="20"/>
              </w:rPr>
              <w:drawing>
                <wp:inline distT="0" distB="0" distL="0" distR="0">
                  <wp:extent cx="2842895" cy="211899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xmlns:r="http://schemas.openxmlformats.org/officeDocument/2006/relationships" r:embed="rId12" cstate="print"/>
                          <a:stretch>
                            <a:fillRect/>
                          </a:stretch>
                        </pic:blipFill>
                        <pic:spPr>
                          <a:xfrm>
                            <a:off x="0" y="0"/>
                            <a:ext cx="2843159" cy="2119312"/>
                          </a:xfrm>
                          <a:prstGeom prst="rect">
                            <a:avLst/>
                          </a:prstGeom>
                        </pic:spPr>
                      </pic:pic>
                    </a:graphicData>
                  </a:graphic>
                </wp:inline>
              </w:drawing>
            </w:r>
          </w:p>
        </w:tc>
      </w:tr>
      <w:tr>
        <w:tblPrEx>
          <w:tblW w:w="0" w:type="auto"/>
          <w:tblInd w:w="115" w:type="dxa"/>
          <w:tblLayout w:type="fixed"/>
          <w:tblCellMar>
            <w:top w:w="0" w:type="dxa"/>
            <w:left w:w="0" w:type="dxa"/>
            <w:bottom w:w="0" w:type="dxa"/>
            <w:right w:w="0" w:type="dxa"/>
          </w:tblCellMar>
        </w:tblPrEx>
        <w:trPr>
          <w:trHeight w:val="2807"/>
        </w:trPr>
        <w:tc>
          <w:tcPr>
            <w:tcW w:w="2428" w:type="dxa"/>
          </w:tcPr>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spacing w:before="137"/>
              <w:ind w:left="564" w:right="554"/>
              <w:jc w:val="center"/>
              <w:rPr>
                <w:sz w:val="18"/>
              </w:rPr>
            </w:pPr>
            <w:r>
              <w:rPr>
                <w:sz w:val="18"/>
              </w:rPr>
              <w:t>防撞车</w:t>
            </w:r>
          </w:p>
        </w:tc>
        <w:tc>
          <w:tcPr>
            <w:tcW w:w="7062" w:type="dxa"/>
          </w:tcPr>
          <w:p>
            <w:pPr>
              <w:pStyle w:val="TableParagraph"/>
              <w:ind w:left="1198"/>
              <w:rPr>
                <w:rFonts w:ascii="黑体"/>
                <w:sz w:val="20"/>
              </w:rPr>
            </w:pPr>
            <w:r>
              <w:rPr>
                <w:rFonts w:ascii="黑体"/>
                <w:sz w:val="20"/>
              </w:rPr>
              <w:drawing>
                <wp:inline distT="0" distB="0" distL="0" distR="0">
                  <wp:extent cx="2945130" cy="1748155"/>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xmlns:r="http://schemas.openxmlformats.org/officeDocument/2006/relationships" r:embed="rId13" cstate="print"/>
                          <a:stretch>
                            <a:fillRect/>
                          </a:stretch>
                        </pic:blipFill>
                        <pic:spPr>
                          <a:xfrm>
                            <a:off x="0" y="0"/>
                            <a:ext cx="2945330" cy="1748789"/>
                          </a:xfrm>
                          <a:prstGeom prst="rect">
                            <a:avLst/>
                          </a:prstGeom>
                        </pic:spPr>
                      </pic:pic>
                    </a:graphicData>
                  </a:graphic>
                </wp:inline>
              </w:drawing>
            </w:r>
          </w:p>
        </w:tc>
      </w:tr>
      <w:tr>
        <w:tblPrEx>
          <w:tblW w:w="0" w:type="auto"/>
          <w:tblInd w:w="115" w:type="dxa"/>
          <w:tblLayout w:type="fixed"/>
          <w:tblCellMar>
            <w:top w:w="0" w:type="dxa"/>
            <w:left w:w="0" w:type="dxa"/>
            <w:bottom w:w="0" w:type="dxa"/>
            <w:right w:w="0" w:type="dxa"/>
          </w:tblCellMar>
        </w:tblPrEx>
        <w:trPr>
          <w:trHeight w:val="3432"/>
        </w:trPr>
        <w:tc>
          <w:tcPr>
            <w:tcW w:w="2428" w:type="dxa"/>
          </w:tcPr>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8"/>
              </w:rPr>
            </w:pPr>
          </w:p>
          <w:p>
            <w:pPr>
              <w:pStyle w:val="TableParagraph"/>
              <w:rPr>
                <w:rFonts w:ascii="黑体"/>
                <w:sz w:val="17"/>
              </w:rPr>
            </w:pPr>
          </w:p>
          <w:p>
            <w:pPr>
              <w:pStyle w:val="TableParagraph"/>
              <w:ind w:left="564" w:right="554"/>
              <w:jc w:val="center"/>
              <w:rPr>
                <w:sz w:val="18"/>
              </w:rPr>
            </w:pPr>
            <w:r>
              <w:rPr>
                <w:sz w:val="18"/>
              </w:rPr>
              <w:t>带爆闪灯的锥桶</w:t>
            </w:r>
          </w:p>
        </w:tc>
        <w:tc>
          <w:tcPr>
            <w:tcW w:w="7062" w:type="dxa"/>
          </w:tcPr>
          <w:p>
            <w:pPr>
              <w:pStyle w:val="TableParagraph"/>
              <w:spacing w:before="2"/>
              <w:rPr>
                <w:rFonts w:ascii="黑体"/>
                <w:sz w:val="9"/>
              </w:rPr>
            </w:pPr>
          </w:p>
          <w:p>
            <w:pPr>
              <w:pStyle w:val="TableParagraph"/>
              <w:ind w:left="1221"/>
              <w:rPr>
                <w:rFonts w:ascii="黑体"/>
                <w:sz w:val="20"/>
              </w:rPr>
            </w:pPr>
            <w:r>
              <w:rPr>
                <w:rFonts w:ascii="黑体"/>
                <w:sz w:val="20"/>
              </w:rPr>
              <w:drawing>
                <wp:inline distT="0" distB="0" distL="0" distR="0">
                  <wp:extent cx="2890520" cy="2052320"/>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pic:cNvPicPr>
                        </pic:nvPicPr>
                        <pic:blipFill>
                          <a:blip xmlns:r="http://schemas.openxmlformats.org/officeDocument/2006/relationships" r:embed="rId14" cstate="print"/>
                          <a:stretch>
                            <a:fillRect/>
                          </a:stretch>
                        </pic:blipFill>
                        <pic:spPr>
                          <a:xfrm>
                            <a:off x="0" y="0"/>
                            <a:ext cx="2890868" cy="2052637"/>
                          </a:xfrm>
                          <a:prstGeom prst="rect">
                            <a:avLst/>
                          </a:prstGeom>
                        </pic:spPr>
                      </pic:pic>
                    </a:graphicData>
                  </a:graphic>
                </wp:inline>
              </w:drawing>
            </w:r>
          </w:p>
        </w:tc>
      </w:tr>
    </w:tbl>
    <w:p>
      <w:pPr>
        <w:spacing w:after="0"/>
        <w:rPr>
          <w:rFonts w:ascii="黑体"/>
          <w:sz w:val="20"/>
        </w:rPr>
        <w:sectPr>
          <w:footerReference w:type="default" r:id="rId15"/>
          <w:pgSz w:w="11910" w:h="16840"/>
          <w:pgMar w:top="1580" w:right="940" w:bottom="1320" w:left="1240" w:header="0" w:footer="1125" w:gutter="0"/>
          <w:pgNumType w:start="8"/>
          <w:cols w:num="1" w:space="720"/>
        </w:sectPr>
      </w:pPr>
    </w:p>
    <w:p>
      <w:pPr>
        <w:pStyle w:val="BodyText"/>
        <w:spacing w:before="8"/>
        <w:rPr>
          <w:rFonts w:ascii="黑体"/>
          <w:sz w:val="20"/>
        </w:rPr>
      </w:pPr>
    </w:p>
    <w:p>
      <w:pPr>
        <w:pStyle w:val="ListParagraph"/>
        <w:numPr>
          <w:ilvl w:val="1"/>
          <w:numId w:val="4"/>
        </w:numPr>
        <w:tabs>
          <w:tab w:val="left" w:pos="702"/>
          <w:tab w:val="left" w:pos="703"/>
        </w:tabs>
        <w:spacing w:before="71" w:after="0" w:line="240" w:lineRule="auto"/>
        <w:ind w:left="703" w:right="0" w:hanging="525"/>
        <w:jc w:val="left"/>
        <w:rPr>
          <w:rFonts w:ascii="黑体" w:eastAsia="黑体" w:hint="eastAsia"/>
          <w:sz w:val="21"/>
        </w:rPr>
      </w:pPr>
      <w:r>
        <w:rPr>
          <w:rFonts w:ascii="黑体" w:eastAsia="黑体" w:hint="eastAsia"/>
          <w:sz w:val="21"/>
        </w:rPr>
        <w:t>养护安全防护设施符号</w:t>
      </w:r>
    </w:p>
    <w:p>
      <w:pPr>
        <w:pStyle w:val="BodyText"/>
        <w:spacing w:before="2"/>
        <w:rPr>
          <w:rFonts w:ascii="黑体"/>
          <w:sz w:val="22"/>
        </w:rPr>
      </w:pPr>
    </w:p>
    <w:p>
      <w:pPr>
        <w:pStyle w:val="BodyText"/>
        <w:tabs>
          <w:tab w:val="left" w:pos="734"/>
        </w:tabs>
        <w:spacing w:before="71"/>
        <w:ind w:right="234"/>
        <w:jc w:val="center"/>
        <w:rPr>
          <w:rFonts w:ascii="黑体" w:eastAsia="黑体" w:hint="eastAsia"/>
        </w:rPr>
      </w:pPr>
      <w:r>
        <w:rPr>
          <w:rFonts w:ascii="黑体" w:eastAsia="黑体" w:hint="eastAsia"/>
        </w:rPr>
        <w:t>表A.2</w:t>
      </w:r>
      <w:r>
        <w:rPr>
          <w:rFonts w:ascii="黑体" w:eastAsia="黑体" w:hint="eastAsia"/>
        </w:rPr>
        <w:tab/>
      </w:r>
      <w:r>
        <w:rPr>
          <w:rFonts w:ascii="黑体" w:eastAsia="黑体" w:hint="eastAsia"/>
        </w:rPr>
        <w:t>养护安全防护设施符号</w:t>
      </w:r>
    </w:p>
    <w:p>
      <w:pPr>
        <w:pStyle w:val="BodyText"/>
        <w:spacing w:before="9"/>
        <w:rPr>
          <w:rFonts w:ascii="黑体"/>
          <w:sz w:val="13"/>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28"/>
        <w:gridCol w:w="7062"/>
      </w:tblGrid>
      <w:tr>
        <w:tblPrEx>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600"/>
        </w:trPr>
        <w:tc>
          <w:tcPr>
            <w:tcW w:w="2428" w:type="dxa"/>
          </w:tcPr>
          <w:p>
            <w:pPr>
              <w:pStyle w:val="TableParagraph"/>
              <w:spacing w:before="167"/>
              <w:ind w:left="564" w:right="554"/>
              <w:jc w:val="center"/>
              <w:rPr>
                <w:sz w:val="21"/>
              </w:rPr>
            </w:pPr>
            <w:r>
              <w:rPr>
                <w:sz w:val="21"/>
              </w:rPr>
              <w:t>符号</w:t>
            </w:r>
          </w:p>
        </w:tc>
        <w:tc>
          <w:tcPr>
            <w:tcW w:w="7062" w:type="dxa"/>
          </w:tcPr>
          <w:p>
            <w:pPr>
              <w:pStyle w:val="TableParagraph"/>
              <w:spacing w:before="167"/>
              <w:ind w:left="1096" w:right="1086"/>
              <w:jc w:val="center"/>
              <w:rPr>
                <w:sz w:val="21"/>
              </w:rPr>
            </w:pPr>
            <w:r>
              <w:rPr>
                <w:sz w:val="21"/>
              </w:rPr>
              <w:t>符号名称</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1"/>
              <w:rPr>
                <w:rFonts w:ascii="黑体"/>
                <w:sz w:val="18"/>
              </w:rPr>
            </w:pPr>
          </w:p>
          <w:p>
            <w:pPr>
              <w:pStyle w:val="TableParagraph"/>
              <w:ind w:left="782"/>
              <w:rPr>
                <w:rFonts w:ascii="黑体"/>
                <w:sz w:val="20"/>
              </w:rPr>
            </w:pPr>
            <w:r>
              <w:rPr>
                <w:rFonts w:ascii="黑体"/>
                <w:sz w:val="20"/>
              </w:rPr>
              <w:drawing>
                <wp:inline distT="0" distB="0" distL="0" distR="0">
                  <wp:extent cx="556895" cy="46672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xmlns:r="http://schemas.openxmlformats.org/officeDocument/2006/relationships" r:embed="rId16" cstate="print"/>
                          <a:stretch>
                            <a:fillRect/>
                          </a:stretch>
                        </pic:blipFill>
                        <pic:spPr>
                          <a:xfrm>
                            <a:off x="0" y="0"/>
                            <a:ext cx="557208" cy="466725"/>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养护安全设施通用符号</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7"/>
              <w:rPr>
                <w:rFonts w:ascii="黑体"/>
                <w:sz w:val="15"/>
              </w:rPr>
            </w:pPr>
          </w:p>
          <w:p>
            <w:pPr>
              <w:pStyle w:val="TableParagraph"/>
              <w:ind w:left="655"/>
              <w:rPr>
                <w:rFonts w:ascii="黑体"/>
                <w:sz w:val="20"/>
              </w:rPr>
            </w:pPr>
            <w:r>
              <w:rPr>
                <w:rFonts w:ascii="黑体"/>
                <w:sz w:val="20"/>
              </w:rPr>
              <w:drawing>
                <wp:inline distT="0" distB="0" distL="0" distR="0">
                  <wp:extent cx="710565" cy="508635"/>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pic:cNvPicPr>
                            <a:picLocks noChangeAspect="1"/>
                          </pic:cNvPicPr>
                        </pic:nvPicPr>
                        <pic:blipFill>
                          <a:blip xmlns:r="http://schemas.openxmlformats.org/officeDocument/2006/relationships" r:embed="rId17" cstate="print"/>
                          <a:stretch>
                            <a:fillRect/>
                          </a:stretch>
                        </pic:blipFill>
                        <pic:spPr>
                          <a:xfrm>
                            <a:off x="0" y="0"/>
                            <a:ext cx="710836" cy="508920"/>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定向喇叭</w:t>
            </w:r>
          </w:p>
        </w:tc>
      </w:tr>
      <w:tr>
        <w:tblPrEx>
          <w:tblW w:w="0" w:type="auto"/>
          <w:tblInd w:w="115" w:type="dxa"/>
          <w:tblLayout w:type="fixed"/>
          <w:tblCellMar>
            <w:top w:w="0" w:type="dxa"/>
            <w:left w:w="0" w:type="dxa"/>
            <w:bottom w:w="0" w:type="dxa"/>
            <w:right w:w="0" w:type="dxa"/>
          </w:tblCellMar>
        </w:tblPrEx>
        <w:trPr>
          <w:trHeight w:val="1247"/>
        </w:trPr>
        <w:tc>
          <w:tcPr>
            <w:tcW w:w="2428" w:type="dxa"/>
          </w:tcPr>
          <w:p>
            <w:pPr>
              <w:pStyle w:val="TableParagraph"/>
              <w:spacing w:before="11" w:after="1"/>
              <w:rPr>
                <w:rFonts w:ascii="黑体"/>
                <w:sz w:val="14"/>
              </w:rPr>
            </w:pPr>
          </w:p>
          <w:p>
            <w:pPr>
              <w:pStyle w:val="TableParagraph"/>
              <w:ind w:left="439"/>
              <w:rPr>
                <w:rFonts w:ascii="黑体"/>
                <w:sz w:val="20"/>
              </w:rPr>
            </w:pPr>
            <w:r>
              <w:rPr>
                <w:rFonts w:ascii="黑体"/>
                <w:sz w:val="20"/>
              </w:rPr>
              <w:drawing>
                <wp:inline distT="0" distB="0" distL="0" distR="0">
                  <wp:extent cx="954405" cy="546735"/>
                  <wp:effectExtent l="0" t="0" r="0"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pic:cNvPicPr>
                            <a:picLocks noChangeAspect="1"/>
                          </pic:cNvPicPr>
                        </pic:nvPicPr>
                        <pic:blipFill>
                          <a:blip xmlns:r="http://schemas.openxmlformats.org/officeDocument/2006/relationships" r:embed="rId18" cstate="print"/>
                          <a:stretch>
                            <a:fillRect/>
                          </a:stretch>
                        </pic:blipFill>
                        <pic:spPr>
                          <a:xfrm>
                            <a:off x="0" y="0"/>
                            <a:ext cx="954538" cy="546925"/>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4"/>
              <w:rPr>
                <w:rFonts w:ascii="黑体"/>
                <w:sz w:val="18"/>
              </w:rPr>
            </w:pPr>
          </w:p>
          <w:p>
            <w:pPr>
              <w:pStyle w:val="TableParagraph"/>
              <w:ind w:left="1096" w:right="1086"/>
              <w:jc w:val="center"/>
              <w:rPr>
                <w:sz w:val="21"/>
              </w:rPr>
            </w:pPr>
            <w:r>
              <w:rPr>
                <w:sz w:val="21"/>
              </w:rPr>
              <w:t>防撞车</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5"/>
              <w:rPr>
                <w:rFonts w:ascii="黑体"/>
                <w:sz w:val="18"/>
              </w:rPr>
            </w:pPr>
          </w:p>
          <w:p>
            <w:pPr>
              <w:pStyle w:val="TableParagraph"/>
              <w:ind w:left="492"/>
              <w:rPr>
                <w:rFonts w:ascii="黑体"/>
                <w:sz w:val="20"/>
              </w:rPr>
            </w:pPr>
            <w:r>
              <w:rPr>
                <w:rFonts w:ascii="黑体"/>
                <w:sz w:val="20"/>
              </w:rPr>
              <w:drawing>
                <wp:inline distT="0" distB="0" distL="0" distR="0">
                  <wp:extent cx="913765" cy="461010"/>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pic:cNvPicPr>
                            <a:picLocks noChangeAspect="1"/>
                          </pic:cNvPicPr>
                        </pic:nvPicPr>
                        <pic:blipFill>
                          <a:blip xmlns:r="http://schemas.openxmlformats.org/officeDocument/2006/relationships" r:embed="rId19" cstate="print"/>
                          <a:stretch>
                            <a:fillRect/>
                          </a:stretch>
                        </pic:blipFill>
                        <pic:spPr>
                          <a:xfrm>
                            <a:off x="0" y="0"/>
                            <a:ext cx="914247" cy="461010"/>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标志灯车</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5" w:after="1"/>
              <w:rPr>
                <w:rFonts w:ascii="黑体"/>
                <w:sz w:val="13"/>
              </w:rPr>
            </w:pPr>
          </w:p>
          <w:p>
            <w:pPr>
              <w:pStyle w:val="TableParagraph"/>
              <w:ind w:left="782"/>
              <w:rPr>
                <w:rFonts w:ascii="黑体"/>
                <w:sz w:val="20"/>
              </w:rPr>
            </w:pPr>
            <w:r>
              <w:rPr>
                <w:rFonts w:ascii="黑体"/>
                <w:sz w:val="20"/>
              </w:rPr>
              <w:drawing>
                <wp:inline distT="0" distB="0" distL="0" distR="0">
                  <wp:extent cx="547370" cy="542925"/>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jpeg"/>
                          <pic:cNvPicPr>
                            <a:picLocks noChangeAspect="1"/>
                          </pic:cNvPicPr>
                        </pic:nvPicPr>
                        <pic:blipFill>
                          <a:blip xmlns:r="http://schemas.openxmlformats.org/officeDocument/2006/relationships" r:embed="rId20" cstate="print"/>
                          <a:stretch>
                            <a:fillRect/>
                          </a:stretch>
                        </pic:blipFill>
                        <pic:spPr>
                          <a:xfrm>
                            <a:off x="0" y="0"/>
                            <a:ext cx="547756" cy="542925"/>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锥筒（宜带爆闪灯）或其他车道渠化交通的安全设施</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5"/>
              <w:rPr>
                <w:rFonts w:ascii="黑体"/>
                <w:sz w:val="16"/>
              </w:rPr>
            </w:pPr>
          </w:p>
          <w:p>
            <w:pPr>
              <w:pStyle w:val="TableParagraph"/>
              <w:ind w:left="1044"/>
              <w:rPr>
                <w:rFonts w:ascii="黑体"/>
                <w:sz w:val="20"/>
              </w:rPr>
            </w:pPr>
            <w:r>
              <w:rPr>
                <w:rFonts w:ascii="黑体"/>
                <w:sz w:val="20"/>
              </w:rPr>
              <w:drawing>
                <wp:inline distT="0" distB="0" distL="0" distR="0">
                  <wp:extent cx="215265" cy="494030"/>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9.jpeg"/>
                          <pic:cNvPicPr>
                            <a:picLocks noChangeAspect="1"/>
                          </pic:cNvPicPr>
                        </pic:nvPicPr>
                        <pic:blipFill>
                          <a:blip xmlns:r="http://schemas.openxmlformats.org/officeDocument/2006/relationships" r:embed="rId21" cstate="print"/>
                          <a:stretch>
                            <a:fillRect/>
                          </a:stretch>
                        </pic:blipFill>
                        <pic:spPr>
                          <a:xfrm>
                            <a:off x="0" y="0"/>
                            <a:ext cx="215362" cy="494061"/>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水马、防撞桶或其他隔离设施</w:t>
            </w:r>
          </w:p>
        </w:tc>
      </w:tr>
      <w:tr>
        <w:tblPrEx>
          <w:tblW w:w="0" w:type="auto"/>
          <w:tblInd w:w="115" w:type="dxa"/>
          <w:tblLayout w:type="fixed"/>
          <w:tblCellMar>
            <w:top w:w="0" w:type="dxa"/>
            <w:left w:w="0" w:type="dxa"/>
            <w:bottom w:w="0" w:type="dxa"/>
            <w:right w:w="0" w:type="dxa"/>
          </w:tblCellMar>
        </w:tblPrEx>
        <w:trPr>
          <w:trHeight w:val="1200"/>
        </w:trPr>
        <w:tc>
          <w:tcPr>
            <w:tcW w:w="2428" w:type="dxa"/>
          </w:tcPr>
          <w:p>
            <w:pPr>
              <w:pStyle w:val="TableParagraph"/>
              <w:spacing w:before="4"/>
              <w:rPr>
                <w:rFonts w:ascii="黑体"/>
                <w:sz w:val="14"/>
              </w:rPr>
            </w:pPr>
          </w:p>
          <w:p>
            <w:pPr>
              <w:pStyle w:val="TableParagraph"/>
              <w:ind w:left="204"/>
              <w:rPr>
                <w:rFonts w:ascii="黑体"/>
                <w:sz w:val="20"/>
              </w:rPr>
            </w:pPr>
            <w:r>
              <w:rPr>
                <w:rFonts w:ascii="黑体"/>
                <w:sz w:val="20"/>
              </w:rPr>
              <w:drawing>
                <wp:inline distT="0" distB="0" distL="0" distR="0">
                  <wp:extent cx="1285875" cy="530225"/>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jpeg"/>
                          <pic:cNvPicPr>
                            <a:picLocks noChangeAspect="1"/>
                          </pic:cNvPicPr>
                        </pic:nvPicPr>
                        <pic:blipFill>
                          <a:blip xmlns:r="http://schemas.openxmlformats.org/officeDocument/2006/relationships" r:embed="rId22" cstate="print"/>
                          <a:stretch>
                            <a:fillRect/>
                          </a:stretch>
                        </pic:blipFill>
                        <pic:spPr>
                          <a:xfrm>
                            <a:off x="0" y="0"/>
                            <a:ext cx="1285899" cy="530351"/>
                          </a:xfrm>
                          <a:prstGeom prst="rect">
                            <a:avLst/>
                          </a:prstGeom>
                        </pic:spPr>
                      </pic:pic>
                    </a:graphicData>
                  </a:graphic>
                </wp:inline>
              </w:drawing>
            </w:r>
          </w:p>
        </w:tc>
        <w:tc>
          <w:tcPr>
            <w:tcW w:w="7062" w:type="dxa"/>
          </w:tcPr>
          <w:p>
            <w:pPr>
              <w:pStyle w:val="TableParagraph"/>
              <w:rPr>
                <w:rFonts w:ascii="黑体"/>
                <w:sz w:val="20"/>
              </w:rPr>
            </w:pPr>
          </w:p>
          <w:p>
            <w:pPr>
              <w:pStyle w:val="TableParagraph"/>
              <w:spacing w:before="5"/>
              <w:rPr>
                <w:rFonts w:ascii="黑体"/>
                <w:sz w:val="16"/>
              </w:rPr>
            </w:pPr>
          </w:p>
          <w:p>
            <w:pPr>
              <w:pStyle w:val="TableParagraph"/>
              <w:spacing w:before="1"/>
              <w:ind w:left="1096" w:right="1086"/>
              <w:jc w:val="center"/>
              <w:rPr>
                <w:sz w:val="21"/>
              </w:rPr>
            </w:pPr>
            <w:r>
              <w:rPr>
                <w:sz w:val="21"/>
              </w:rPr>
              <w:t>工作区</w:t>
            </w:r>
          </w:p>
        </w:tc>
      </w:tr>
    </w:tbl>
    <w:p>
      <w:pPr>
        <w:spacing w:after="0"/>
        <w:jc w:val="center"/>
        <w:rPr>
          <w:sz w:val="21"/>
        </w:rPr>
      </w:pPr>
      <w:r>
        <w:rPr>
          <w:sz w:val="21"/>
        </w:rPr>
        <w:br/>
      </w:r>
      <w:r>
        <w:rPr>
          <w:sz w:val="21"/>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3" w:history="1">
        <w:r>
          <w:rPr>
            <w:rFonts w:ascii="SimSun" w:eastAsia="SimSun" w:hAnsi="SimSun" w:cs="SimSun"/>
            <w:b/>
            <w:bCs/>
            <w:color w:val="0000EE"/>
            <w:sz w:val="30"/>
            <w:szCs w:val="30"/>
            <w:u w:val="single" w:color="0000EE"/>
          </w:rPr>
          <w:t>https://d.book118.com/958067142022006033</w:t>
        </w:r>
      </w:hyperlink>
    </w:p>
    <w:p>
      <w:pPr>
        <w:spacing w:after="0"/>
        <w:jc w:val="center"/>
        <w:rPr>
          <w:sz w:val="21"/>
        </w:rPr>
      </w:pPr>
    </w:p>
    <w:sectPr>
      <w:footerReference w:type="default" r:id="rId24"/>
      <w:pgSz w:w="11910" w:h="16840"/>
      <w:pgMar w:top="1580" w:right="940" w:bottom="1320" w:left="1240" w:header="0" w:footer="1125" w:gutter="0"/>
      <w:pgNumType w:start="9"/>
      <w:cols w:num="1"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4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49" type="#_x0000_t202" style="width:10.5pt;height:12pt;margin-top:774.25pt;margin-left:299.5pt;mso-height-relative:page;mso-position-horizontal-relative:page;mso-position-vertical-relative:page;mso-width-relative:page;position:absolute;z-index:-251658240"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1</w:t>
                </w:r>
                <w:r>
                  <w:fldChar w:fldCharType="end"/>
                </w:r>
              </w:p>
            </w:txbxContent>
          </v:textbox>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0" type="#_x0000_t202" style="width:10.5pt;height:12pt;margin-top:774.25pt;margin-left:299.5pt;mso-height-relative:page;mso-position-horizontal-relative:page;mso-position-vertical-relative:page;mso-width-relative:page;position:absolute;z-index:-251657216"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2</w:t>
                </w:r>
                <w:r>
                  <w:fldChar w:fldCharType="end"/>
                </w:r>
              </w:p>
            </w:txbxContent>
          </v:textbox>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1" type="#_x0000_t202" style="width:10.5pt;height:12pt;margin-top:774.25pt;margin-left:299.5pt;mso-height-relative:page;mso-position-horizontal-relative:page;mso-position-vertical-relative:page;mso-width-relative:page;position:absolute;z-index:-251656192"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3</w:t>
                </w:r>
                <w:r>
                  <w:fldChar w:fldCharType="end"/>
                </w:r>
              </w:p>
            </w:txbxContent>
          </v:textbox>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2" type="#_x0000_t202" style="width:10.5pt;height:12pt;margin-top:774.25pt;margin-left:299.5pt;mso-height-relative:page;mso-position-horizontal-relative:page;mso-position-vertical-relative:page;mso-width-relative:page;position:absolute;z-index:-251655168"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4</w:t>
                </w:r>
                <w:r>
                  <w:fldChar w:fldCharType="end"/>
                </w:r>
              </w:p>
            </w:txbxContent>
          </v:textbox>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3" type="#_x0000_t202" style="width:10.5pt;height:12pt;margin-top:774.25pt;margin-left:299.5pt;mso-height-relative:page;mso-position-horizontal-relative:page;mso-position-vertical-relative:page;mso-width-relative:page;position:absolute;z-index:-251654144"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5</w:t>
                </w:r>
                <w:r>
                  <w:fldChar w:fldCharType="end"/>
                </w:r>
              </w:p>
            </w:txbxContent>
          </v:textbox>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4" type="#_x0000_t202" style="width:10.5pt;height:12pt;margin-top:774.25pt;margin-left:299.5pt;mso-height-relative:page;mso-position-horizontal-relative:page;mso-position-vertical-relative:page;mso-width-relative:page;position:absolute;z-index:-251653120"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6</w:t>
                </w:r>
                <w:r>
                  <w:fldChar w:fldCharType="end"/>
                </w:r>
              </w:p>
            </w:txbxContent>
          </v:textbox>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5" type="#_x0000_t202" style="width:10.5pt;height:12pt;margin-top:774.25pt;margin-left:299.5pt;mso-height-relative:page;mso-position-horizontal-relative:page;mso-position-vertical-relative:page;mso-width-relative:page;position:absolute;z-index:-251652096"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7</w:t>
                </w:r>
                <w:r>
                  <w:fldChar w:fldCharType="end"/>
                </w:r>
              </w:p>
            </w:txbxContent>
          </v:textbox>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6" type="#_x0000_t202" style="width:10.5pt;height:12pt;margin-top:774.25pt;margin-left:299.5pt;mso-height-relative:page;mso-position-horizontal-relative:page;mso-position-vertical-relative:page;mso-width-relative:page;position:absolute;z-index:-251651072"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8</w:t>
                </w:r>
                <w:r>
                  <w:fldChar w:fldCharType="end"/>
                </w:r>
              </w:p>
            </w:txbxContent>
          </v:textbox>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BodyText"/>
      <w:spacing w:line="14" w:lineRule="auto"/>
      <w:rPr>
        <w:sz w:val="19"/>
      </w:rPr>
    </w:pPr>
    <w:r>
      <w:pict>
        <v:shapetype id="_x0000_t202" coordsize="21600,21600" o:spt="202" path="m,l,21600r21600,l21600,xe">
          <v:stroke joinstyle="miter"/>
          <v:path gradientshapeok="t" o:connecttype="rect"/>
        </v:shapetype>
        <v:shape id="_x0000_s2050" o:spid="_x0000_s2057" type="#_x0000_t202" style="width:10.5pt;height:12pt;margin-top:774.25pt;margin-left:299.5pt;mso-height-relative:page;mso-position-horizontal-relative:page;mso-position-vertical-relative:page;mso-width-relative:page;position:absolute;z-index:-251650048" coordsize="21600,21600" filled="f" stroked="f">
          <v:stroke joinstyle="miter"/>
          <v:textbox inset="0,0,0,0">
            <w:txbxContent>
              <w:p>
                <w:pPr>
                  <w:spacing w:before="12"/>
                  <w:ind w:left="60" w:right="0" w:firstLine="0"/>
                  <w:jc w:val="left"/>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9</w:t>
                </w:r>
                <w:r>
                  <w:fldChar w:fldCharType="end"/>
                </w:r>
              </w:p>
            </w:txbxContent>
          </v:textbox>
        </v:shape>
      </w:pic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205925"/>
    <w:multiLevelType w:val="multilevel"/>
    <w:tmpl w:val="BF205925"/>
    <w:lvl w:ilvl="0">
      <w:start w:val="1"/>
      <w:numFmt w:val="upperLetter"/>
      <w:lvlText w:val="%1"/>
      <w:lvlJc w:val="left"/>
      <w:pPr>
        <w:ind w:left="703" w:hanging="525"/>
        <w:jc w:val="left"/>
      </w:pPr>
      <w:rPr>
        <w:rFonts w:hint="default"/>
        <w:lang w:val="en-US" w:eastAsia="zh-CN" w:bidi="ar-SA"/>
      </w:rPr>
    </w:lvl>
    <w:lvl w:ilvl="1">
      <w:start w:val="1"/>
      <w:numFmt w:val="decimal"/>
      <w:lvlText w:val="%1.%2"/>
      <w:lvlJc w:val="left"/>
      <w:pPr>
        <w:ind w:left="703" w:hanging="525"/>
        <w:jc w:val="left"/>
      </w:pPr>
      <w:rPr>
        <w:rFonts w:ascii="黑体" w:eastAsia="黑体" w:hAnsi="黑体" w:cs="黑体" w:hint="default"/>
        <w:w w:val="100"/>
        <w:sz w:val="21"/>
        <w:szCs w:val="21"/>
        <w:lang w:val="en-US" w:eastAsia="zh-CN" w:bidi="ar-SA"/>
      </w:rPr>
    </w:lvl>
    <w:lvl w:ilvl="2">
      <w:start w:val="0"/>
      <w:numFmt w:val="bullet"/>
      <w:lvlText w:val="•"/>
      <w:lvlJc w:val="left"/>
      <w:pPr>
        <w:ind w:left="2505" w:hanging="525"/>
      </w:pPr>
      <w:rPr>
        <w:rFonts w:hint="default"/>
        <w:lang w:val="en-US" w:eastAsia="zh-CN" w:bidi="ar-SA"/>
      </w:rPr>
    </w:lvl>
    <w:lvl w:ilvl="3">
      <w:start w:val="0"/>
      <w:numFmt w:val="bullet"/>
      <w:lvlText w:val="•"/>
      <w:lvlJc w:val="left"/>
      <w:pPr>
        <w:ind w:left="3407" w:hanging="525"/>
      </w:pPr>
      <w:rPr>
        <w:rFonts w:hint="default"/>
        <w:lang w:val="en-US" w:eastAsia="zh-CN" w:bidi="ar-SA"/>
      </w:rPr>
    </w:lvl>
    <w:lvl w:ilvl="4">
      <w:start w:val="0"/>
      <w:numFmt w:val="bullet"/>
      <w:lvlText w:val="•"/>
      <w:lvlJc w:val="left"/>
      <w:pPr>
        <w:ind w:left="4310" w:hanging="525"/>
      </w:pPr>
      <w:rPr>
        <w:rFonts w:hint="default"/>
        <w:lang w:val="en-US" w:eastAsia="zh-CN" w:bidi="ar-SA"/>
      </w:rPr>
    </w:lvl>
    <w:lvl w:ilvl="5">
      <w:start w:val="0"/>
      <w:numFmt w:val="bullet"/>
      <w:lvlText w:val="•"/>
      <w:lvlJc w:val="left"/>
      <w:pPr>
        <w:ind w:left="5213" w:hanging="525"/>
      </w:pPr>
      <w:rPr>
        <w:rFonts w:hint="default"/>
        <w:lang w:val="en-US" w:eastAsia="zh-CN" w:bidi="ar-SA"/>
      </w:rPr>
    </w:lvl>
    <w:lvl w:ilvl="6">
      <w:start w:val="0"/>
      <w:numFmt w:val="bullet"/>
      <w:lvlText w:val="•"/>
      <w:lvlJc w:val="left"/>
      <w:pPr>
        <w:ind w:left="6115" w:hanging="525"/>
      </w:pPr>
      <w:rPr>
        <w:rFonts w:hint="default"/>
        <w:lang w:val="en-US" w:eastAsia="zh-CN" w:bidi="ar-SA"/>
      </w:rPr>
    </w:lvl>
    <w:lvl w:ilvl="7">
      <w:start w:val="0"/>
      <w:numFmt w:val="bullet"/>
      <w:lvlText w:val="•"/>
      <w:lvlJc w:val="left"/>
      <w:pPr>
        <w:ind w:left="7018" w:hanging="525"/>
      </w:pPr>
      <w:rPr>
        <w:rFonts w:hint="default"/>
        <w:lang w:val="en-US" w:eastAsia="zh-CN" w:bidi="ar-SA"/>
      </w:rPr>
    </w:lvl>
    <w:lvl w:ilvl="8">
      <w:start w:val="0"/>
      <w:numFmt w:val="bullet"/>
      <w:lvlText w:val="•"/>
      <w:lvlJc w:val="left"/>
      <w:pPr>
        <w:ind w:left="7920" w:hanging="525"/>
      </w:pPr>
      <w:rPr>
        <w:rFonts w:hint="default"/>
        <w:lang w:val="en-US" w:eastAsia="zh-CN" w:bidi="ar-SA"/>
      </w:rPr>
    </w:lvl>
  </w:abstractNum>
  <w:abstractNum w:abstractNumId="1">
    <w:nsid w:val="CF092B84"/>
    <w:multiLevelType w:val="multilevel"/>
    <w:tmpl w:val="CF092B84"/>
    <w:lvl w:ilvl="0">
      <w:start w:val="1"/>
      <w:numFmt w:val="decimal"/>
      <w:lvlText w:val="%1"/>
      <w:lvlJc w:val="left"/>
      <w:pPr>
        <w:ind w:left="493" w:hanging="315"/>
        <w:jc w:val="left"/>
      </w:pPr>
      <w:rPr>
        <w:rFonts w:ascii="黑体" w:eastAsia="黑体" w:hAnsi="黑体" w:cs="黑体" w:hint="default"/>
        <w:w w:val="100"/>
        <w:sz w:val="21"/>
        <w:szCs w:val="21"/>
        <w:lang w:val="en-US" w:eastAsia="zh-CN" w:bidi="ar-SA"/>
      </w:rPr>
    </w:lvl>
    <w:lvl w:ilvl="1">
      <w:start w:val="1"/>
      <w:numFmt w:val="decimal"/>
      <w:lvlText w:val="%1.%2"/>
      <w:lvlJc w:val="left"/>
      <w:pPr>
        <w:ind w:left="703" w:hanging="525"/>
        <w:jc w:val="left"/>
      </w:pPr>
      <w:rPr>
        <w:rFonts w:ascii="黑体" w:eastAsia="黑体" w:hAnsi="黑体" w:cs="黑体" w:hint="default"/>
        <w:w w:val="100"/>
        <w:sz w:val="21"/>
        <w:szCs w:val="21"/>
        <w:lang w:val="en-US" w:eastAsia="zh-CN" w:bidi="ar-SA"/>
      </w:rPr>
    </w:lvl>
    <w:lvl w:ilvl="2">
      <w:start w:val="1"/>
      <w:numFmt w:val="decimal"/>
      <w:lvlText w:val="%1.%2.%3"/>
      <w:lvlJc w:val="left"/>
      <w:pPr>
        <w:ind w:left="178" w:hanging="735"/>
        <w:jc w:val="left"/>
      </w:pPr>
      <w:rPr>
        <w:rFonts w:ascii="黑体" w:eastAsia="黑体" w:hAnsi="黑体" w:cs="黑体" w:hint="default"/>
        <w:w w:val="100"/>
        <w:sz w:val="21"/>
        <w:szCs w:val="21"/>
        <w:lang w:val="en-US" w:eastAsia="zh-CN" w:bidi="ar-SA"/>
      </w:rPr>
    </w:lvl>
    <w:lvl w:ilvl="3">
      <w:start w:val="1"/>
      <w:numFmt w:val="lowerLetter"/>
      <w:lvlText w:val="%4)"/>
      <w:lvlJc w:val="left"/>
      <w:pPr>
        <w:ind w:left="1018" w:hanging="420"/>
        <w:jc w:val="left"/>
      </w:pPr>
      <w:rPr>
        <w:rFonts w:ascii="宋体" w:eastAsia="宋体" w:hAnsi="宋体" w:cs="宋体" w:hint="default"/>
        <w:w w:val="100"/>
        <w:sz w:val="21"/>
        <w:szCs w:val="21"/>
        <w:lang w:val="en-US" w:eastAsia="zh-CN" w:bidi="ar-SA"/>
      </w:rPr>
    </w:lvl>
    <w:lvl w:ilvl="4">
      <w:start w:val="0"/>
      <w:numFmt w:val="bullet"/>
      <w:lvlText w:val="•"/>
      <w:lvlJc w:val="left"/>
      <w:pPr>
        <w:ind w:left="1020" w:hanging="420"/>
      </w:pPr>
      <w:rPr>
        <w:rFonts w:hint="default"/>
        <w:lang w:val="en-US" w:eastAsia="zh-CN" w:bidi="ar-SA"/>
      </w:rPr>
    </w:lvl>
    <w:lvl w:ilvl="5">
      <w:start w:val="0"/>
      <w:numFmt w:val="bullet"/>
      <w:lvlText w:val="•"/>
      <w:lvlJc w:val="left"/>
      <w:pPr>
        <w:ind w:left="2471" w:hanging="420"/>
      </w:pPr>
      <w:rPr>
        <w:rFonts w:hint="default"/>
        <w:lang w:val="en-US" w:eastAsia="zh-CN" w:bidi="ar-SA"/>
      </w:rPr>
    </w:lvl>
    <w:lvl w:ilvl="6">
      <w:start w:val="0"/>
      <w:numFmt w:val="bullet"/>
      <w:lvlText w:val="•"/>
      <w:lvlJc w:val="left"/>
      <w:pPr>
        <w:ind w:left="3922" w:hanging="420"/>
      </w:pPr>
      <w:rPr>
        <w:rFonts w:hint="default"/>
        <w:lang w:val="en-US" w:eastAsia="zh-CN" w:bidi="ar-SA"/>
      </w:rPr>
    </w:lvl>
    <w:lvl w:ilvl="7">
      <w:start w:val="0"/>
      <w:numFmt w:val="bullet"/>
      <w:lvlText w:val="•"/>
      <w:lvlJc w:val="left"/>
      <w:pPr>
        <w:ind w:left="5373" w:hanging="420"/>
      </w:pPr>
      <w:rPr>
        <w:rFonts w:hint="default"/>
        <w:lang w:val="en-US" w:eastAsia="zh-CN" w:bidi="ar-SA"/>
      </w:rPr>
    </w:lvl>
    <w:lvl w:ilvl="8">
      <w:start w:val="0"/>
      <w:numFmt w:val="bullet"/>
      <w:lvlText w:val="•"/>
      <w:lvlJc w:val="left"/>
      <w:pPr>
        <w:ind w:left="6824" w:hanging="420"/>
      </w:pPr>
      <w:rPr>
        <w:rFonts w:hint="default"/>
        <w:lang w:val="en-US" w:eastAsia="zh-CN" w:bidi="ar-SA"/>
      </w:rPr>
    </w:lvl>
  </w:abstractNum>
  <w:abstractNum w:abstractNumId="2">
    <w:nsid w:val="0053208E"/>
    <w:multiLevelType w:val="multilevel"/>
    <w:tmpl w:val="0053208E"/>
    <w:lvl w:ilvl="0">
      <w:start w:val="1"/>
      <w:numFmt w:val="decimal"/>
      <w:lvlText w:val="%1"/>
      <w:lvlJc w:val="left"/>
      <w:pPr>
        <w:ind w:left="493" w:hanging="315"/>
        <w:jc w:val="left"/>
      </w:pPr>
      <w:rPr>
        <w:rFonts w:ascii="宋体" w:eastAsia="宋体" w:hAnsi="宋体" w:cs="宋体" w:hint="default"/>
        <w:w w:val="100"/>
        <w:sz w:val="21"/>
        <w:szCs w:val="21"/>
        <w:lang w:val="en-US" w:eastAsia="zh-CN" w:bidi="ar-SA"/>
      </w:rPr>
    </w:lvl>
    <w:lvl w:ilvl="1">
      <w:start w:val="1"/>
      <w:numFmt w:val="decimal"/>
      <w:lvlText w:val="%1.%2"/>
      <w:lvlJc w:val="left"/>
      <w:pPr>
        <w:ind w:left="913" w:hanging="525"/>
        <w:jc w:val="left"/>
      </w:pPr>
      <w:rPr>
        <w:rFonts w:ascii="宋体" w:eastAsia="宋体" w:hAnsi="宋体" w:cs="宋体" w:hint="default"/>
        <w:w w:val="100"/>
        <w:sz w:val="21"/>
        <w:szCs w:val="21"/>
        <w:lang w:val="en-US" w:eastAsia="zh-CN" w:bidi="ar-SA"/>
      </w:rPr>
    </w:lvl>
    <w:lvl w:ilvl="2">
      <w:start w:val="0"/>
      <w:numFmt w:val="bullet"/>
      <w:lvlText w:val="•"/>
      <w:lvlJc w:val="left"/>
      <w:pPr>
        <w:ind w:left="1898" w:hanging="525"/>
      </w:pPr>
      <w:rPr>
        <w:rFonts w:hint="default"/>
        <w:lang w:val="en-US" w:eastAsia="zh-CN" w:bidi="ar-SA"/>
      </w:rPr>
    </w:lvl>
    <w:lvl w:ilvl="3">
      <w:start w:val="0"/>
      <w:numFmt w:val="bullet"/>
      <w:lvlText w:val="•"/>
      <w:lvlJc w:val="left"/>
      <w:pPr>
        <w:ind w:left="2876" w:hanging="525"/>
      </w:pPr>
      <w:rPr>
        <w:rFonts w:hint="default"/>
        <w:lang w:val="en-US" w:eastAsia="zh-CN" w:bidi="ar-SA"/>
      </w:rPr>
    </w:lvl>
    <w:lvl w:ilvl="4">
      <w:start w:val="0"/>
      <w:numFmt w:val="bullet"/>
      <w:lvlText w:val="•"/>
      <w:lvlJc w:val="left"/>
      <w:pPr>
        <w:ind w:left="3855" w:hanging="525"/>
      </w:pPr>
      <w:rPr>
        <w:rFonts w:hint="default"/>
        <w:lang w:val="en-US" w:eastAsia="zh-CN" w:bidi="ar-SA"/>
      </w:rPr>
    </w:lvl>
    <w:lvl w:ilvl="5">
      <w:start w:val="0"/>
      <w:numFmt w:val="bullet"/>
      <w:lvlText w:val="•"/>
      <w:lvlJc w:val="left"/>
      <w:pPr>
        <w:ind w:left="4833" w:hanging="525"/>
      </w:pPr>
      <w:rPr>
        <w:rFonts w:hint="default"/>
        <w:lang w:val="en-US" w:eastAsia="zh-CN" w:bidi="ar-SA"/>
      </w:rPr>
    </w:lvl>
    <w:lvl w:ilvl="6">
      <w:start w:val="0"/>
      <w:numFmt w:val="bullet"/>
      <w:lvlText w:val="•"/>
      <w:lvlJc w:val="left"/>
      <w:pPr>
        <w:ind w:left="5812" w:hanging="525"/>
      </w:pPr>
      <w:rPr>
        <w:rFonts w:hint="default"/>
        <w:lang w:val="en-US" w:eastAsia="zh-CN" w:bidi="ar-SA"/>
      </w:rPr>
    </w:lvl>
    <w:lvl w:ilvl="7">
      <w:start w:val="0"/>
      <w:numFmt w:val="bullet"/>
      <w:lvlText w:val="•"/>
      <w:lvlJc w:val="left"/>
      <w:pPr>
        <w:ind w:left="6790" w:hanging="525"/>
      </w:pPr>
      <w:rPr>
        <w:rFonts w:hint="default"/>
        <w:lang w:val="en-US" w:eastAsia="zh-CN" w:bidi="ar-SA"/>
      </w:rPr>
    </w:lvl>
    <w:lvl w:ilvl="8">
      <w:start w:val="0"/>
      <w:numFmt w:val="bullet"/>
      <w:lvlText w:val="•"/>
      <w:lvlJc w:val="left"/>
      <w:pPr>
        <w:ind w:left="7769" w:hanging="525"/>
      </w:pPr>
      <w:rPr>
        <w:rFonts w:hint="default"/>
        <w:lang w:val="en-US" w:eastAsia="zh-CN" w:bidi="ar-SA"/>
      </w:rPr>
    </w:lvl>
  </w:abstractNum>
  <w:abstractNum w:abstractNumId="3">
    <w:nsid w:val="0314F256"/>
    <w:multiLevelType w:val="multilevel"/>
    <w:tmpl w:val="CF092B84"/>
    <w:lvl w:ilvl="0">
      <w:start w:val="1"/>
      <w:numFmt w:val="decimal"/>
      <w:lvlText w:val="%1"/>
      <w:lvlJc w:val="left"/>
      <w:pPr>
        <w:ind w:left="493" w:hanging="315"/>
        <w:jc w:val="left"/>
      </w:pPr>
      <w:rPr>
        <w:rFonts w:ascii="黑体" w:eastAsia="黑体" w:hAnsi="黑体" w:cs="黑体" w:hint="default"/>
        <w:w w:val="100"/>
        <w:sz w:val="21"/>
        <w:szCs w:val="21"/>
        <w:lang w:val="en-US" w:eastAsia="zh-CN" w:bidi="ar-SA"/>
      </w:rPr>
    </w:lvl>
    <w:lvl w:ilvl="1">
      <w:start w:val="1"/>
      <w:numFmt w:val="decimal"/>
      <w:lvlText w:val="%1.%2"/>
      <w:lvlJc w:val="left"/>
      <w:pPr>
        <w:ind w:left="703" w:hanging="525"/>
        <w:jc w:val="left"/>
      </w:pPr>
      <w:rPr>
        <w:rFonts w:ascii="黑体" w:eastAsia="黑体" w:hAnsi="黑体" w:cs="黑体" w:hint="default"/>
        <w:w w:val="100"/>
        <w:sz w:val="21"/>
        <w:szCs w:val="21"/>
        <w:lang w:val="en-US" w:eastAsia="zh-CN" w:bidi="ar-SA"/>
      </w:rPr>
    </w:lvl>
    <w:lvl w:ilvl="2">
      <w:start w:val="1"/>
      <w:numFmt w:val="decimal"/>
      <w:lvlText w:val="%1.%2.%3"/>
      <w:lvlJc w:val="left"/>
      <w:pPr>
        <w:ind w:left="178" w:hanging="735"/>
        <w:jc w:val="left"/>
      </w:pPr>
      <w:rPr>
        <w:rFonts w:ascii="黑体" w:eastAsia="黑体" w:hAnsi="黑体" w:cs="黑体" w:hint="default"/>
        <w:w w:val="100"/>
        <w:sz w:val="21"/>
        <w:szCs w:val="21"/>
        <w:lang w:val="en-US" w:eastAsia="zh-CN" w:bidi="ar-SA"/>
      </w:rPr>
    </w:lvl>
    <w:lvl w:ilvl="3">
      <w:start w:val="1"/>
      <w:numFmt w:val="lowerLetter"/>
      <w:lvlText w:val="%4)"/>
      <w:lvlJc w:val="left"/>
      <w:pPr>
        <w:ind w:left="1018" w:hanging="420"/>
        <w:jc w:val="left"/>
      </w:pPr>
      <w:rPr>
        <w:rFonts w:ascii="宋体" w:eastAsia="宋体" w:hAnsi="宋体" w:cs="宋体" w:hint="default"/>
        <w:w w:val="100"/>
        <w:sz w:val="21"/>
        <w:szCs w:val="21"/>
        <w:lang w:val="en-US" w:eastAsia="zh-CN" w:bidi="ar-SA"/>
      </w:rPr>
    </w:lvl>
    <w:lvl w:ilvl="4">
      <w:start w:val="0"/>
      <w:numFmt w:val="bullet"/>
      <w:lvlText w:val="•"/>
      <w:lvlJc w:val="left"/>
      <w:pPr>
        <w:ind w:left="1020" w:hanging="420"/>
      </w:pPr>
      <w:rPr>
        <w:rFonts w:hint="default"/>
        <w:lang w:val="en-US" w:eastAsia="zh-CN" w:bidi="ar-SA"/>
      </w:rPr>
    </w:lvl>
    <w:lvl w:ilvl="5">
      <w:start w:val="0"/>
      <w:numFmt w:val="bullet"/>
      <w:lvlText w:val="•"/>
      <w:lvlJc w:val="left"/>
      <w:pPr>
        <w:ind w:left="2471" w:hanging="420"/>
      </w:pPr>
      <w:rPr>
        <w:rFonts w:hint="default"/>
        <w:lang w:val="en-US" w:eastAsia="zh-CN" w:bidi="ar-SA"/>
      </w:rPr>
    </w:lvl>
    <w:lvl w:ilvl="6">
      <w:start w:val="0"/>
      <w:numFmt w:val="bullet"/>
      <w:lvlText w:val="•"/>
      <w:lvlJc w:val="left"/>
      <w:pPr>
        <w:ind w:left="3922" w:hanging="420"/>
      </w:pPr>
      <w:rPr>
        <w:rFonts w:hint="default"/>
        <w:lang w:val="en-US" w:eastAsia="zh-CN" w:bidi="ar-SA"/>
      </w:rPr>
    </w:lvl>
    <w:lvl w:ilvl="7">
      <w:start w:val="0"/>
      <w:numFmt w:val="bullet"/>
      <w:lvlText w:val="•"/>
      <w:lvlJc w:val="left"/>
      <w:pPr>
        <w:ind w:left="5373" w:hanging="420"/>
      </w:pPr>
      <w:rPr>
        <w:rFonts w:hint="default"/>
        <w:lang w:val="en-US" w:eastAsia="zh-CN" w:bidi="ar-SA"/>
      </w:rPr>
    </w:lvl>
    <w:lvl w:ilvl="8">
      <w:start w:val="0"/>
      <w:numFmt w:val="bullet"/>
      <w:lvlText w:val="•"/>
      <w:lvlJc w:val="left"/>
      <w:pPr>
        <w:ind w:left="6824" w:hanging="420"/>
      </w:pPr>
      <w:rPr>
        <w:rFonts w:hint="default"/>
        <w:lang w:val="en-US" w:eastAsia="zh-CN" w:bidi="ar-SA"/>
      </w:rPr>
    </w:lvl>
  </w:abstractNum>
  <w:abstractNum w:abstractNumId="4">
    <w:nsid w:val="59ADCABA"/>
    <w:multiLevelType w:val="multilevel"/>
    <w:tmpl w:val="59ADCABA"/>
    <w:lvl w:ilvl="0">
      <w:start w:val="1"/>
      <w:numFmt w:val="lowerLetter"/>
      <w:lvlText w:val="%1)"/>
      <w:lvlJc w:val="left"/>
      <w:pPr>
        <w:ind w:left="1017" w:hanging="420"/>
        <w:jc w:val="left"/>
      </w:pPr>
      <w:rPr>
        <w:rFonts w:ascii="宋体" w:eastAsia="宋体" w:hAnsi="宋体" w:cs="宋体" w:hint="default"/>
        <w:w w:val="100"/>
        <w:sz w:val="21"/>
        <w:szCs w:val="21"/>
        <w:lang w:val="en-US" w:eastAsia="zh-CN" w:bidi="ar-SA"/>
      </w:rPr>
    </w:lvl>
    <w:lvl w:ilvl="1">
      <w:start w:val="0"/>
      <w:numFmt w:val="bullet"/>
      <w:lvlText w:val="•"/>
      <w:lvlJc w:val="left"/>
      <w:pPr>
        <w:ind w:left="1890" w:hanging="420"/>
      </w:pPr>
      <w:rPr>
        <w:rFonts w:hint="default"/>
        <w:lang w:val="en-US" w:eastAsia="zh-CN" w:bidi="ar-SA"/>
      </w:rPr>
    </w:lvl>
    <w:lvl w:ilvl="2">
      <w:start w:val="0"/>
      <w:numFmt w:val="bullet"/>
      <w:lvlText w:val="•"/>
      <w:lvlJc w:val="left"/>
      <w:pPr>
        <w:ind w:left="2761" w:hanging="420"/>
      </w:pPr>
      <w:rPr>
        <w:rFonts w:hint="default"/>
        <w:lang w:val="en-US" w:eastAsia="zh-CN" w:bidi="ar-SA"/>
      </w:rPr>
    </w:lvl>
    <w:lvl w:ilvl="3">
      <w:start w:val="0"/>
      <w:numFmt w:val="bullet"/>
      <w:lvlText w:val="•"/>
      <w:lvlJc w:val="left"/>
      <w:pPr>
        <w:ind w:left="3631" w:hanging="420"/>
      </w:pPr>
      <w:rPr>
        <w:rFonts w:hint="default"/>
        <w:lang w:val="en-US" w:eastAsia="zh-CN" w:bidi="ar-SA"/>
      </w:rPr>
    </w:lvl>
    <w:lvl w:ilvl="4">
      <w:start w:val="0"/>
      <w:numFmt w:val="bullet"/>
      <w:lvlText w:val="•"/>
      <w:lvlJc w:val="left"/>
      <w:pPr>
        <w:ind w:left="4502" w:hanging="420"/>
      </w:pPr>
      <w:rPr>
        <w:rFonts w:hint="default"/>
        <w:lang w:val="en-US" w:eastAsia="zh-CN" w:bidi="ar-SA"/>
      </w:rPr>
    </w:lvl>
    <w:lvl w:ilvl="5">
      <w:start w:val="0"/>
      <w:numFmt w:val="bullet"/>
      <w:lvlText w:val="•"/>
      <w:lvlJc w:val="left"/>
      <w:pPr>
        <w:ind w:left="5373" w:hanging="420"/>
      </w:pPr>
      <w:rPr>
        <w:rFonts w:hint="default"/>
        <w:lang w:val="en-US" w:eastAsia="zh-CN" w:bidi="ar-SA"/>
      </w:rPr>
    </w:lvl>
    <w:lvl w:ilvl="6">
      <w:start w:val="0"/>
      <w:numFmt w:val="bullet"/>
      <w:lvlText w:val="•"/>
      <w:lvlJc w:val="left"/>
      <w:pPr>
        <w:ind w:left="6243" w:hanging="420"/>
      </w:pPr>
      <w:rPr>
        <w:rFonts w:hint="default"/>
        <w:lang w:val="en-US" w:eastAsia="zh-CN" w:bidi="ar-SA"/>
      </w:rPr>
    </w:lvl>
    <w:lvl w:ilvl="7">
      <w:start w:val="0"/>
      <w:numFmt w:val="bullet"/>
      <w:lvlText w:val="•"/>
      <w:lvlJc w:val="left"/>
      <w:pPr>
        <w:ind w:left="7114" w:hanging="420"/>
      </w:pPr>
      <w:rPr>
        <w:rFonts w:hint="default"/>
        <w:lang w:val="en-US" w:eastAsia="zh-CN" w:bidi="ar-SA"/>
      </w:rPr>
    </w:lvl>
    <w:lvl w:ilvl="8">
      <w:start w:val="0"/>
      <w:numFmt w:val="bullet"/>
      <w:lvlText w:val="•"/>
      <w:lvlJc w:val="left"/>
      <w:pPr>
        <w:ind w:left="7984" w:hanging="420"/>
      </w:pPr>
      <w:rPr>
        <w:rFonts w:hint="default"/>
        <w:lang w:val="en-US" w:eastAsia="zh-CN" w:bidi="ar-SA"/>
      </w:rPr>
    </w:lvl>
  </w:abstractNum>
  <w:abstractNum w:abstractNumId="5">
    <w:nsid w:val="5B0C543D"/>
    <w:multiLevelType w:val="multilevel"/>
    <w:tmpl w:val="0053208E"/>
    <w:lvl w:ilvl="0">
      <w:start w:val="1"/>
      <w:numFmt w:val="decimal"/>
      <w:lvlText w:val="%1"/>
      <w:lvlJc w:val="left"/>
      <w:pPr>
        <w:ind w:left="493" w:hanging="315"/>
        <w:jc w:val="left"/>
      </w:pPr>
      <w:rPr>
        <w:rFonts w:ascii="宋体" w:eastAsia="宋体" w:hAnsi="宋体" w:cs="宋体" w:hint="default"/>
        <w:w w:val="100"/>
        <w:sz w:val="21"/>
        <w:szCs w:val="21"/>
        <w:lang w:val="en-US" w:eastAsia="zh-CN" w:bidi="ar-SA"/>
      </w:rPr>
    </w:lvl>
    <w:lvl w:ilvl="1">
      <w:start w:val="1"/>
      <w:numFmt w:val="decimal"/>
      <w:lvlText w:val="%1.%2"/>
      <w:lvlJc w:val="left"/>
      <w:pPr>
        <w:ind w:left="913" w:hanging="525"/>
        <w:jc w:val="left"/>
      </w:pPr>
      <w:rPr>
        <w:rFonts w:ascii="宋体" w:eastAsia="宋体" w:hAnsi="宋体" w:cs="宋体" w:hint="default"/>
        <w:w w:val="100"/>
        <w:sz w:val="21"/>
        <w:szCs w:val="21"/>
        <w:lang w:val="en-US" w:eastAsia="zh-CN" w:bidi="ar-SA"/>
      </w:rPr>
    </w:lvl>
    <w:lvl w:ilvl="2">
      <w:start w:val="0"/>
      <w:numFmt w:val="bullet"/>
      <w:lvlText w:val="•"/>
      <w:lvlJc w:val="left"/>
      <w:pPr>
        <w:ind w:left="1898" w:hanging="525"/>
      </w:pPr>
      <w:rPr>
        <w:rFonts w:hint="default"/>
        <w:lang w:val="en-US" w:eastAsia="zh-CN" w:bidi="ar-SA"/>
      </w:rPr>
    </w:lvl>
    <w:lvl w:ilvl="3">
      <w:start w:val="0"/>
      <w:numFmt w:val="bullet"/>
      <w:lvlText w:val="•"/>
      <w:lvlJc w:val="left"/>
      <w:pPr>
        <w:ind w:left="2876" w:hanging="525"/>
      </w:pPr>
      <w:rPr>
        <w:rFonts w:hint="default"/>
        <w:lang w:val="en-US" w:eastAsia="zh-CN" w:bidi="ar-SA"/>
      </w:rPr>
    </w:lvl>
    <w:lvl w:ilvl="4">
      <w:start w:val="0"/>
      <w:numFmt w:val="bullet"/>
      <w:lvlText w:val="•"/>
      <w:lvlJc w:val="left"/>
      <w:pPr>
        <w:ind w:left="3855" w:hanging="525"/>
      </w:pPr>
      <w:rPr>
        <w:rFonts w:hint="default"/>
        <w:lang w:val="en-US" w:eastAsia="zh-CN" w:bidi="ar-SA"/>
      </w:rPr>
    </w:lvl>
    <w:lvl w:ilvl="5">
      <w:start w:val="0"/>
      <w:numFmt w:val="bullet"/>
      <w:lvlText w:val="•"/>
      <w:lvlJc w:val="left"/>
      <w:pPr>
        <w:ind w:left="4833" w:hanging="525"/>
      </w:pPr>
      <w:rPr>
        <w:rFonts w:hint="default"/>
        <w:lang w:val="en-US" w:eastAsia="zh-CN" w:bidi="ar-SA"/>
      </w:rPr>
    </w:lvl>
    <w:lvl w:ilvl="6">
      <w:start w:val="0"/>
      <w:numFmt w:val="bullet"/>
      <w:lvlText w:val="•"/>
      <w:lvlJc w:val="left"/>
      <w:pPr>
        <w:ind w:left="5812" w:hanging="525"/>
      </w:pPr>
      <w:rPr>
        <w:rFonts w:hint="default"/>
        <w:lang w:val="en-US" w:eastAsia="zh-CN" w:bidi="ar-SA"/>
      </w:rPr>
    </w:lvl>
    <w:lvl w:ilvl="7">
      <w:start w:val="0"/>
      <w:numFmt w:val="bullet"/>
      <w:lvlText w:val="•"/>
      <w:lvlJc w:val="left"/>
      <w:pPr>
        <w:ind w:left="6790" w:hanging="525"/>
      </w:pPr>
      <w:rPr>
        <w:rFonts w:hint="default"/>
        <w:lang w:val="en-US" w:eastAsia="zh-CN" w:bidi="ar-SA"/>
      </w:rPr>
    </w:lvl>
    <w:lvl w:ilvl="8">
      <w:start w:val="0"/>
      <w:numFmt w:val="bullet"/>
      <w:lvlText w:val="•"/>
      <w:lvlJc w:val="left"/>
      <w:pPr>
        <w:ind w:left="7769" w:hanging="525"/>
      </w:pPr>
      <w:rPr>
        <w:rFonts w:hint="default"/>
        <w:lang w:val="en-US" w:eastAsia="zh-CN" w:bidi="ar-SA"/>
      </w:rPr>
    </w:lvl>
  </w:abstractNum>
  <w:abstractNum w:abstractNumId="6">
    <w:nsid w:val="7DEA5F24"/>
    <w:multiLevelType w:val="multilevel"/>
    <w:tmpl w:val="BF205925"/>
    <w:lvl w:ilvl="0">
      <w:start w:val="1"/>
      <w:numFmt w:val="upperLetter"/>
      <w:lvlText w:val="%1"/>
      <w:lvlJc w:val="left"/>
      <w:pPr>
        <w:ind w:left="703" w:hanging="525"/>
        <w:jc w:val="left"/>
      </w:pPr>
      <w:rPr>
        <w:rFonts w:hint="default"/>
        <w:lang w:val="en-US" w:eastAsia="zh-CN" w:bidi="ar-SA"/>
      </w:rPr>
    </w:lvl>
    <w:lvl w:ilvl="1">
      <w:start w:val="1"/>
      <w:numFmt w:val="decimal"/>
      <w:lvlText w:val="%1.%2"/>
      <w:lvlJc w:val="left"/>
      <w:pPr>
        <w:ind w:left="703" w:hanging="525"/>
        <w:jc w:val="left"/>
      </w:pPr>
      <w:rPr>
        <w:rFonts w:ascii="黑体" w:eastAsia="黑体" w:hAnsi="黑体" w:cs="黑体" w:hint="default"/>
        <w:w w:val="100"/>
        <w:sz w:val="21"/>
        <w:szCs w:val="21"/>
        <w:lang w:val="en-US" w:eastAsia="zh-CN" w:bidi="ar-SA"/>
      </w:rPr>
    </w:lvl>
    <w:lvl w:ilvl="2">
      <w:start w:val="0"/>
      <w:numFmt w:val="bullet"/>
      <w:lvlText w:val="•"/>
      <w:lvlJc w:val="left"/>
      <w:pPr>
        <w:ind w:left="2505" w:hanging="525"/>
      </w:pPr>
      <w:rPr>
        <w:rFonts w:hint="default"/>
        <w:lang w:val="en-US" w:eastAsia="zh-CN" w:bidi="ar-SA"/>
      </w:rPr>
    </w:lvl>
    <w:lvl w:ilvl="3">
      <w:start w:val="0"/>
      <w:numFmt w:val="bullet"/>
      <w:lvlText w:val="•"/>
      <w:lvlJc w:val="left"/>
      <w:pPr>
        <w:ind w:left="3407" w:hanging="525"/>
      </w:pPr>
      <w:rPr>
        <w:rFonts w:hint="default"/>
        <w:lang w:val="en-US" w:eastAsia="zh-CN" w:bidi="ar-SA"/>
      </w:rPr>
    </w:lvl>
    <w:lvl w:ilvl="4">
      <w:start w:val="0"/>
      <w:numFmt w:val="bullet"/>
      <w:lvlText w:val="•"/>
      <w:lvlJc w:val="left"/>
      <w:pPr>
        <w:ind w:left="4310" w:hanging="525"/>
      </w:pPr>
      <w:rPr>
        <w:rFonts w:hint="default"/>
        <w:lang w:val="en-US" w:eastAsia="zh-CN" w:bidi="ar-SA"/>
      </w:rPr>
    </w:lvl>
    <w:lvl w:ilvl="5">
      <w:start w:val="0"/>
      <w:numFmt w:val="bullet"/>
      <w:lvlText w:val="•"/>
      <w:lvlJc w:val="left"/>
      <w:pPr>
        <w:ind w:left="5213" w:hanging="525"/>
      </w:pPr>
      <w:rPr>
        <w:rFonts w:hint="default"/>
        <w:lang w:val="en-US" w:eastAsia="zh-CN" w:bidi="ar-SA"/>
      </w:rPr>
    </w:lvl>
    <w:lvl w:ilvl="6">
      <w:start w:val="0"/>
      <w:numFmt w:val="bullet"/>
      <w:lvlText w:val="•"/>
      <w:lvlJc w:val="left"/>
      <w:pPr>
        <w:ind w:left="6115" w:hanging="525"/>
      </w:pPr>
      <w:rPr>
        <w:rFonts w:hint="default"/>
        <w:lang w:val="en-US" w:eastAsia="zh-CN" w:bidi="ar-SA"/>
      </w:rPr>
    </w:lvl>
    <w:lvl w:ilvl="7">
      <w:start w:val="0"/>
      <w:numFmt w:val="bullet"/>
      <w:lvlText w:val="•"/>
      <w:lvlJc w:val="left"/>
      <w:pPr>
        <w:ind w:left="7018" w:hanging="525"/>
      </w:pPr>
      <w:rPr>
        <w:rFonts w:hint="default"/>
        <w:lang w:val="en-US" w:eastAsia="zh-CN" w:bidi="ar-SA"/>
      </w:rPr>
    </w:lvl>
    <w:lvl w:ilvl="8">
      <w:start w:val="0"/>
      <w:numFmt w:val="bullet"/>
      <w:lvlText w:val="•"/>
      <w:lvlJc w:val="left"/>
      <w:pPr>
        <w:ind w:left="7920" w:hanging="525"/>
      </w:pPr>
      <w:rPr>
        <w:rFonts w:hint="default"/>
        <w:lang w:val="en-US" w:eastAsia="zh-CN" w:bidi="ar-SA"/>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2"/>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CD57308"/>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0">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 w:unhideWhenUsed="0" w:qFormat="1"/>
    <w:lsdException w:name="Closing" w:semiHidden="0" w:uiPriority="0" w:unhideWhenUsed="0"/>
    <w:lsdException w:name="Signature" w:semiHidden="0" w:uiPriority="0" w:unhideWhenUsed="0"/>
    <w:lsdException w:name="Default Paragraph Font" w:uiPriority="1"/>
    <w:lsdException w:name="Body Text" w:semiHidden="0" w:uiPriority="1"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uiPriority w:val="1"/>
    <w:qFormat/>
    <w:pPr>
      <w:widowControl w:val="0"/>
      <w:autoSpaceDE w:val="0"/>
      <w:autoSpaceDN w:val="0"/>
      <w:spacing w:before="0" w:after="0" w:line="240" w:lineRule="auto"/>
      <w:ind w:left="0" w:right="0"/>
      <w:jc w:val="left"/>
    </w:pPr>
    <w:rPr>
      <w:rFonts w:ascii="宋体" w:eastAsia="宋体" w:hAnsi="宋体" w:cs="宋体"/>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uiPriority w:val="1"/>
    <w:qFormat/>
    <w:rPr>
      <w:rFonts w:ascii="宋体" w:eastAsia="宋体" w:hAnsi="宋体" w:cs="宋体"/>
      <w:sz w:val="21"/>
      <w:szCs w:val="21"/>
      <w:lang w:val="en-US" w:eastAsia="zh-CN" w:bidi="ar-SA"/>
    </w:rPr>
  </w:style>
  <w:style w:type="paragraph" w:styleId="Title">
    <w:name w:val="Title"/>
    <w:basedOn w:val="Normal"/>
    <w:uiPriority w:val="1"/>
    <w:qFormat/>
    <w:pPr>
      <w:spacing w:before="27"/>
      <w:ind w:left="3815" w:right="710" w:hanging="3120"/>
    </w:pPr>
    <w:rPr>
      <w:rFonts w:ascii="黑体" w:eastAsia="黑体" w:hAnsi="黑体" w:cs="黑体"/>
      <w:sz w:val="52"/>
      <w:szCs w:val="52"/>
      <w:lang w:val="en-US" w:eastAsia="zh-CN" w:bidi="ar-SA"/>
    </w:rPr>
  </w:style>
  <w:style w:type="table" w:customStyle="1" w:styleId="TableNormal0">
    <w:name w:val="Table Normal_0"/>
    <w:uiPriority w:val="2"/>
    <w:semiHidden/>
    <w:unhideWhenUsed/>
    <w:qFormat/>
    <w:tblPr>
      <w:tblCellMar>
        <w:top w:w="0" w:type="dxa"/>
        <w:left w:w="0" w:type="dxa"/>
        <w:bottom w:w="0" w:type="dxa"/>
        <w:right w:w="0" w:type="dxa"/>
      </w:tblCellMar>
    </w:tblPr>
  </w:style>
  <w:style w:type="paragraph" w:styleId="ListParagraph">
    <w:name w:val="List Paragraph"/>
    <w:basedOn w:val="Normal"/>
    <w:uiPriority w:val="1"/>
    <w:qFormat/>
    <w:pPr>
      <w:ind w:left="913" w:hanging="525"/>
    </w:pPr>
    <w:rPr>
      <w:rFonts w:ascii="宋体" w:eastAsia="宋体" w:hAnsi="宋体" w:cs="宋体"/>
      <w:lang w:val="en-US" w:eastAsia="zh-CN" w:bidi="ar-SA"/>
    </w:rPr>
  </w:style>
  <w:style w:type="paragraph" w:customStyle="1" w:styleId="TableParagraph">
    <w:name w:val="Table Paragraph"/>
    <w:basedOn w:val="Normal"/>
    <w:uiPriority w:val="1"/>
    <w:qFormat/>
    <w:rPr>
      <w:rFonts w:ascii="宋体" w:eastAsia="宋体" w:hAnsi="宋体" w:cs="宋体"/>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image" Target="media/image1.png" /><Relationship Id="rId13" Type="http://schemas.openxmlformats.org/officeDocument/2006/relationships/image" Target="media/image2.jpeg" /><Relationship Id="rId14" Type="http://schemas.openxmlformats.org/officeDocument/2006/relationships/image" Target="media/image3.png" /><Relationship Id="rId15" Type="http://schemas.openxmlformats.org/officeDocument/2006/relationships/footer" Target="footer8.xml" /><Relationship Id="rId16" Type="http://schemas.openxmlformats.org/officeDocument/2006/relationships/image" Target="media/image4.jpeg" /><Relationship Id="rId17" Type="http://schemas.openxmlformats.org/officeDocument/2006/relationships/image" Target="media/image5.jpeg" /><Relationship Id="rId18" Type="http://schemas.openxmlformats.org/officeDocument/2006/relationships/image" Target="media/image6.jpeg" /><Relationship Id="rId19" Type="http://schemas.openxmlformats.org/officeDocument/2006/relationships/image" Target="media/image7.jpeg" /><Relationship Id="rId2" Type="http://schemas.openxmlformats.org/officeDocument/2006/relationships/webSettings" Target="webSettings.xml" /><Relationship Id="rId20" Type="http://schemas.openxmlformats.org/officeDocument/2006/relationships/image" Target="media/image8.jpeg" /><Relationship Id="rId21" Type="http://schemas.openxmlformats.org/officeDocument/2006/relationships/image" Target="media/image9.jpeg" /><Relationship Id="rId22" Type="http://schemas.openxmlformats.org/officeDocument/2006/relationships/image" Target="media/image10.jpeg" /><Relationship Id="rId23" Type="http://schemas.openxmlformats.org/officeDocument/2006/relationships/hyperlink" Target="https://d.book118.com/958067142022006033" TargetMode="External" /><Relationship Id="rId24" Type="http://schemas.openxmlformats.org/officeDocument/2006/relationships/footer" Target="footer9.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Info spid="_x0000_s2073"/>
    <customShpInfo spid="_x0000_s2074"/>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www.biaozhun.org 标准网</dc:title>
  <dc:subject>无需注册.免费下载标准 www.biaozhun.org</dc:subject>
  <dc:creator>标准网 www.biaozhun.cc</dc:creator>
  <cp:keywords>标准网是免费的标准分享、下载网站,分享国家、行业、地方、团体、标准下载查询、规范资料免费下载交流与分享平台。该资料源自网络，仅供测试之用，请在下载后24小时内删除，如有需要请购买正版！！</cp:keywords>
  <cp:lastModifiedBy>Administrator</cp:lastModifiedBy>
  <cp:revision>0</cp:revision>
  <dcterms:created xsi:type="dcterms:W3CDTF">2024-02-01T15:25:00Z</dcterms:created>
  <dcterms:modified xsi:type="dcterms:W3CDTF">2024-02-01T15:26:05Z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2018-10-30T00:00:00Z</vt:filetime>
  </property>
  <property fmtid="{D5CDD505-2E9C-101B-9397-08002B2CF9AE}" pid="3" name="Creator">
    <vt:lpwstr>标准网 www.biaozhun.org</vt:lpwstr>
  </property>
  <property fmtid="{D5CDD505-2E9C-101B-9397-08002B2CF9AE}" pid="4" name="ICV">
    <vt:lpwstr>9E9425862D5F4E7F8F74CF75C086FC83</vt:lpwstr>
  </property>
  <property fmtid="{D5CDD505-2E9C-101B-9397-08002B2CF9AE}" pid="5" name="KSOProductBuildVer">
    <vt:lpwstr>2052-11.8.2.11718</vt:lpwstr>
  </property>
  <property fmtid="{D5CDD505-2E9C-101B-9397-08002B2CF9AE}" pid="6" name="LastSaved">
    <vt:filetime>2024-02-01T00:00:00Z</vt:filetime>
  </property>
</Properties>
</file>