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33" w:lineRule="exact"/>
      </w:pPr>
    </w:p>
    <w:tbl>
      <w:tblPr>
        <w:tblStyle w:val="TableNormal"/>
        <w:tblW w:w="1639" w:type="dxa"/>
        <w:tblInd w:w="6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639"/>
      </w:tblGrid>
      <w:tr>
        <w:tblPrEx>
          <w:tblW w:w="1639" w:type="dxa"/>
          <w:tblInd w:w="672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105"/>
        </w:trPr>
        <w:tc>
          <w:tcPr>
            <w:tcW w:w="1639" w:type="dxa"/>
            <w:vAlign w:val="top"/>
          </w:tcPr>
          <w:p>
            <w:pPr>
              <w:spacing w:before="231" w:line="246" w:lineRule="auto"/>
              <w:ind w:left="279" w:right="253" w:firstLine="23"/>
              <w:rPr>
                <w:rFonts w:ascii="KaiTi" w:eastAsia="KaiTi" w:hAnsi="KaiTi" w:cs="KaiTi"/>
                <w:sz w:val="28"/>
                <w:szCs w:val="28"/>
              </w:rPr>
            </w:pPr>
            <w:r>
              <w:rPr>
                <w:rFonts w:ascii="KaiTi" w:eastAsia="KaiTi" w:hAnsi="KaiTi" w:cs="KaiTi"/>
                <w:spacing w:val="-12"/>
                <w:sz w:val="28"/>
                <w:szCs w:val="28"/>
              </w:rPr>
              <w:t>内部资料</w:t>
            </w:r>
            <w:r>
              <w:rPr>
                <w:rFonts w:ascii="KaiTi" w:eastAsia="KaiTi" w:hAnsi="KaiTi" w:cs="KaiTi"/>
                <w:sz w:val="28"/>
                <w:szCs w:val="28"/>
              </w:rPr>
              <w:t xml:space="preserve"> </w:t>
            </w:r>
            <w:r>
              <w:rPr>
                <w:rFonts w:ascii="KaiTi" w:eastAsia="KaiTi" w:hAnsi="KaiTi" w:cs="KaiTi"/>
                <w:spacing w:val="-7"/>
                <w:sz w:val="28"/>
                <w:szCs w:val="28"/>
              </w:rPr>
              <w:t>注意保存</w:t>
            </w:r>
          </w:p>
        </w:tc>
      </w:tr>
    </w:tbl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spacing w:before="140" w:line="220" w:lineRule="auto"/>
        <w:ind w:left="1762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中建三局工程总承包公司</w:t>
      </w:r>
    </w:p>
    <w:p>
      <w:pPr>
        <w:spacing w:before="147" w:line="604" w:lineRule="exact"/>
        <w:ind w:left="22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position w:val="3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“十四五”总承包管理能力提升专项规划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pgSz w:w="11906" w:h="16839"/>
          <w:pgMar w:top="1431" w:right="1751" w:bottom="0" w:left="1785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" w:line="453" w:lineRule="exact"/>
        <w:ind w:firstLine="1490"/>
      </w:pPr>
      <w:r>
        <w:rPr>
          <w:position w:val="-9"/>
        </w:rPr>
        <w:drawing>
          <wp:inline distT="0" distB="0" distL="0" distR="0">
            <wp:extent cx="3390900" cy="28803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8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8" w:line="231" w:lineRule="auto"/>
        <w:ind w:left="325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KaiTi" w:eastAsia="KaiTi" w:hAnsi="KaiTi" w:cs="KaiTi"/>
          <w:spacing w:val="-55"/>
          <w:sz w:val="31"/>
          <w:szCs w:val="31"/>
        </w:rPr>
        <w:t xml:space="preserve"> </w:t>
      </w:r>
      <w:r>
        <w:rPr>
          <w:rFonts w:ascii="KaiTi" w:eastAsia="KaiTi" w:hAnsi="KaiTi" w:cs="KaiTi"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KaiTi" w:eastAsia="KaiTi" w:hAnsi="KaiTi" w:cs="KaiTi"/>
          <w:spacing w:val="-42"/>
          <w:sz w:val="31"/>
          <w:szCs w:val="31"/>
        </w:rPr>
        <w:t xml:space="preserve"> </w:t>
      </w:r>
      <w:r>
        <w:rPr>
          <w:rFonts w:ascii="KaiTi" w:eastAsia="KaiTi" w:hAnsi="KaiTi" w:cs="KaiTi"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10</w:t>
      </w:r>
      <w:r>
        <w:rPr>
          <w:rFonts w:ascii="KaiTi" w:eastAsia="KaiTi" w:hAnsi="KaiTi" w:cs="KaiTi"/>
          <w:spacing w:val="-47"/>
          <w:sz w:val="31"/>
          <w:szCs w:val="31"/>
        </w:rPr>
        <w:t xml:space="preserve"> </w:t>
      </w:r>
      <w:r>
        <w:rPr>
          <w:rFonts w:ascii="KaiTi" w:eastAsia="KaiTi" w:hAnsi="KaiTi" w:cs="KaiTi"/>
          <w:spacing w:val="-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月</w:t>
      </w:r>
    </w:p>
    <w:p>
      <w:pPr>
        <w:spacing w:line="231" w:lineRule="auto"/>
        <w:rPr>
          <w:rFonts w:ascii="KaiTi" w:eastAsia="KaiTi" w:hAnsi="KaiTi" w:cs="KaiTi"/>
          <w:sz w:val="31"/>
          <w:szCs w:val="31"/>
        </w:rPr>
        <w:sectPr>
          <w:type w:val="nextPage"/>
          <w:pgSz w:w="11906" w:h="16839"/>
          <w:pgMar w:top="1431" w:right="1751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Hei" w:eastAsia="SimHei" w:hAnsi="SimHei" w:cs="SimHei"/>
          <w:sz w:val="30"/>
          <w:szCs w:val="30"/>
        </w:rPr>
        <w:id w:val="151911849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0"/>
          <w:szCs w:val="20"/>
        </w:rPr>
      </w:sdtEndPr>
      <w:sdtContent>
        <w:p>
          <w:pPr>
            <w:spacing w:before="180" w:line="222" w:lineRule="auto"/>
            <w:ind w:left="3915"/>
            <w:rPr>
              <w:rFonts w:ascii="SimHei" w:eastAsia="SimHei" w:hAnsi="SimHei" w:cs="SimHei"/>
              <w:sz w:val="30"/>
              <w:szCs w:val="30"/>
            </w:rPr>
          </w:pPr>
          <w:r>
            <w:rPr>
              <w:rFonts w:ascii="SimHei" w:eastAsia="SimHei" w:hAnsi="SimHei" w:cs="SimHei"/>
              <w:spacing w:val="-25"/>
              <w:sz w:val="30"/>
              <w:szCs w:val="30"/>
            </w:rPr>
            <w:t>目录</w:t>
          </w:r>
        </w:p>
        <w:p>
          <w:pPr>
            <w:tabs>
              <w:tab w:val="right" w:leader="dot" w:pos="8319"/>
            </w:tabs>
            <w:spacing w:before="183" w:line="193" w:lineRule="auto"/>
            <w:ind w:left="25"/>
            <w:rPr>
              <w:rFonts w:ascii="SimSun" w:eastAsia="SimSun" w:hAnsi="SimSun" w:cs="SimSun"/>
              <w:sz w:val="20"/>
              <w:szCs w:val="20"/>
            </w:rPr>
          </w:pPr>
          <w:hyperlink w:anchor="bookmark1" w:history="1">
            <w:r>
              <w:rPr>
                <w:rFonts w:ascii="SimHei" w:eastAsia="SimHei" w:hAnsi="SimHei" w:cs="SimHei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“十三五”总承包推进总体回顾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2" w:history="1"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（一）</w:t>
            </w:r>
            <w:r>
              <w:rPr>
                <w:rFonts w:ascii="KaiTi" w:eastAsia="KaiTi" w:hAnsi="KaiTi" w:cs="KaiTi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取得的主要成绩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6" w:line="202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3" w:history="1"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（二）</w:t>
            </w:r>
            <w:r>
              <w:rPr>
                <w:rFonts w:ascii="KaiTi" w:eastAsia="KaiTi" w:hAnsi="KaiTi" w:cs="KaiTi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存在的不足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5" w:line="193" w:lineRule="auto"/>
            <w:ind w:left="25"/>
            <w:rPr>
              <w:rFonts w:ascii="SimSun" w:eastAsia="SimSun" w:hAnsi="SimSun" w:cs="SimSun"/>
              <w:sz w:val="20"/>
              <w:szCs w:val="20"/>
            </w:rPr>
          </w:pPr>
          <w:hyperlink w:anchor="bookmark4" w:history="1">
            <w:r>
              <w:rPr>
                <w:rFonts w:ascii="SimHei" w:eastAsia="SimHei" w:hAnsi="SimHei" w:cs="SimHei"/>
                <w:spacing w:val="7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</w:t>
            </w:r>
            <w:r>
              <w:rPr>
                <w:rFonts w:ascii="SimHei" w:eastAsia="SimHei" w:hAnsi="SimHei" w:cs="SimHei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当前国内外工程总承包环境分析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6" w:line="202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5" w:history="1"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（一）</w:t>
            </w:r>
            <w:r>
              <w:rPr>
                <w:rFonts w:ascii="KaiTi" w:eastAsia="KaiTi" w:hAnsi="KaiTi" w:cs="KaiTi"/>
                <w:spacing w:val="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国外工程总承包环境分析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7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6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6" w:history="1">
            <w:r>
              <w:rPr>
                <w:rFonts w:ascii="KaiTi" w:eastAsia="KaiTi" w:hAnsi="KaiTi" w:cs="KaiTi"/>
                <w:spacing w:val="4"/>
                <w:sz w:val="20"/>
                <w:szCs w:val="20"/>
              </w:rPr>
              <w:t>（二）</w:t>
            </w:r>
            <w:r>
              <w:rPr>
                <w:rFonts w:ascii="KaiTi" w:eastAsia="KaiTi" w:hAnsi="KaiTi" w:cs="KaiTi"/>
                <w:spacing w:val="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国内工程总承包环境分析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7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6" w:line="196" w:lineRule="auto"/>
            <w:ind w:left="26"/>
            <w:rPr>
              <w:rFonts w:ascii="SimSun" w:eastAsia="SimSun" w:hAnsi="SimSun" w:cs="SimSun"/>
              <w:sz w:val="20"/>
              <w:szCs w:val="20"/>
            </w:rPr>
          </w:pPr>
          <w:hyperlink w:anchor="bookmark7" w:history="1">
            <w:r>
              <w:rPr>
                <w:rFonts w:ascii="SimHei" w:eastAsia="SimHei" w:hAnsi="SimHei" w:cs="SimHei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“十四五”提升工程总承包能力总体构想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2" w:line="202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8" w:history="1"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（一）</w:t>
            </w:r>
            <w:r>
              <w:rPr>
                <w:rFonts w:ascii="KaiTi" w:eastAsia="KaiTi" w:hAnsi="KaiTi" w:cs="KaiTi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指导思想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6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9" w:history="1"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（二）</w:t>
            </w:r>
            <w:r>
              <w:rPr>
                <w:rFonts w:ascii="KaiTi" w:eastAsia="KaiTi" w:hAnsi="KaiTi" w:cs="KaiTi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基本原则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7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10" w:history="1"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（三）</w:t>
            </w:r>
            <w:r>
              <w:rPr>
                <w:rFonts w:ascii="KaiTi" w:eastAsia="KaiTi" w:hAnsi="KaiTi" w:cs="KaiTi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总体目标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6" w:line="202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11" w:history="1"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（四）</w:t>
            </w:r>
            <w:r>
              <w:rPr>
                <w:rFonts w:ascii="KaiTi" w:eastAsia="KaiTi" w:hAnsi="KaiTi" w:cs="KaiTi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实施路径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12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6" w:line="196" w:lineRule="auto"/>
            <w:ind w:left="34"/>
            <w:rPr>
              <w:rFonts w:ascii="SimSun" w:eastAsia="SimSun" w:hAnsi="SimSun" w:cs="SimSun"/>
              <w:sz w:val="20"/>
              <w:szCs w:val="20"/>
            </w:rPr>
          </w:pPr>
          <w:hyperlink w:anchor="bookmark12" w:history="1">
            <w:r>
              <w:rPr>
                <w:rFonts w:ascii="SimHei" w:eastAsia="SimHei" w:hAnsi="SimHei" w:cs="SimHei"/>
                <w:spacing w:val="5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</w:t>
            </w:r>
            <w:r>
              <w:rPr>
                <w:rFonts w:ascii="SimHei" w:eastAsia="SimHei" w:hAnsi="SimHei" w:cs="SimHei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主要工作任务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  <w:r>
              <w:rPr>
                <w:rFonts w:ascii="SimSun" w:eastAsia="SimSun" w:hAnsi="SimSun" w:cs="SimSu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13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1" w:line="194" w:lineRule="auto"/>
            <w:ind w:left="354"/>
            <w:rPr>
              <w:rFonts w:ascii="SimSun" w:eastAsia="SimSun" w:hAnsi="SimSun" w:cs="SimSun"/>
              <w:sz w:val="20"/>
              <w:szCs w:val="20"/>
            </w:rPr>
          </w:pPr>
          <w:hyperlink w:anchor="bookmark13" w:history="1"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1.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打造市场前端策划能力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13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193" w:lineRule="auto"/>
            <w:ind w:left="349"/>
            <w:rPr>
              <w:rFonts w:ascii="SimSun" w:eastAsia="SimSun" w:hAnsi="SimSun" w:cs="SimSun"/>
              <w:sz w:val="20"/>
              <w:szCs w:val="20"/>
            </w:rPr>
          </w:pPr>
          <w:hyperlink w:anchor="bookmark14" w:history="1"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2.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提升项目策划能力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14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193" w:lineRule="auto"/>
            <w:ind w:left="357"/>
            <w:rPr>
              <w:rFonts w:ascii="SimSun" w:eastAsia="SimSun" w:hAnsi="SimSun" w:cs="SimSun"/>
              <w:sz w:val="20"/>
              <w:szCs w:val="20"/>
            </w:rPr>
          </w:pPr>
          <w:hyperlink w:anchor="bookmark15" w:history="1"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>3.</w:t>
            </w:r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提升项目计划能力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15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194" w:lineRule="auto"/>
            <w:ind w:left="348"/>
            <w:rPr>
              <w:rFonts w:ascii="SimSun" w:eastAsia="SimSun" w:hAnsi="SimSun" w:cs="SimSun"/>
              <w:sz w:val="20"/>
              <w:szCs w:val="20"/>
            </w:rPr>
          </w:pPr>
          <w:hyperlink w:anchor="bookmark16" w:history="1"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4.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提升报批报建能力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17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193" w:lineRule="auto"/>
            <w:ind w:left="352"/>
            <w:rPr>
              <w:rFonts w:ascii="SimSun" w:eastAsia="SimSun" w:hAnsi="SimSun" w:cs="SimSun"/>
              <w:sz w:val="20"/>
              <w:szCs w:val="20"/>
            </w:rPr>
          </w:pPr>
          <w:hyperlink w:anchor="bookmark17" w:history="1"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>5.</w:t>
            </w:r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提升设计管理能力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18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194" w:lineRule="auto"/>
            <w:ind w:left="351"/>
            <w:rPr>
              <w:rFonts w:ascii="SimSun" w:eastAsia="SimSun" w:hAnsi="SimSun" w:cs="SimSun"/>
              <w:sz w:val="20"/>
              <w:szCs w:val="20"/>
            </w:rPr>
          </w:pPr>
          <w:hyperlink w:anchor="bookmark18" w:history="1"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6.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提升供应链管理能力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3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19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4" w:line="193" w:lineRule="auto"/>
            <w:ind w:left="351"/>
            <w:rPr>
              <w:rFonts w:ascii="SimSun" w:eastAsia="SimSun" w:hAnsi="SimSun" w:cs="SimSun"/>
              <w:sz w:val="20"/>
              <w:szCs w:val="20"/>
            </w:rPr>
          </w:pPr>
          <w:hyperlink w:anchor="bookmark19" w:history="1"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>7.</w:t>
            </w:r>
            <w:r>
              <w:rPr>
                <w:rFonts w:ascii="FangSong" w:eastAsia="FangSong" w:hAnsi="FangSong" w:cs="FangSong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提升造价管理能力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21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5" w:line="193" w:lineRule="auto"/>
            <w:ind w:left="351"/>
            <w:rPr>
              <w:rFonts w:ascii="SimSun" w:eastAsia="SimSun" w:hAnsi="SimSun" w:cs="SimSun"/>
              <w:sz w:val="20"/>
              <w:szCs w:val="20"/>
            </w:rPr>
          </w:pPr>
          <w:hyperlink w:anchor="bookmark20" w:history="1"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8.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提升全专业建造能力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22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6" w:line="197" w:lineRule="auto"/>
            <w:ind w:left="27"/>
            <w:rPr>
              <w:rFonts w:ascii="SimSun" w:eastAsia="SimSun" w:hAnsi="SimSun" w:cs="SimSun"/>
              <w:sz w:val="20"/>
              <w:szCs w:val="20"/>
            </w:rPr>
          </w:pPr>
          <w:hyperlink w:anchor="bookmark21" w:history="1">
            <w:r>
              <w:rPr>
                <w:rFonts w:ascii="SimHei" w:eastAsia="SimHei" w:hAnsi="SimHei" w:cs="SimHei"/>
                <w:spacing w:val="6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</w:t>
            </w:r>
            <w:r>
              <w:rPr>
                <w:rFonts w:ascii="SimHei" w:eastAsia="SimHei" w:hAnsi="SimHei" w:cs="SimHei"/>
                <w:spacing w:val="3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支撑与保障措施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23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1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22" w:history="1"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>（一）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加快工程总承包体系建设升级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23 -</w:t>
            </w:r>
          </w:hyperlink>
        </w:p>
        <w:p>
          <w:pPr>
            <w:tabs>
              <w:tab w:val="right" w:leader="dot" w:pos="8319"/>
            </w:tabs>
            <w:spacing w:before="157" w:line="202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23" w:history="1"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>（二）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建立健全工程总承包评价体系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25 -</w:t>
            </w:r>
          </w:hyperlink>
        </w:p>
        <w:p>
          <w:pPr>
            <w:tabs>
              <w:tab w:val="right" w:leader="dot" w:pos="8319"/>
            </w:tabs>
            <w:spacing w:before="155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24" w:history="1"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>（三）</w:t>
            </w:r>
            <w:r>
              <w:rPr>
                <w:rFonts w:ascii="KaiTi" w:eastAsia="KaiTi" w:hAnsi="KaiTi" w:cs="KaiT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加速工程总承包三库建设保障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26 -</w:t>
            </w:r>
          </w:hyperlink>
        </w:p>
        <w:p>
          <w:pPr>
            <w:tabs>
              <w:tab w:val="right" w:leader="dot" w:pos="8319"/>
            </w:tabs>
            <w:spacing w:before="157" w:line="197" w:lineRule="auto"/>
            <w:ind w:left="28"/>
            <w:rPr>
              <w:rFonts w:ascii="SimSun" w:eastAsia="SimSun" w:hAnsi="SimSun" w:cs="SimSun"/>
              <w:sz w:val="20"/>
              <w:szCs w:val="20"/>
            </w:rPr>
          </w:pPr>
          <w:hyperlink w:anchor="bookmark25" w:history="1">
            <w:r>
              <w:rPr>
                <w:rFonts w:ascii="SimHei" w:eastAsia="SimHei" w:hAnsi="SimHei" w:cs="SimHei"/>
                <w:spacing w:val="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六、</w:t>
            </w:r>
            <w:r>
              <w:rPr>
                <w:rFonts w:ascii="SimHei" w:eastAsia="SimHei" w:hAnsi="SimHei" w:cs="SimHei"/>
                <w:spacing w:val="3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规划执行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28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61" w:line="201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26" w:history="1"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（一）</w:t>
            </w:r>
            <w:r>
              <w:rPr>
                <w:rFonts w:ascii="KaiTi" w:eastAsia="KaiTi" w:hAnsi="KaiTi" w:cs="KaiTi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规划落实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28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</w:hyperlink>
        </w:p>
        <w:p>
          <w:pPr>
            <w:tabs>
              <w:tab w:val="right" w:leader="dot" w:pos="8319"/>
            </w:tabs>
            <w:spacing w:before="157" w:line="236" w:lineRule="auto"/>
            <w:ind w:left="359"/>
            <w:rPr>
              <w:rFonts w:ascii="SimSun" w:eastAsia="SimSun" w:hAnsi="SimSun" w:cs="SimSun"/>
              <w:sz w:val="20"/>
              <w:szCs w:val="20"/>
            </w:rPr>
          </w:pPr>
          <w:hyperlink w:anchor="bookmark27" w:history="1">
            <w:r>
              <w:rPr>
                <w:rFonts w:ascii="KaiTi" w:eastAsia="KaiTi" w:hAnsi="KaiTi" w:cs="KaiTi"/>
                <w:spacing w:val="2"/>
                <w:sz w:val="20"/>
                <w:szCs w:val="20"/>
              </w:rPr>
              <w:t>（二）</w:t>
            </w:r>
            <w:r>
              <w:rPr>
                <w:rFonts w:ascii="KaiTi" w:eastAsia="KaiTi" w:hAnsi="KaiTi" w:cs="KaiTi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规划修订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28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-</w:t>
            </w:r>
          </w:hyperlink>
        </w:p>
      </w:sdtContent>
    </w:sdt>
    <w:p>
      <w:pPr>
        <w:spacing w:line="236" w:lineRule="auto"/>
        <w:rPr>
          <w:rFonts w:ascii="SimSun" w:eastAsia="SimSun" w:hAnsi="SimSun" w:cs="SimSun"/>
          <w:sz w:val="20"/>
          <w:szCs w:val="20"/>
        </w:r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spacing w:before="139" w:line="605" w:lineRule="exact"/>
        <w:ind w:left="12"/>
        <w:rPr>
          <w:rFonts w:ascii="SimSun" w:eastAsia="SimSun" w:hAnsi="SimSun" w:cs="SimSun"/>
          <w:sz w:val="43"/>
          <w:szCs w:val="43"/>
        </w:rPr>
      </w:pPr>
      <w:bookmarkStart w:id="0" w:name="bookmark1"/>
      <w:bookmarkEnd w:id="0"/>
      <w:r>
        <w:rPr>
          <w:rFonts w:ascii="SimSun" w:eastAsia="SimSun" w:hAnsi="SimSun" w:cs="SimSun"/>
          <w:spacing w:val="11"/>
          <w:position w:val="3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公司“十四五”总承包管理能力提升专项规划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101" w:line="333" w:lineRule="auto"/>
        <w:ind w:firstLine="639"/>
        <w:jc w:val="both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5"/>
          <w:sz w:val="31"/>
          <w:szCs w:val="31"/>
        </w:rPr>
        <w:t>根据《中建三局集团有限公司“十四五”战略规划》及《中</w:t>
      </w:r>
      <w:r>
        <w:rPr>
          <w:rFonts w:ascii="FangSong" w:eastAsia="FangSong" w:hAnsi="FangSong" w:cs="FangSong"/>
          <w:spacing w:val="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建三局工程总承包公司“十四五”战略规划》的整体部署，结合</w:t>
      </w:r>
      <w:r>
        <w:rPr>
          <w:rFonts w:ascii="FangSong" w:eastAsia="FangSong" w:hAnsi="FangSong" w:cs="FangSong"/>
          <w:spacing w:val="12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公司</w:t>
      </w:r>
      <w:r>
        <w:rPr>
          <w:rFonts w:ascii="FangSong" w:eastAsia="FangSong" w:hAnsi="FangSong" w:cs="FangSong"/>
          <w:spacing w:val="-97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“一最两先”</w:t>
      </w:r>
      <w:r>
        <w:rPr>
          <w:rFonts w:ascii="FangSong" w:eastAsia="FangSong" w:hAnsi="FangSong" w:cs="FangSong"/>
          <w:spacing w:val="-115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的战略目标及</w:t>
      </w:r>
      <w:r>
        <w:rPr>
          <w:rFonts w:ascii="FangSong" w:eastAsia="FangSong" w:hAnsi="FangSong" w:cs="FangSong"/>
          <w:spacing w:val="-105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“两中心一为本”</w:t>
      </w:r>
      <w:r>
        <w:rPr>
          <w:rFonts w:ascii="FangSong" w:eastAsia="FangSong" w:hAnsi="FangSong" w:cs="FangSong"/>
          <w:spacing w:val="-112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的发展策略，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17"/>
          <w:sz w:val="31"/>
          <w:szCs w:val="31"/>
        </w:rPr>
        <w:t>通过对标国际一流的工程总承包企业及开展广泛深入的内外部</w:t>
      </w:r>
    </w:p>
    <w:p>
      <w:pPr>
        <w:spacing w:before="1" w:line="221" w:lineRule="auto"/>
        <w:ind w:left="2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9"/>
          <w:sz w:val="31"/>
          <w:szCs w:val="31"/>
        </w:rPr>
        <w:t>调研，深刻剖析公司总承包管理发展现状，制定本专项规划。</w:t>
      </w:r>
    </w:p>
    <w:p>
      <w:pPr>
        <w:spacing w:before="185" w:line="228" w:lineRule="auto"/>
        <w:ind w:left="648"/>
        <w:outlineLvl w:val="0"/>
        <w:rPr>
          <w:rFonts w:ascii="SimHei" w:eastAsia="SimHei" w:hAnsi="SimHei" w:cs="SimHei"/>
          <w:sz w:val="31"/>
          <w:szCs w:val="31"/>
        </w:rPr>
      </w:pPr>
      <w:bookmarkStart w:id="1" w:name="bookmark2"/>
      <w:bookmarkEnd w:id="1"/>
      <w:r>
        <w:rPr>
          <w:rFonts w:ascii="SimHei" w:eastAsia="SimHei" w:hAnsi="SimHei" w:cs="SimHei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一、“十三五”总承包推进总体回顾</w:t>
      </w:r>
    </w:p>
    <w:p>
      <w:pPr>
        <w:spacing w:before="179" w:line="230" w:lineRule="auto"/>
        <w:ind w:left="668"/>
        <w:outlineLvl w:val="1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7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（一）取得的主要成绩</w:t>
      </w:r>
    </w:p>
    <w:p>
      <w:pPr>
        <w:spacing w:before="174" w:line="223" w:lineRule="auto"/>
        <w:ind w:left="663"/>
        <w:outlineLvl w:val="2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1.工程总承包业务发展成绩斐然</w:t>
      </w:r>
    </w:p>
    <w:p>
      <w:pPr>
        <w:spacing w:before="177" w:line="334" w:lineRule="auto"/>
        <w:ind w:left="6" w:right="31" w:firstLine="648"/>
        <w:rPr>
          <w:rFonts w:ascii="FangSong" w:eastAsia="FangSong" w:hAnsi="FangSong" w:cs="FangSong"/>
          <w:sz w:val="31"/>
          <w:szCs w:val="31"/>
        </w:rPr>
        <w:sectPr>
          <w:footerReference w:type="default" r:id="rId5"/>
          <w:pgSz w:w="11906" w:h="16839"/>
          <w:pgMar w:top="1431" w:right="1437" w:bottom="1230" w:left="1596" w:header="0" w:footer="1055" w:gutter="0"/>
          <w:pgNumType w:start="4"/>
          <w:cols w:space="708"/>
        </w:sectPr>
      </w:pPr>
      <w:r>
        <w:rPr>
          <w:rFonts w:ascii="FangSong" w:eastAsia="FangSong" w:hAnsi="FangSong" w:cs="FangSong"/>
          <w:spacing w:val="4"/>
          <w:sz w:val="31"/>
          <w:szCs w:val="31"/>
        </w:rPr>
        <w:t>五年以来，在国家及地方相继发布工程总承包相关政策的大</w:t>
      </w:r>
      <w:r>
        <w:rPr>
          <w:rFonts w:ascii="FangSong" w:eastAsia="FangSong" w:hAnsi="FangSong" w:cs="FangSong"/>
          <w:spacing w:val="16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背景下，公司工程总承包业务发展迅猛，新承接</w:t>
      </w:r>
      <w:r>
        <w:rPr>
          <w:rFonts w:ascii="FangSong" w:eastAsia="FangSong" w:hAnsi="FangSong" w:cs="FangSong"/>
          <w:spacing w:val="-54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EPC</w:t>
      </w:r>
      <w:r>
        <w:rPr>
          <w:rFonts w:ascii="FangSong" w:eastAsia="FangSong" w:hAnsi="FangSong" w:cs="FangSong"/>
          <w:spacing w:val="-58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项目从</w:t>
      </w:r>
      <w:r>
        <w:rPr>
          <w:rFonts w:ascii="FangSong" w:eastAsia="FangSong" w:hAnsi="FangSong" w:cs="FangSong"/>
          <w:spacing w:val="-51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2016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年的</w:t>
      </w:r>
      <w:r>
        <w:rPr>
          <w:rFonts w:ascii="FangSong" w:eastAsia="FangSong" w:hAnsi="FangSong" w:cs="FangSong"/>
          <w:spacing w:val="-2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2</w:t>
      </w:r>
      <w:r>
        <w:rPr>
          <w:rFonts w:ascii="FangSong" w:eastAsia="FangSong" w:hAnsi="FangSong" w:cs="FangSong"/>
          <w:spacing w:val="-5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个增长到</w:t>
      </w:r>
      <w:r>
        <w:rPr>
          <w:rFonts w:ascii="FangSong" w:eastAsia="FangSong" w:hAnsi="FangSong" w:cs="FangSong"/>
          <w:spacing w:val="-4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2020</w:t>
      </w:r>
      <w:r>
        <w:rPr>
          <w:rFonts w:ascii="FangSong" w:eastAsia="FangSong" w:hAnsi="FangSong" w:cs="FangSong"/>
          <w:spacing w:val="-5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年的</w:t>
      </w:r>
      <w:r>
        <w:rPr>
          <w:rFonts w:ascii="FangSong" w:eastAsia="FangSong" w:hAnsi="FangSong" w:cs="FangSong"/>
          <w:spacing w:val="-4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42</w:t>
      </w:r>
      <w:r>
        <w:rPr>
          <w:rFonts w:ascii="FangSong" w:eastAsia="FangSong" w:hAnsi="FangSong" w:cs="FangSong"/>
          <w:spacing w:val="-5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个，年均增长率</w:t>
      </w:r>
      <w:r>
        <w:rPr>
          <w:rFonts w:ascii="FangSong" w:eastAsia="FangSong" w:hAnsi="FangSong" w:cs="FangSong"/>
          <w:spacing w:val="-4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539%，新承接合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7"/>
          <w:sz w:val="31"/>
          <w:szCs w:val="31"/>
        </w:rPr>
        <w:t>同额从</w:t>
      </w:r>
      <w:r>
        <w:rPr>
          <w:rFonts w:ascii="FangSong" w:eastAsia="FangSong" w:hAnsi="FangSong" w:cs="FangSong"/>
          <w:spacing w:val="-39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7"/>
          <w:sz w:val="31"/>
          <w:szCs w:val="31"/>
        </w:rPr>
        <w:t>8.6</w:t>
      </w:r>
      <w:r>
        <w:rPr>
          <w:rFonts w:ascii="FangSong" w:eastAsia="FangSong" w:hAnsi="FangSong" w:cs="FangSong"/>
          <w:spacing w:val="-4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7"/>
          <w:sz w:val="31"/>
          <w:szCs w:val="31"/>
        </w:rPr>
        <w:t>亿元增长到</w:t>
      </w:r>
      <w:r>
        <w:rPr>
          <w:rFonts w:ascii="FangSong" w:eastAsia="FangSong" w:hAnsi="FangSong" w:cs="FangSong"/>
          <w:spacing w:val="-4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7"/>
          <w:sz w:val="31"/>
          <w:szCs w:val="31"/>
        </w:rPr>
        <w:t>271.6</w:t>
      </w:r>
      <w:r>
        <w:rPr>
          <w:rFonts w:ascii="FangSong" w:eastAsia="FangSong" w:hAnsi="FangSong" w:cs="FangSong"/>
          <w:spacing w:val="-49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7"/>
          <w:sz w:val="31"/>
          <w:szCs w:val="31"/>
        </w:rPr>
        <w:t>亿元，年均增</w:t>
      </w:r>
      <w:r>
        <w:rPr>
          <w:rFonts w:ascii="FangSong" w:eastAsia="FangSong" w:hAnsi="FangSong" w:cs="FangSong"/>
          <w:spacing w:val="6"/>
          <w:sz w:val="31"/>
          <w:szCs w:val="31"/>
        </w:rPr>
        <w:t>长率</w:t>
      </w:r>
      <w:r>
        <w:rPr>
          <w:rFonts w:ascii="FangSong" w:eastAsia="FangSong" w:hAnsi="FangSong" w:cs="FangSong"/>
          <w:spacing w:val="-4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6"/>
          <w:sz w:val="31"/>
          <w:szCs w:val="31"/>
        </w:rPr>
        <w:t>260%。截至目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前，公司共承接</w:t>
      </w:r>
      <w:r>
        <w:rPr>
          <w:rFonts w:ascii="FangSong" w:eastAsia="FangSong" w:hAnsi="FangSong" w:cs="FangSong"/>
          <w:spacing w:val="-56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EPC</w:t>
      </w:r>
      <w:r>
        <w:rPr>
          <w:rFonts w:ascii="FangSong" w:eastAsia="FangSong" w:hAnsi="FangSong" w:cs="FangSong"/>
          <w:spacing w:val="-6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项目</w:t>
      </w:r>
      <w:r>
        <w:rPr>
          <w:rFonts w:ascii="FangSong" w:eastAsia="FangSong" w:hAnsi="FangSong" w:cs="FangSong"/>
          <w:spacing w:val="-4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172</w:t>
      </w:r>
      <w:r>
        <w:rPr>
          <w:rFonts w:ascii="FangSong" w:eastAsia="FangSong" w:hAnsi="FangSong" w:cs="FangSong"/>
          <w:spacing w:val="-6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个，其中在建</w:t>
      </w:r>
      <w:r>
        <w:rPr>
          <w:rFonts w:ascii="FangSong" w:eastAsia="FangSong" w:hAnsi="FangSong" w:cs="FangSong"/>
          <w:spacing w:val="-6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EPC</w:t>
      </w:r>
      <w:r>
        <w:rPr>
          <w:rFonts w:ascii="FangSong" w:eastAsia="FangSong" w:hAnsi="FangSong" w:cs="FangSong"/>
          <w:spacing w:val="-5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项目</w:t>
      </w:r>
      <w:r>
        <w:rPr>
          <w:rFonts w:ascii="FangSong" w:eastAsia="FangSong" w:hAnsi="FangSong" w:cs="FangSong"/>
          <w:spacing w:val="-4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128</w:t>
      </w:r>
      <w:r>
        <w:rPr>
          <w:rFonts w:ascii="FangSong" w:eastAsia="FangSong" w:hAnsi="FangSong" w:cs="FangSong"/>
          <w:spacing w:val="-6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1"/>
          <w:sz w:val="31"/>
          <w:szCs w:val="31"/>
        </w:rPr>
        <w:t>个，总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9"/>
          <w:sz w:val="31"/>
          <w:szCs w:val="31"/>
        </w:rPr>
        <w:t>合同额</w:t>
      </w:r>
      <w:r>
        <w:rPr>
          <w:rFonts w:ascii="FangSong" w:eastAsia="FangSong" w:hAnsi="FangSong" w:cs="FangSong"/>
          <w:spacing w:val="-3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9"/>
          <w:sz w:val="31"/>
          <w:szCs w:val="31"/>
        </w:rPr>
        <w:t>614.03</w:t>
      </w:r>
      <w:r>
        <w:rPr>
          <w:rFonts w:ascii="FangSong" w:eastAsia="FangSong" w:hAnsi="FangSong" w:cs="FangSong"/>
          <w:spacing w:val="-49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9"/>
          <w:sz w:val="31"/>
          <w:szCs w:val="31"/>
        </w:rPr>
        <w:t>亿元，总体占比达到</w:t>
      </w:r>
      <w:r>
        <w:rPr>
          <w:rFonts w:ascii="FangSong" w:eastAsia="FangSong" w:hAnsi="FangSong" w:cs="FangSong"/>
          <w:spacing w:val="-45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9"/>
          <w:sz w:val="31"/>
          <w:szCs w:val="31"/>
        </w:rPr>
        <w:t>42.6%，辐射湖北、</w:t>
      </w:r>
      <w:r>
        <w:rPr>
          <w:rFonts w:ascii="FangSong" w:eastAsia="FangSong" w:hAnsi="FangSong" w:cs="FangSong"/>
          <w:spacing w:val="8"/>
          <w:sz w:val="31"/>
          <w:szCs w:val="31"/>
        </w:rPr>
        <w:t>湖南、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江西、河南、江苏、天津、山东、辽宁、广东、海南等区域，项</w:t>
      </w:r>
      <w:r>
        <w:rPr>
          <w:rFonts w:ascii="FangSong" w:eastAsia="FangSong" w:hAnsi="FangSong" w:cs="FangSong"/>
          <w:spacing w:val="1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目类型涵盖办公、住宅、医院、学校、厂房、仓储、城市综合体</w:t>
      </w:r>
      <w:r>
        <w:rPr>
          <w:rFonts w:ascii="FangSong" w:eastAsia="FangSong" w:hAnsi="FangSong" w:cs="FangSong"/>
          <w:spacing w:val="1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5"/>
          <w:sz w:val="31"/>
          <w:szCs w:val="31"/>
        </w:rPr>
        <w:t>等房建和道路、市政污水等基础设施类别，涉及军民融合、城市</w:t>
      </w:r>
      <w:r>
        <w:rPr>
          <w:rFonts w:ascii="FangSong" w:eastAsia="FangSong" w:hAnsi="FangSong" w:cs="FangSong"/>
          <w:spacing w:val="6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6"/>
          <w:sz w:val="31"/>
          <w:szCs w:val="31"/>
        </w:rPr>
        <w:t>外立面升级、冷链、光伏等新领域。根据</w:t>
      </w:r>
      <w:r>
        <w:rPr>
          <w:rFonts w:ascii="FangSong" w:eastAsia="FangSong" w:hAnsi="FangSong" w:cs="FangSong"/>
          <w:spacing w:val="-26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6"/>
          <w:sz w:val="31"/>
          <w:szCs w:val="31"/>
        </w:rPr>
        <w:t>360、华南城、光谷同</w:t>
      </w:r>
    </w:p>
    <w:p>
      <w:pPr>
        <w:spacing w:line="221" w:lineRule="auto"/>
        <w:ind w:left="1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5"/>
          <w:sz w:val="31"/>
          <w:szCs w:val="31"/>
        </w:rPr>
        <w:t>济儿童医院、麻城中学、三亚崖州湾科技城中学、广东冷链</w:t>
      </w:r>
      <w:r>
        <w:rPr>
          <w:rFonts w:ascii="FangSong" w:eastAsia="FangSong" w:hAnsi="FangSong" w:cs="FangSong"/>
          <w:spacing w:val="4"/>
          <w:sz w:val="31"/>
          <w:szCs w:val="31"/>
        </w:rPr>
        <w:t>系列</w:t>
      </w:r>
    </w:p>
    <w:p>
      <w:pPr>
        <w:spacing w:line="221" w:lineRule="auto"/>
        <w:rPr>
          <w:rFonts w:ascii="FangSong" w:eastAsia="FangSong" w:hAnsi="FangSong" w:cs="FangSong"/>
          <w:sz w:val="31"/>
          <w:szCs w:val="31"/>
        </w:rPr>
        <w:sectPr>
          <w:footerReference w:type="default" r:id="rId6"/>
          <w:type w:val="nextPage"/>
          <w:pgSz w:w="11906" w:h="16839"/>
          <w:pgMar w:top="1431" w:right="1437" w:bottom="1230" w:left="1596" w:header="0" w:footer="1055" w:gutter="0"/>
          <w:pgNumType w:start="5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00" w:line="560" w:lineRule="exact"/>
        <w:ind w:left="13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4"/>
          <w:position w:val="18"/>
          <w:sz w:val="31"/>
          <w:szCs w:val="31"/>
        </w:rPr>
        <w:t>项目等</w:t>
      </w:r>
      <w:r>
        <w:rPr>
          <w:rFonts w:ascii="FangSong" w:eastAsia="FangSong" w:hAnsi="FangSong" w:cs="FangSong"/>
          <w:spacing w:val="-41"/>
          <w:position w:val="18"/>
          <w:sz w:val="31"/>
          <w:szCs w:val="31"/>
        </w:rPr>
        <w:t xml:space="preserve"> </w:t>
      </w:r>
      <w:r>
        <w:rPr>
          <w:rFonts w:ascii="FangSong" w:eastAsia="FangSong" w:hAnsi="FangSong" w:cs="FangSong"/>
          <w:position w:val="18"/>
          <w:sz w:val="31"/>
          <w:szCs w:val="31"/>
        </w:rPr>
        <w:t>EPC</w:t>
      </w:r>
      <w:r>
        <w:rPr>
          <w:rFonts w:ascii="FangSong" w:eastAsia="FangSong" w:hAnsi="FangSong" w:cs="FangSong"/>
          <w:spacing w:val="-58"/>
          <w:position w:val="1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4"/>
          <w:position w:val="18"/>
          <w:sz w:val="31"/>
          <w:szCs w:val="31"/>
        </w:rPr>
        <w:t>项目实施经验，形成了医院、冷链等优势产品线。通</w:t>
      </w:r>
    </w:p>
    <w:p>
      <w:pPr>
        <w:spacing w:line="221" w:lineRule="auto"/>
        <w:ind w:left="1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1"/>
          <w:szCs w:val="31"/>
        </w:rPr>
        <w:t>过不断实践，积累了一定的工程总承包业务发展能力。</w:t>
      </w:r>
    </w:p>
    <w:p>
      <w:pPr>
        <w:spacing w:before="77" w:line="3585" w:lineRule="exact"/>
        <w:ind w:firstLine="317"/>
      </w:pPr>
      <w:r>
        <w:rPr>
          <w:position w:val="-71"/>
        </w:rPr>
        <w:drawing>
          <wp:inline distT="0" distB="0" distL="0" distR="0">
            <wp:extent cx="5193029" cy="22764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3029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0" w:line="222" w:lineRule="auto"/>
        <w:ind w:left="1259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4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图表</w:t>
      </w:r>
      <w:r>
        <w:rPr>
          <w:rFonts w:ascii="FangSong" w:eastAsia="FangSong" w:hAnsi="FangSong" w:cs="FangSong"/>
          <w:spacing w:val="4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4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FangSong" w:eastAsia="FangSong" w:hAnsi="FangSong" w:cs="FangSong"/>
          <w:spacing w:val="-99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4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“十三五”公司</w:t>
      </w:r>
      <w:r>
        <w:rPr>
          <w:rFonts w:ascii="FangSong" w:eastAsia="FangSong" w:hAnsi="FangSong" w:cs="FangSong"/>
          <w:spacing w:val="-59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EPC</w:t>
      </w:r>
      <w:r>
        <w:rPr>
          <w:rFonts w:ascii="FangSong" w:eastAsia="FangSong" w:hAnsi="FangSong" w:cs="FangSong"/>
          <w:spacing w:val="-55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4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工程业务发展情况</w:t>
      </w:r>
    </w:p>
    <w:p>
      <w:pPr>
        <w:spacing w:before="188" w:line="221" w:lineRule="auto"/>
        <w:ind w:left="663"/>
        <w:outlineLvl w:val="2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2.企业组织管理体系不断优化</w:t>
      </w:r>
    </w:p>
    <w:p>
      <w:pPr>
        <w:spacing w:before="195" w:line="333" w:lineRule="auto"/>
        <w:ind w:firstLine="660"/>
        <w:jc w:val="both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4"/>
          <w:sz w:val="31"/>
          <w:szCs w:val="31"/>
        </w:rPr>
        <w:t>为了提升公司工程总承包实施能力，适应行业深刻的市场变</w:t>
      </w:r>
      <w:r>
        <w:rPr>
          <w:rFonts w:ascii="FangSong" w:eastAsia="FangSong" w:hAnsi="FangSong" w:cs="FangSong"/>
          <w:spacing w:val="7"/>
          <w:sz w:val="31"/>
          <w:szCs w:val="31"/>
        </w:rPr>
        <w:t xml:space="preserve">  </w:t>
      </w:r>
      <w:r>
        <w:rPr>
          <w:rFonts w:ascii="FangSong" w:eastAsia="FangSong" w:hAnsi="FangSong" w:cs="FangSong"/>
          <w:spacing w:val="6"/>
          <w:sz w:val="31"/>
          <w:szCs w:val="31"/>
        </w:rPr>
        <w:t>革，公司深化组织体系改革，优化管理架构，相继</w:t>
      </w:r>
      <w:r>
        <w:rPr>
          <w:rFonts w:ascii="FangSong" w:eastAsia="FangSong" w:hAnsi="FangSong" w:cs="FangSong"/>
          <w:spacing w:val="5"/>
          <w:sz w:val="31"/>
          <w:szCs w:val="31"/>
        </w:rPr>
        <w:t>成立了项目管</w:t>
      </w:r>
      <w:r>
        <w:rPr>
          <w:rFonts w:ascii="FangSong" w:eastAsia="FangSong" w:hAnsi="FangSong" w:cs="FangSong"/>
          <w:sz w:val="31"/>
          <w:szCs w:val="31"/>
        </w:rPr>
        <w:t xml:space="preserve">  </w:t>
      </w:r>
      <w:r>
        <w:rPr>
          <w:rFonts w:ascii="FangSong" w:eastAsia="FangSong" w:hAnsi="FangSong" w:cs="FangSong"/>
          <w:spacing w:val="6"/>
          <w:sz w:val="31"/>
          <w:szCs w:val="31"/>
        </w:rPr>
        <w:t>理部、总承包管理中心、供应链管理部、商务</w:t>
      </w:r>
      <w:r>
        <w:rPr>
          <w:rFonts w:ascii="FangSong" w:eastAsia="FangSong" w:hAnsi="FangSong" w:cs="FangSong"/>
          <w:spacing w:val="5"/>
          <w:sz w:val="31"/>
          <w:szCs w:val="31"/>
        </w:rPr>
        <w:t>中心等部门或支撑</w:t>
      </w:r>
      <w:r>
        <w:rPr>
          <w:rFonts w:ascii="FangSong" w:eastAsia="FangSong" w:hAnsi="FangSong" w:cs="FangSong"/>
          <w:sz w:val="31"/>
          <w:szCs w:val="31"/>
        </w:rPr>
        <w:t xml:space="preserve">  </w:t>
      </w:r>
      <w:r>
        <w:rPr>
          <w:rFonts w:ascii="FangSong" w:eastAsia="FangSong" w:hAnsi="FangSong" w:cs="FangSong"/>
          <w:spacing w:val="11"/>
          <w:sz w:val="31"/>
          <w:szCs w:val="31"/>
        </w:rPr>
        <w:t>平台，强化了总部对项目的策划、计划、报批报建、设计</w:t>
      </w:r>
      <w:r>
        <w:rPr>
          <w:rFonts w:ascii="FangSong" w:eastAsia="FangSong" w:hAnsi="FangSong" w:cs="FangSong"/>
          <w:spacing w:val="10"/>
          <w:sz w:val="31"/>
          <w:szCs w:val="31"/>
        </w:rPr>
        <w:t>管理、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6"/>
          <w:sz w:val="31"/>
          <w:szCs w:val="31"/>
        </w:rPr>
        <w:t>合约规划、概预算管理、精益建造等业务管控和支</w:t>
      </w:r>
      <w:r>
        <w:rPr>
          <w:rFonts w:ascii="FangSong" w:eastAsia="FangSong" w:hAnsi="FangSong" w:cs="FangSong"/>
          <w:spacing w:val="5"/>
          <w:sz w:val="31"/>
          <w:szCs w:val="31"/>
        </w:rPr>
        <w:t>撑，公司总承</w:t>
      </w:r>
      <w:r>
        <w:rPr>
          <w:rFonts w:ascii="FangSong" w:eastAsia="FangSong" w:hAnsi="FangSong" w:cs="FangSong"/>
          <w:sz w:val="31"/>
          <w:szCs w:val="31"/>
        </w:rPr>
        <w:t xml:space="preserve">  </w:t>
      </w:r>
      <w:r>
        <w:rPr>
          <w:rFonts w:ascii="FangSong" w:eastAsia="FangSong" w:hAnsi="FangSong" w:cs="FangSong"/>
          <w:spacing w:val="11"/>
          <w:sz w:val="31"/>
          <w:szCs w:val="31"/>
        </w:rPr>
        <w:t>包管理体系建设进一步完善。二级单位体系建设有了较大提升，</w:t>
      </w:r>
      <w:r>
        <w:rPr>
          <w:rFonts w:ascii="FangSong" w:eastAsia="FangSong" w:hAnsi="FangSong" w:cs="FangSong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同时公司通过“流程再造”行动，统筹推动二级单位（三级单位）</w:t>
      </w:r>
      <w:r>
        <w:rPr>
          <w:rFonts w:ascii="FangSong" w:eastAsia="FangSong" w:hAnsi="FangSong" w:cs="FangSong"/>
          <w:spacing w:val="6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3"/>
          <w:sz w:val="31"/>
          <w:szCs w:val="31"/>
        </w:rPr>
        <w:t>及</w:t>
      </w:r>
      <w:r>
        <w:rPr>
          <w:rFonts w:ascii="FangSong" w:eastAsia="FangSong" w:hAnsi="FangSong" w:cs="FangSong"/>
          <w:spacing w:val="-54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EPC</w:t>
      </w:r>
      <w:r>
        <w:rPr>
          <w:rFonts w:ascii="FangSong" w:eastAsia="FangSong" w:hAnsi="FangSong" w:cs="FangSong"/>
          <w:spacing w:val="-6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3"/>
          <w:sz w:val="31"/>
          <w:szCs w:val="31"/>
        </w:rPr>
        <w:t>项目层面业务管理流程梳理，根据</w:t>
      </w:r>
      <w:r>
        <w:rPr>
          <w:rFonts w:ascii="FangSong" w:eastAsia="FangSong" w:hAnsi="FangSong" w:cs="FangSong"/>
          <w:spacing w:val="-60"/>
          <w:sz w:val="31"/>
          <w:szCs w:val="31"/>
        </w:rPr>
        <w:t xml:space="preserve"> </w:t>
      </w:r>
      <w:r>
        <w:rPr>
          <w:rFonts w:ascii="FangSong" w:eastAsia="FangSong" w:hAnsi="FangSong" w:cs="FangSong"/>
          <w:sz w:val="31"/>
          <w:szCs w:val="31"/>
        </w:rPr>
        <w:t>EPC</w:t>
      </w:r>
      <w:r>
        <w:rPr>
          <w:rFonts w:ascii="FangSong" w:eastAsia="FangSong" w:hAnsi="FangSong" w:cs="FangSong"/>
          <w:spacing w:val="-48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3"/>
          <w:sz w:val="31"/>
          <w:szCs w:val="31"/>
        </w:rPr>
        <w:t>业务实施需求相应</w:t>
      </w:r>
      <w:r>
        <w:rPr>
          <w:rFonts w:ascii="FangSong" w:eastAsia="FangSong" w:hAnsi="FangSong" w:cs="FangSong"/>
          <w:sz w:val="31"/>
          <w:szCs w:val="31"/>
        </w:rPr>
        <w:t xml:space="preserve">  </w:t>
      </w:r>
      <w:r>
        <w:rPr>
          <w:rFonts w:ascii="FangSong" w:eastAsia="FangSong" w:hAnsi="FangSong" w:cs="FangSong"/>
          <w:spacing w:val="6"/>
          <w:sz w:val="31"/>
          <w:szCs w:val="31"/>
        </w:rPr>
        <w:t>完善了报批报建、设计管理、合约规划、概预算、</w:t>
      </w:r>
      <w:r>
        <w:rPr>
          <w:rFonts w:ascii="FangSong" w:eastAsia="FangSong" w:hAnsi="FangSong" w:cs="FangSong"/>
          <w:spacing w:val="5"/>
          <w:sz w:val="31"/>
          <w:szCs w:val="31"/>
        </w:rPr>
        <w:t>建筑工业化等</w:t>
      </w:r>
    </w:p>
    <w:p>
      <w:pPr>
        <w:spacing w:line="220" w:lineRule="auto"/>
        <w:ind w:left="11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1"/>
          <w:szCs w:val="31"/>
        </w:rPr>
        <w:t>管理体系，并明确了职责界面。</w:t>
      </w:r>
    </w:p>
    <w:p>
      <w:pPr>
        <w:spacing w:before="189" w:line="221" w:lineRule="auto"/>
        <w:ind w:left="675"/>
        <w:outlineLvl w:val="2"/>
        <w:rPr>
          <w:rFonts w:ascii="FangSong" w:eastAsia="FangSong" w:hAnsi="FangSong" w:cs="FangSong"/>
          <w:sz w:val="31"/>
          <w:szCs w:val="31"/>
        </w:rPr>
        <w:sectPr>
          <w:footerReference w:type="default" r:id="rId8"/>
          <w:pgSz w:w="11906" w:h="16839"/>
          <w:pgMar w:top="1431" w:right="1319" w:bottom="1230" w:left="1588" w:header="0" w:footer="1055" w:gutter="0"/>
          <w:pgNumType w:start="6"/>
          <w:cols w:space="708"/>
        </w:sectPr>
      </w:pPr>
      <w:r>
        <w:rPr>
          <w:rFonts w:ascii="FangSong" w:eastAsia="FangSong" w:hAnsi="FangSong" w:cs="FangSong"/>
          <w:spacing w:val="7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3.总承包管理意识不断提升</w:t>
      </w:r>
    </w:p>
    <w:p>
      <w:pPr>
        <w:spacing w:before="191" w:line="222" w:lineRule="auto"/>
        <w:ind w:left="67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4"/>
          <w:sz w:val="31"/>
          <w:szCs w:val="31"/>
        </w:rPr>
        <w:t>“十三五”期间，公司召开三届总承包管理论坛，参加局及</w:t>
      </w:r>
    </w:p>
    <w:p>
      <w:pPr>
        <w:spacing w:line="222" w:lineRule="auto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z w:val="31"/>
          <w:szCs w:val="31"/>
        </w:rPr>
        <w:br/>
      </w:r>
      <w:r>
        <w:rPr>
          <w:rFonts w:ascii="FangSong" w:eastAsia="FangSong" w:hAnsi="FangSong" w:cs="FangSong"/>
          <w:sz w:val="31"/>
          <w:szCs w:val="3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https://d.book118.com/958075134043006041</w:t>
        </w:r>
      </w:hyperlink>
    </w:p>
    <w:p>
      <w:pPr>
        <w:spacing w:line="222" w:lineRule="auto"/>
        <w:rPr>
          <w:rFonts w:ascii="FangSong" w:eastAsia="FangSong" w:hAnsi="FangSong" w:cs="FangSong"/>
          <w:sz w:val="31"/>
          <w:szCs w:val="31"/>
        </w:rPr>
      </w:pPr>
    </w:p>
    <w:sectPr>
      <w:footerReference w:type="default" r:id="rId10"/>
      <w:type w:val="nextPage"/>
      <w:pgSz w:w="11906" w:h="16839"/>
      <w:pgMar w:top="1431" w:right="1319" w:bottom="1230" w:left="1588" w:header="0" w:footer="1055" w:gutter="0"/>
      <w:pgNumType w:start="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73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-</w:t>
    </w:r>
    <w:r>
      <w:rPr>
        <w:rFonts w:ascii="FangSong" w:eastAsia="FangSong" w:hAnsi="FangSong" w:cs="FangSong"/>
        <w:spacing w:val="18"/>
        <w:sz w:val="18"/>
        <w:szCs w:val="18"/>
      </w:rPr>
      <w:t xml:space="preserve"> </w:t>
    </w:r>
    <w:r>
      <w:rPr>
        <w:rFonts w:ascii="FangSong" w:eastAsia="FangSong" w:hAnsi="FangSong" w:cs="FangSong"/>
        <w:spacing w:val="-8"/>
        <w:sz w:val="18"/>
        <w:szCs w:val="18"/>
      </w:rPr>
      <w:t>1</w:t>
    </w:r>
    <w:r>
      <w:rPr>
        <w:rFonts w:ascii="FangSong" w:eastAsia="FangSong" w:hAnsi="FangSong" w:cs="FangSong"/>
        <w:spacing w:val="5"/>
        <w:sz w:val="18"/>
        <w:szCs w:val="18"/>
      </w:rPr>
      <w:t xml:space="preserve"> </w:t>
    </w:r>
    <w:r>
      <w:rPr>
        <w:rFonts w:ascii="FangSong" w:eastAsia="FangSong" w:hAnsi="FangSong" w:cs="FangSong"/>
        <w:spacing w:val="-8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73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8"/>
        <w:sz w:val="18"/>
        <w:szCs w:val="18"/>
      </w:rPr>
      <w:t>-</w:t>
    </w:r>
    <w:r>
      <w:rPr>
        <w:rFonts w:ascii="FangSong" w:eastAsia="FangSong" w:hAnsi="FangSong" w:cs="FangSong"/>
        <w:spacing w:val="18"/>
        <w:sz w:val="18"/>
        <w:szCs w:val="18"/>
      </w:rPr>
      <w:t xml:space="preserve"> </w:t>
    </w:r>
    <w:r>
      <w:rPr>
        <w:rFonts w:ascii="FangSong" w:eastAsia="FangSong" w:hAnsi="FangSong" w:cs="FangSong"/>
        <w:spacing w:val="-8"/>
        <w:sz w:val="18"/>
        <w:szCs w:val="18"/>
      </w:rPr>
      <w:t>1</w:t>
    </w:r>
    <w:r>
      <w:rPr>
        <w:rFonts w:ascii="FangSong" w:eastAsia="FangSong" w:hAnsi="FangSong" w:cs="FangSong"/>
        <w:spacing w:val="5"/>
        <w:sz w:val="18"/>
        <w:szCs w:val="18"/>
      </w:rPr>
      <w:t xml:space="preserve"> </w:t>
    </w:r>
    <w:r>
      <w:rPr>
        <w:rFonts w:ascii="FangSong" w:eastAsia="FangSong" w:hAnsi="FangSong" w:cs="FangSong"/>
        <w:spacing w:val="-8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80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7"/>
        <w:sz w:val="18"/>
        <w:szCs w:val="18"/>
      </w:rPr>
      <w:t>-</w:t>
    </w:r>
    <w:r>
      <w:rPr>
        <w:rFonts w:ascii="FangSong" w:eastAsia="FangSong" w:hAnsi="FangSong" w:cs="FangSong"/>
        <w:spacing w:val="14"/>
        <w:sz w:val="18"/>
        <w:szCs w:val="18"/>
      </w:rPr>
      <w:t xml:space="preserve"> </w:t>
    </w:r>
    <w:r>
      <w:rPr>
        <w:rFonts w:ascii="FangSong" w:eastAsia="FangSong" w:hAnsi="FangSong" w:cs="FangSong"/>
        <w:spacing w:val="-7"/>
        <w:sz w:val="18"/>
        <w:szCs w:val="18"/>
      </w:rPr>
      <w:t>2</w:t>
    </w:r>
    <w:r>
      <w:rPr>
        <w:rFonts w:ascii="FangSong" w:eastAsia="FangSong" w:hAnsi="FangSong" w:cs="FangSong"/>
        <w:spacing w:val="6"/>
        <w:sz w:val="18"/>
        <w:szCs w:val="18"/>
      </w:rPr>
      <w:t xml:space="preserve"> </w:t>
    </w:r>
    <w:r>
      <w:rPr>
        <w:rFonts w:ascii="FangSong" w:eastAsia="FangSong" w:hAnsi="FangSong" w:cs="FangSong"/>
        <w:spacing w:val="-7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80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7"/>
        <w:sz w:val="18"/>
        <w:szCs w:val="18"/>
      </w:rPr>
      <w:t>-</w:t>
    </w:r>
    <w:r>
      <w:rPr>
        <w:rFonts w:ascii="FangSong" w:eastAsia="FangSong" w:hAnsi="FangSong" w:cs="FangSong"/>
        <w:spacing w:val="14"/>
        <w:sz w:val="18"/>
        <w:szCs w:val="18"/>
      </w:rPr>
      <w:t xml:space="preserve"> </w:t>
    </w:r>
    <w:r>
      <w:rPr>
        <w:rFonts w:ascii="FangSong" w:eastAsia="FangSong" w:hAnsi="FangSong" w:cs="FangSong"/>
        <w:spacing w:val="-7"/>
        <w:sz w:val="18"/>
        <w:szCs w:val="18"/>
      </w:rPr>
      <w:t>2</w:t>
    </w:r>
    <w:r>
      <w:rPr>
        <w:rFonts w:ascii="FangSong" w:eastAsia="FangSong" w:hAnsi="FangSong" w:cs="FangSong"/>
        <w:spacing w:val="6"/>
        <w:sz w:val="18"/>
        <w:szCs w:val="18"/>
      </w:rPr>
      <w:t xml:space="preserve"> </w:t>
    </w:r>
    <w:r>
      <w:rPr>
        <w:rFonts w:ascii="FangSong" w:eastAsia="FangSong" w:hAnsi="FangSong" w:cs="FangSong"/>
        <w:spacing w:val="-7"/>
        <w:sz w:val="18"/>
        <w:szCs w:val="1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hyperlink" Target="https://d.book118.com/95807513404300604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revision>0</cp:revision>
  <dcterms:created xsi:type="dcterms:W3CDTF">2023-02-01T23:17:32Z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2024-02-29T19:52:48Z</vt:filetime>
  </property>
  <property fmtid="{D5CDD505-2E9C-101B-9397-08002B2CF9AE}" pid="3" name="CRO">
    <vt:lpwstr>wqlLaW5nc29mdCBQREYgdG8gV1BTIDkw</vt:lpwstr>
  </property>
</Properties>
</file>