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hAnsi="宋体" w:hint="eastAsia"/>
          <w:bCs/>
          <w:spacing w:val="10"/>
          <w:sz w:val="28"/>
          <w:szCs w:val="28"/>
        </w:rPr>
      </w:pPr>
      <w:bookmarkStart w:id="0" w:name="_GoBack"/>
      <w:bookmarkEnd w:id="0"/>
      <w:r>
        <w:rPr>
          <w:rFonts w:ascii="宋体" w:hAnsi="宋体" w:hint="eastAsia"/>
          <w:bCs/>
          <w:spacing w:val="10"/>
          <w:sz w:val="28"/>
          <w:szCs w:val="28"/>
        </w:rPr>
        <w:t>1. 施工方案及主要技术措施</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1.1测量工程</w:t>
      </w:r>
      <w:r>
        <w:rPr>
          <w:b/>
          <w:color w:val="FFFFFF"/>
          <w:sz w:val="0"/>
        </w:rPr>
        <w:t>.</w:t>
      </w:r>
    </w:p>
    <w:p>
      <w:pPr>
        <w:pStyle w:val="BodyTextIndent3"/>
        <w:ind w:firstLine="675"/>
        <w:rPr>
          <w:spacing w:val="10"/>
          <w:sz w:val="28"/>
          <w:szCs w:val="28"/>
        </w:rPr>
      </w:pPr>
      <w:r>
        <w:rPr>
          <w:rFonts w:hint="eastAsia"/>
          <w:spacing w:val="10"/>
          <w:sz w:val="28"/>
          <w:szCs w:val="28"/>
        </w:rPr>
        <w:t>依据建设单位给定的坐标点，现场设立丁字形导线，建立四个永久型控制桩，作为各层放线和结构竖向控制的依据，按建筑物的总平面图进行新建建筑物放线。</w:t>
      </w:r>
      <w:r>
        <w:rPr>
          <w:b/>
          <w:color w:val="FFFFFF"/>
          <w:sz w:val="0"/>
        </w:rPr>
        <w:t>.</w:t>
      </w:r>
    </w:p>
    <w:p>
      <w:pPr>
        <w:rPr>
          <w:rFonts w:ascii="宋体" w:hAnsi="宋体" w:hint="eastAsia"/>
          <w:spacing w:val="10"/>
          <w:sz w:val="28"/>
          <w:szCs w:val="28"/>
        </w:rPr>
      </w:pPr>
      <w:r>
        <w:rPr>
          <w:rFonts w:ascii="宋体" w:hAnsi="宋体" w:hint="eastAsia"/>
          <w:spacing w:val="10"/>
          <w:sz w:val="28"/>
          <w:szCs w:val="28"/>
        </w:rPr>
        <w:t>1.1.1标高控制</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±0.00以下用水准仪和塔尺，根据给定的水准点标高，将水平线投测到基坑底以上500mm钉标高桩，最后将水准仪安置在基坑内，校核坑四周标高桩上的同一标高水平线，误差控制在规范允许范围以内。</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±0.00以上，用钢尺沿结构外墙、楼梯间等向上竖直测量，每一段至少要由三处向上引测。然后将水准仪安置在施工层上，校测由下面传递上来的各水平线，标高误差控制在规范允许范围以内。</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为确保施工水准点的准确和正常使用，应对水准点进行保护。</w:t>
      </w:r>
      <w:r>
        <w:rPr>
          <w:b/>
          <w:color w:val="FFFFFF"/>
          <w:sz w:val="0"/>
        </w:rPr>
        <w:t>.</w:t>
      </w:r>
    </w:p>
    <w:p>
      <w:pPr>
        <w:rPr>
          <w:rFonts w:ascii="宋体" w:hAnsi="宋体" w:hint="eastAsia"/>
          <w:spacing w:val="10"/>
          <w:sz w:val="28"/>
          <w:szCs w:val="28"/>
        </w:rPr>
      </w:pPr>
      <w:r>
        <w:rPr>
          <w:rFonts w:ascii="宋体" w:hAnsi="宋体" w:hint="eastAsia"/>
          <w:spacing w:val="10"/>
          <w:sz w:val="28"/>
          <w:szCs w:val="28"/>
        </w:rPr>
        <w:t>1.1.2轴线控制</w:t>
      </w:r>
      <w:r>
        <w:rPr>
          <w:b/>
          <w:color w:val="FFFFFF"/>
          <w:sz w:val="0"/>
        </w:rPr>
        <w:t>.</w:t>
      </w:r>
    </w:p>
    <w:p>
      <w:pPr>
        <w:ind w:firstLine="560" w:firstLineChars="200"/>
        <w:rPr>
          <w:rFonts w:ascii="宋体" w:hAnsi="宋体" w:hint="eastAsia"/>
          <w:spacing w:val="10"/>
          <w:sz w:val="28"/>
          <w:szCs w:val="28"/>
        </w:rPr>
        <w:sectPr>
          <w:headerReference w:type="default" r:id="rId4"/>
          <w:footerReference w:type="even" r:id="rId5"/>
          <w:footerReference w:type="default" r:id="rId6"/>
          <w:pgSz w:w="11906" w:h="16838"/>
          <w:pgMar w:top="1440" w:right="1418" w:bottom="1440" w:left="1814" w:header="851" w:footer="992" w:gutter="0"/>
          <w:cols w:num="1" w:space="425"/>
          <w:docGrid w:type="lines" w:linePitch="312" w:charSpace="0"/>
        </w:sectPr>
      </w:pPr>
      <w:r>
        <w:rPr>
          <w:rFonts w:ascii="宋体" w:hAnsi="宋体" w:hint="eastAsia"/>
          <w:spacing w:val="10"/>
          <w:sz w:val="28"/>
          <w:szCs w:val="28"/>
        </w:rPr>
        <w:t>±0.00以下施工时，由定位放线时设置的轴线控制桩向基坑内用经纬仪投测。当施工到±0.00以上以后，随着结构升高，要将首层轴线逐层向上传递，以此作为各层放线和结构竖向控制的依据，每次测量后，在该层楼面进行闭合校核无误后即可用经纬仪和钢尺进行排尺放线。</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1.1.3测量精度主要保证措施</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⑴经纬仪工作状态应满足竖盘竖直，水平盘水平，望远镜上下转动时，视准轴形成一面必须是一个竖直平面。</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⑵水准仪工作状态应满足水平管轴平行于视准轴。</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⑶控制轴线前、后视点计算时，注意数值及角度的取值，计算步骤均仔细。测角采用三测回，测角误差控制在±10"；测距采用测距仪往返测，取平均值。</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⑷操作各种仪器时，均须按规按步进行，不可操之过急，发生错误，测量值均应立表，并由专职技术人员计算、复核。</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⑸使用钢卷尺操作前进行钢尺鉴定误差、温度测定误差的修正，并消除定线误差、钢尺挂力不均匀误差、钢尺对准误差、读数误差等。</w:t>
      </w:r>
      <w:r>
        <w:rPr>
          <w:b/>
          <w:color w:val="FFFFFF"/>
          <w:sz w:val="0"/>
        </w:rPr>
        <w:t>.</w:t>
      </w:r>
    </w:p>
    <w:p>
      <w:pPr>
        <w:rPr>
          <w:rFonts w:ascii="宋体" w:hAnsi="宋体" w:hint="eastAsia"/>
          <w:spacing w:val="10"/>
          <w:sz w:val="28"/>
          <w:szCs w:val="28"/>
        </w:rPr>
      </w:pPr>
      <w:r>
        <w:rPr>
          <w:rFonts w:ascii="宋体" w:hAnsi="宋体" w:hint="eastAsia"/>
          <w:spacing w:val="10"/>
          <w:sz w:val="28"/>
          <w:szCs w:val="28"/>
        </w:rPr>
        <w:t>1.1.4测量仪器计划</w:t>
      </w:r>
      <w:r>
        <w:rPr>
          <w:b/>
          <w:color w:val="FFFFFF"/>
          <w:sz w:val="0"/>
        </w:rPr>
        <w:t>.</w:t>
      </w:r>
    </w:p>
    <w:tbl>
      <w:tblPr>
        <w:tblStyle w:val="TableGrid0"/>
        <w:tblW w:w="89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83"/>
        <w:gridCol w:w="2983"/>
        <w:gridCol w:w="2984"/>
      </w:tblGrid>
      <w:tr>
        <w:tblPrEx>
          <w:tblW w:w="89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58"/>
        </w:trPr>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名 称</w:t>
            </w:r>
          </w:p>
        </w:tc>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规格型号</w:t>
            </w:r>
          </w:p>
        </w:tc>
        <w:tc>
          <w:tcPr>
            <w:tcW w:w="2984" w:type="dxa"/>
            <w:noWrap w:val="0"/>
            <w:vAlign w:val="center"/>
          </w:tcPr>
          <w:p>
            <w:pPr>
              <w:jc w:val="center"/>
              <w:rPr>
                <w:rFonts w:ascii="宋体" w:hAnsi="宋体" w:hint="eastAsia"/>
                <w:spacing w:val="10"/>
                <w:sz w:val="28"/>
                <w:szCs w:val="28"/>
              </w:rPr>
            </w:pPr>
            <w:r>
              <w:rPr>
                <w:rFonts w:ascii="宋体" w:hAnsi="宋体" w:hint="eastAsia"/>
                <w:spacing w:val="10"/>
                <w:sz w:val="28"/>
                <w:szCs w:val="28"/>
              </w:rPr>
              <w:t>数 量</w:t>
            </w:r>
          </w:p>
        </w:tc>
      </w:tr>
      <w:tr>
        <w:tblPrEx>
          <w:tblW w:w="8950" w:type="dxa"/>
          <w:tblInd w:w="0" w:type="dxa"/>
          <w:tblCellMar>
            <w:top w:w="0" w:type="dxa"/>
            <w:left w:w="108" w:type="dxa"/>
            <w:bottom w:w="0" w:type="dxa"/>
            <w:right w:w="108" w:type="dxa"/>
          </w:tblCellMar>
        </w:tblPrEx>
        <w:trPr>
          <w:trHeight w:val="740"/>
        </w:trPr>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经纬仪</w:t>
            </w:r>
          </w:p>
        </w:tc>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J2级</w:t>
            </w:r>
          </w:p>
        </w:tc>
        <w:tc>
          <w:tcPr>
            <w:tcW w:w="2984" w:type="dxa"/>
            <w:noWrap w:val="0"/>
            <w:vAlign w:val="center"/>
          </w:tcPr>
          <w:p>
            <w:pPr>
              <w:jc w:val="center"/>
              <w:rPr>
                <w:rFonts w:ascii="宋体" w:hAnsi="宋体" w:hint="eastAsia"/>
                <w:spacing w:val="10"/>
                <w:sz w:val="28"/>
                <w:szCs w:val="28"/>
              </w:rPr>
            </w:pPr>
            <w:r>
              <w:rPr>
                <w:rFonts w:ascii="宋体" w:hAnsi="宋体" w:hint="eastAsia"/>
                <w:spacing w:val="10"/>
                <w:sz w:val="28"/>
                <w:szCs w:val="28"/>
              </w:rPr>
              <w:t>2台</w:t>
            </w:r>
          </w:p>
        </w:tc>
      </w:tr>
      <w:tr>
        <w:tblPrEx>
          <w:tblW w:w="8950" w:type="dxa"/>
          <w:tblInd w:w="0" w:type="dxa"/>
          <w:tblCellMar>
            <w:top w:w="0" w:type="dxa"/>
            <w:left w:w="108" w:type="dxa"/>
            <w:bottom w:w="0" w:type="dxa"/>
            <w:right w:w="108" w:type="dxa"/>
          </w:tblCellMar>
        </w:tblPrEx>
        <w:trPr>
          <w:trHeight w:val="758"/>
        </w:trPr>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水准仪</w:t>
            </w:r>
          </w:p>
        </w:tc>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S2</w:t>
            </w:r>
          </w:p>
        </w:tc>
        <w:tc>
          <w:tcPr>
            <w:tcW w:w="2984" w:type="dxa"/>
            <w:noWrap w:val="0"/>
            <w:vAlign w:val="center"/>
          </w:tcPr>
          <w:p>
            <w:pPr>
              <w:jc w:val="center"/>
              <w:rPr>
                <w:rFonts w:ascii="宋体" w:hAnsi="宋体" w:hint="eastAsia"/>
                <w:spacing w:val="10"/>
                <w:sz w:val="28"/>
                <w:szCs w:val="28"/>
              </w:rPr>
            </w:pPr>
            <w:r>
              <w:rPr>
                <w:rFonts w:ascii="宋体" w:hAnsi="宋体" w:hint="eastAsia"/>
                <w:spacing w:val="10"/>
                <w:sz w:val="28"/>
                <w:szCs w:val="28"/>
              </w:rPr>
              <w:t>2台</w:t>
            </w:r>
          </w:p>
        </w:tc>
      </w:tr>
      <w:tr>
        <w:tblPrEx>
          <w:tblW w:w="8950" w:type="dxa"/>
          <w:tblInd w:w="0" w:type="dxa"/>
          <w:tblCellMar>
            <w:top w:w="0" w:type="dxa"/>
            <w:left w:w="108" w:type="dxa"/>
            <w:bottom w:w="0" w:type="dxa"/>
            <w:right w:w="108" w:type="dxa"/>
          </w:tblCellMar>
        </w:tblPrEx>
        <w:trPr>
          <w:trHeight w:val="758"/>
        </w:trPr>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钢卷尺</w:t>
            </w:r>
          </w:p>
        </w:tc>
        <w:tc>
          <w:tcPr>
            <w:tcW w:w="2983" w:type="dxa"/>
            <w:noWrap w:val="0"/>
            <w:vAlign w:val="center"/>
          </w:tcPr>
          <w:p>
            <w:pPr>
              <w:jc w:val="center"/>
              <w:rPr>
                <w:rFonts w:ascii="宋体" w:hAnsi="宋体" w:hint="eastAsia"/>
                <w:spacing w:val="10"/>
                <w:sz w:val="28"/>
                <w:szCs w:val="28"/>
              </w:rPr>
            </w:pPr>
            <w:r>
              <w:rPr>
                <w:rFonts w:ascii="宋体" w:hAnsi="宋体" w:hint="eastAsia"/>
                <w:spacing w:val="10"/>
                <w:sz w:val="28"/>
                <w:szCs w:val="28"/>
              </w:rPr>
              <w:t>50m</w:t>
            </w:r>
          </w:p>
        </w:tc>
        <w:tc>
          <w:tcPr>
            <w:tcW w:w="2984" w:type="dxa"/>
            <w:noWrap w:val="0"/>
            <w:vAlign w:val="center"/>
          </w:tcPr>
          <w:p>
            <w:pPr>
              <w:jc w:val="center"/>
              <w:rPr>
                <w:rFonts w:ascii="宋体" w:hAnsi="宋体" w:hint="eastAsia"/>
                <w:spacing w:val="10"/>
                <w:sz w:val="28"/>
                <w:szCs w:val="28"/>
              </w:rPr>
            </w:pPr>
            <w:r>
              <w:rPr>
                <w:rFonts w:ascii="宋体" w:hAnsi="宋体" w:hint="eastAsia"/>
                <w:spacing w:val="10"/>
                <w:sz w:val="28"/>
                <w:szCs w:val="28"/>
              </w:rPr>
              <w:t>2把</w:t>
            </w:r>
          </w:p>
        </w:tc>
      </w:tr>
    </w:tbl>
    <w:p>
      <w:pPr>
        <w:rPr>
          <w:rFonts w:ascii="宋体" w:hAnsi="宋体" w:hint="eastAsia"/>
          <w:bCs/>
          <w:spacing w:val="10"/>
          <w:sz w:val="28"/>
          <w:szCs w:val="28"/>
        </w:rPr>
      </w:pPr>
      <w:r>
        <w:rPr>
          <w:rFonts w:ascii="宋体" w:hAnsi="宋体" w:hint="eastAsia"/>
          <w:bCs/>
          <w:spacing w:val="10"/>
          <w:sz w:val="28"/>
          <w:szCs w:val="28"/>
        </w:rPr>
        <w:t>1.2土方工程</w:t>
      </w:r>
      <w:r>
        <w:rPr>
          <w:b/>
          <w:color w:val="FFFFFF"/>
          <w:sz w:val="0"/>
        </w:rPr>
        <w:t>.</w:t>
      </w:r>
    </w:p>
    <w:p>
      <w:pPr>
        <w:ind w:firstLine="560" w:firstLineChars="200"/>
        <w:rPr>
          <w:rFonts w:ascii="宋体" w:hAnsi="宋体" w:hint="eastAsia"/>
          <w:spacing w:val="10"/>
          <w:sz w:val="28"/>
          <w:szCs w:val="28"/>
        </w:rPr>
        <w:sectPr>
          <w:headerReference w:type="default" r:id="rId7"/>
          <w:footerReference w:type="even" r:id="rId8"/>
          <w:footerReference w:type="default" r:id="rId9"/>
          <w:type w:val="nextPage"/>
          <w:pgSz w:w="11906" w:h="16838"/>
          <w:pgMar w:top="1440" w:right="1418" w:bottom="1440" w:left="1814" w:header="851" w:footer="992" w:gutter="0"/>
          <w:pgNumType w:start="2"/>
          <w:cols w:num="1" w:space="425"/>
          <w:titlePg w:val="0"/>
          <w:docGrid w:type="lines" w:linePitch="312" w:charSpace="0"/>
        </w:sectPr>
      </w:pPr>
    </w:p>
    <w:p>
      <w:pPr>
        <w:ind w:firstLine="560" w:firstLineChars="200"/>
        <w:rPr>
          <w:rFonts w:ascii="宋体" w:hAnsi="宋体" w:hint="eastAsia"/>
          <w:spacing w:val="10"/>
          <w:sz w:val="28"/>
          <w:szCs w:val="28"/>
        </w:rPr>
      </w:pPr>
      <w:r>
        <w:rPr>
          <w:rFonts w:ascii="宋体" w:hAnsi="宋体" w:hint="eastAsia"/>
          <w:spacing w:val="10"/>
          <w:sz w:val="28"/>
          <w:szCs w:val="28"/>
        </w:rPr>
        <w:t>土方采用机械开挖，挖土顺序由东向西，槽底留300厚余土由人工配合清除。土方开挖后全部外运，回填土二次进场。根据现场要求，基坑开挖过程中注意做好护坡工作，并进行监测，如发现异常情况立即停止施工，由建设、设计、监理、施工单位共同确定解决方案，采取措施处理完毕后再进行施工。</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当基坑挖好后，应组织设计单位、建设单位、监督单位进行验槽，并做好隐蔽工程验收。在土方施工中，及时了解天气情况，防止不利因素影响土方施工的质量。</w:t>
      </w:r>
      <w:r>
        <w:rPr>
          <w:b/>
          <w:color w:val="FFFFFF"/>
          <w:sz w:val="0"/>
        </w:rPr>
        <w:t>.</w:t>
      </w:r>
    </w:p>
    <w:p>
      <w:pPr>
        <w:ind w:firstLine="560" w:firstLineChars="200"/>
        <w:rPr>
          <w:rFonts w:ascii="宋体" w:hAnsi="宋体" w:hint="eastAsia"/>
          <w:b/>
          <w:bCs/>
          <w:spacing w:val="10"/>
          <w:sz w:val="28"/>
          <w:szCs w:val="28"/>
        </w:rPr>
      </w:pPr>
      <w:r>
        <w:rPr>
          <w:rFonts w:ascii="宋体" w:hAnsi="宋体" w:hint="eastAsia"/>
          <w:spacing w:val="10"/>
          <w:sz w:val="28"/>
          <w:szCs w:val="28"/>
        </w:rPr>
        <w:t>土方回填采用蛙式打夯机分层夯实。严格控制土料含水率，每层虚铺厚度不得超过250mm，并固定专门人员按试验规程分层取样，进行回填质量的控制。</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1.3砌筑工程</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粘土砖必须在砌筑前一天浇水湿润，一般以水浸入砖四边1.5㎝为宜，含水率为10﹪～15﹪，常温施工不得用干砖上墙；雨季不得使用含水率达到饱和状态的砖砌墙。砂浆配合比应采用重量比，根据天气情况及时调整配合比，计算精度水泥为±2﹪，砂、灰膏控制在±5﹪以内。搅拌时间不小于1.5分钟，确保和易性。</w:t>
      </w:r>
      <w:r>
        <w:rPr>
          <w:b/>
          <w:color w:val="FFFFFF"/>
          <w:sz w:val="0"/>
        </w:rPr>
        <w:t>.</w:t>
      </w:r>
    </w:p>
    <w:p>
      <w:pPr>
        <w:ind w:firstLine="560" w:firstLineChars="200"/>
        <w:rPr>
          <w:rFonts w:ascii="宋体" w:hAnsi="宋体" w:hint="eastAsia"/>
          <w:spacing w:val="10"/>
          <w:sz w:val="28"/>
          <w:szCs w:val="28"/>
        </w:rPr>
        <w:sectPr>
          <w:headerReference w:type="default" r:id="rId10"/>
          <w:footerReference w:type="even" r:id="rId11"/>
          <w:footerReference w:type="default" r:id="rId12"/>
          <w:type w:val="nextPage"/>
          <w:pgSz w:w="11906" w:h="16838"/>
          <w:pgMar w:top="1440" w:right="1418" w:bottom="1440" w:left="1814" w:header="851" w:footer="992" w:gutter="0"/>
          <w:pgNumType w:start="3"/>
          <w:cols w:num="1" w:space="425"/>
          <w:titlePg w:val="0"/>
          <w:docGrid w:type="lines" w:linePitch="312" w:charSpace="0"/>
        </w:sectPr>
      </w:pPr>
      <w:r>
        <w:rPr>
          <w:rFonts w:ascii="宋体" w:hAnsi="宋体" w:hint="eastAsia"/>
          <w:spacing w:val="10"/>
          <w:sz w:val="28"/>
          <w:szCs w:val="28"/>
        </w:rPr>
        <w:t>一般外墙第一层砖撂底时，两山墙排丁砖，前后沿纵墙排条砖。根据弹好的门窗洞口位置线，认真核对窗间墙、垛尺寸，其长度是否符合排砖模数，如不符合模数时，可将门窗口的位置左右移动。若有破活，七分头或丁砖应排在窗口中间，附墙垛或其它不明显的部位。移动门窗口位置时，应注意暖卫立管安装及门窗开启时不受影响。另外，在排砖时还要考虑在门窗口上边的砖墙合拢时也不出现破活。所以排砖时必须做全盘考虑，前后檐墙排第一皮砖时，要考虑甩窗口后砌条砖，窗角上必须是七分头才是好活。</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墙体砌筑采用双面挂线、满丁满跑砌法。在墙体拐角处和纵横墙交界处设置皮数竿，拉线控制水平灰缝，不得超皮数杆灰缝高度，竖向禁止出现通缝及游丁走缝。砌体横竖通缝饱满，砂浆饱满度必须达到80﹪以上，舌头灰及时清除，墙面及时清扫，保持墙面清洁。砖砌体的转角处和交界处应同时砌筑，对不能同时砌筑又必须留置的临时间断处，应砌成斜槎，斜槎长度不应小于墙体高度的2/3。</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砖墙与构造柱交界处，留五进五出直槎，柱底留清扫口，进出标准整齐，砌砖时每边大出1-1.5㎝，以保证柱断面尺寸。墙砌至梁底最上一皮要砌条砖，以便梁模板紧贴墙面，减少跑浆现象。砖墙与构造柱交界处，墙体拉接钢筋按要求设置。门洞口处要预埋木砖或预制块，按洞口高度2m以内每边三块，洞口高度大于2m每边四块，洞口上做砼过梁。</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木砖预埋时应小头在外，大头在内，数量按洞口高度决定。洞口高在1.2m以内，每边放2块；高1.2～2m，每边放3块；高2～3m，每边放4块，预埋木砖的部位一般在洞口上边或下边四皮砖，中间均匀分布。木砖要提前做好防腐处理。钢门窗安装的预留孔、暖卫管道等，均应按设计要求预留，不得事后剔凿。墙体拉结筋的位置、规格、数量、间距均应按设计要求留置，不应错放、漏放。</w:t>
      </w:r>
      <w:r>
        <w:rPr>
          <w:b/>
          <w:color w:val="FFFFFF"/>
          <w:sz w:val="0"/>
        </w:rPr>
        <w:t>.</w:t>
      </w:r>
    </w:p>
    <w:p>
      <w:pPr>
        <w:ind w:firstLine="560" w:firstLineChars="200"/>
        <w:rPr>
          <w:rFonts w:ascii="宋体" w:hAnsi="宋体" w:hint="eastAsia"/>
          <w:spacing w:val="10"/>
          <w:sz w:val="28"/>
          <w:szCs w:val="28"/>
        </w:rPr>
        <w:sectPr>
          <w:headerReference w:type="default" r:id="rId13"/>
          <w:footerReference w:type="even" r:id="rId14"/>
          <w:footerReference w:type="default" r:id="rId15"/>
          <w:type w:val="nextPage"/>
          <w:pgSz w:w="11906" w:h="16838"/>
          <w:pgMar w:top="1440" w:right="1418" w:bottom="1440" w:left="1814" w:header="851" w:footer="992" w:gutter="0"/>
          <w:pgNumType w:start="4"/>
          <w:cols w:num="1" w:space="425"/>
          <w:titlePg w:val="0"/>
          <w:docGrid w:type="lines" w:linePitch="312" w:charSpace="0"/>
        </w:sectPr>
      </w:pPr>
      <w:r>
        <w:rPr>
          <w:rFonts w:ascii="宋体" w:hAnsi="宋体" w:hint="eastAsia"/>
          <w:spacing w:val="10"/>
          <w:sz w:val="28"/>
          <w:szCs w:val="28"/>
        </w:rPr>
        <w:t>安装过梁、梁垫时，其标高位置及型号必须准确，坐灰饱满。如坐灰厚度超过2㎝时，要用细石混凝土铺垫，过梁安装时，两段支撑点的长度应一致。</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凡设有构造柱的工程，在砌砖前，先根据设计图纸将构造柱位置进行弹线，并把构造柱插筋处理顺直。砌砖墙时，与构造柱连接处砌成马牙槎。每一个马牙槎沿高度方向的尺寸不宜超过30㎝（即五皮砖）。马牙槎应先退后进。拉结筋按设计要求放置，设计无要求时，一般沿墙高50㎝设置2根φ6水平拉结筋，与构造柱钢筋绑扎连接，每边深入墙内不应小于1m。</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1.4钢筋工程</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钢筋进场必须有合格证，品种、规格应符合设计要求和国家标准，并根据施工规范和国家标准抽样试验，合格后方可使用。钢筋的抗拉强度实测值与屈服强度实测值的比值不应小于1.25，且钢筋的屈服强度实测值与强度标准值的比值不应大于1.3。</w:t>
      </w:r>
      <w:r>
        <w:rPr>
          <w:b/>
          <w:color w:val="FFFFFF"/>
          <w:sz w:val="0"/>
        </w:rPr>
        <w:t>.</w:t>
      </w:r>
    </w:p>
    <w:p>
      <w:pPr>
        <w:ind w:firstLine="560" w:firstLineChars="200"/>
        <w:rPr>
          <w:rFonts w:ascii="宋体" w:hAnsi="宋体" w:hint="eastAsia"/>
          <w:spacing w:val="10"/>
          <w:sz w:val="28"/>
          <w:szCs w:val="28"/>
          <w:shd w:val="pct10" w:color="auto" w:fill="FFFFFF"/>
        </w:rPr>
      </w:pPr>
      <w:r>
        <w:rPr>
          <w:rFonts w:ascii="宋体" w:hAnsi="宋体" w:hint="eastAsia"/>
          <w:spacing w:val="10"/>
          <w:sz w:val="28"/>
          <w:szCs w:val="28"/>
        </w:rPr>
        <w:t>钢筋工程采用现场加工成型，现场绑扎施工的方法进行，钢筋下料加工应严格按图纸进行配料，钢筋绑扎前应熟悉图纸，核对钢筋的配料表和料牌，核对钢筋直径、形状、尺寸和数量，如有错漏，应及时纠正。</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水平钢筋接头采用搭接，竖筋φ22以上采用电渣压力焊连接，其余采用搭接。</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圈梁钢筋：在圈梁侧模板上画出箍筋间距，摆放箍筋，箍筋的弯钩叠合处应交错布置在梁顶两角的钢筋上。先穿下部纵向受力钢筋，将箍筋按已画好的间距逐个分开，隔一定间距将架立筋与箍筋绑扎牢固；调整好箍筋间距后，同时进行圈梁筋的绑扎。</w:t>
      </w:r>
      <w:r>
        <w:rPr>
          <w:b/>
          <w:color w:val="FFFFFF"/>
          <w:sz w:val="0"/>
        </w:rPr>
        <w:t>.</w:t>
      </w:r>
    </w:p>
    <w:p>
      <w:pPr>
        <w:ind w:firstLine="560" w:firstLineChars="200"/>
        <w:rPr>
          <w:rFonts w:ascii="宋体" w:hAnsi="宋体" w:hint="eastAsia"/>
          <w:spacing w:val="10"/>
          <w:sz w:val="28"/>
          <w:szCs w:val="28"/>
        </w:rPr>
        <w:sectPr>
          <w:headerReference w:type="default" r:id="rId16"/>
          <w:footerReference w:type="even" r:id="rId17"/>
          <w:footerReference w:type="default" r:id="rId18"/>
          <w:type w:val="nextPage"/>
          <w:pgSz w:w="11906" w:h="16838"/>
          <w:pgMar w:top="1440" w:right="1418" w:bottom="1440" w:left="1814" w:header="851" w:footer="992" w:gutter="0"/>
          <w:pgNumType w:start="5"/>
          <w:cols w:num="1" w:space="425"/>
          <w:titlePg w:val="0"/>
          <w:docGrid w:type="lines" w:linePitch="312" w:charSpace="0"/>
        </w:sectPr>
      </w:pPr>
    </w:p>
    <w:p>
      <w:pPr>
        <w:ind w:firstLine="560" w:firstLineChars="200"/>
        <w:rPr>
          <w:rFonts w:ascii="宋体" w:hAnsi="宋体" w:hint="eastAsia"/>
          <w:spacing w:val="10"/>
          <w:sz w:val="28"/>
          <w:szCs w:val="28"/>
        </w:rPr>
      </w:pPr>
      <w:r>
        <w:rPr>
          <w:rFonts w:ascii="宋体" w:hAnsi="宋体" w:hint="eastAsia"/>
          <w:spacing w:val="10"/>
          <w:sz w:val="28"/>
          <w:szCs w:val="28"/>
        </w:rPr>
        <w:t>顶板钢筋：应从一端开始依次顺序绑扎，在模板上用粉笔画好钢筋间距，然后先摆放受力主筋后放分布筋，当图纸上无明确标示时短向受力筋放在下边，绑好后放预埋件、电线管等，之后绑扎上部负弯矩筋，负弯矩短筋绑扎时，保证伸出位置一致，绑好后在两层钢筋之间须加Ω型钢筋马凳，以确保上下层钢筋之间距离，保证受力钢筋位置准确，顶板钢筋必须全扣绑扎，不得漏扣，单向受力楼板的钢筋，除四周两行钢筋的相交点必须每点扎牢外，中间部位可相隔扎牢，但应保证受力钢筋不产生位移，绑扎时应注意相邻两扎点的铁丝扣要成“八”字形。</w:t>
      </w:r>
      <w:r>
        <w:rPr>
          <w:b/>
          <w:color w:val="FFFFFF"/>
          <w:sz w:val="0"/>
        </w:rPr>
        <w:t>.</w:t>
      </w:r>
    </w:p>
    <w:p>
      <w:pPr>
        <w:ind w:firstLine="560" w:firstLineChars="200"/>
        <w:rPr>
          <w:rFonts w:ascii="宋体" w:hAnsi="宋体"/>
          <w:spacing w:val="10"/>
          <w:sz w:val="28"/>
          <w:szCs w:val="28"/>
        </w:rPr>
      </w:pPr>
      <w:r>
        <w:rPr>
          <w:rFonts w:ascii="宋体" w:hAnsi="宋体" w:hint="eastAsia"/>
          <w:spacing w:val="10"/>
          <w:sz w:val="28"/>
          <w:szCs w:val="28"/>
        </w:rPr>
        <w:t>构造柱钢筋的绑扎：先将两根竖向受力钢筋平放在绑扎架上，并在钢筋上划出箍筋间距。根据画线位置，将箍筋套在受力筋上逐个绑扎，要预留出搭接部位的长度。为防止骨架变形，已采用反十字扣或套扣绑扎。箍筋应与受力钢筋保持垂直；箍筋弯钩叠合处，应沿受力钢筋方向错开放置。穿另外两个受力钢筋，并于箍筋绑扎牢固，箍筋端头平直长度不小于10d（d为箍筋直径），弯钩角度不小于135°。在柱顶、柱脚与圈梁钢筋交接的部位，应按设计要求加密柱的箍筋，加密范围一般在圈梁上、下均不小于六分之一层高或45cm</w:t>
      </w:r>
      <w:r>
        <w:rPr>
          <w:rFonts w:ascii="宋体" w:hAnsi="宋体"/>
          <w:spacing w:val="10"/>
          <w:sz w:val="28"/>
          <w:szCs w:val="28"/>
        </w:rPr>
        <w:t>,</w:t>
      </w:r>
      <w:r>
        <w:rPr>
          <w:rFonts w:ascii="宋体" w:hAnsi="宋体" w:hint="eastAsia"/>
          <w:spacing w:val="10"/>
          <w:sz w:val="28"/>
          <w:szCs w:val="28"/>
        </w:rPr>
        <w:t>箍筋间距不宜大于</w:t>
      </w:r>
      <w:r>
        <w:rPr>
          <w:rFonts w:ascii="宋体" w:hAnsi="宋体"/>
          <w:spacing w:val="10"/>
          <w:sz w:val="28"/>
          <w:szCs w:val="28"/>
        </w:rPr>
        <w:t>10</w:t>
      </w:r>
      <w:r>
        <w:rPr>
          <w:rFonts w:ascii="宋体" w:hAnsi="宋体" w:hint="eastAsia"/>
          <w:spacing w:val="10"/>
          <w:sz w:val="28"/>
          <w:szCs w:val="28"/>
        </w:rPr>
        <w:t>cm（柱脚加密区箍筋待柱骨架立起搭接后再绑扎）。在构造柱钢筋骨架安装时，先在搭接处钢筋上套箍筋，然后再将预制构造柱钢筋骨架立起来，对正伸出的搭接筋，搭接倍数不低于35d,对好标高线，在竖筋搭接部位个绑3个扣。骨架调整后，可以绑根部加密区钢筋。</w:t>
      </w:r>
      <w:r>
        <w:rPr>
          <w:b/>
          <w:color w:val="FFFFFF"/>
          <w:sz w:val="0"/>
        </w:rPr>
        <w:t>.</w:t>
      </w:r>
    </w:p>
    <w:p>
      <w:pPr>
        <w:ind w:firstLine="560" w:firstLineChars="200"/>
        <w:rPr>
          <w:rFonts w:ascii="宋体" w:hAnsi="宋体" w:hint="eastAsia"/>
          <w:spacing w:val="10"/>
          <w:sz w:val="28"/>
          <w:szCs w:val="28"/>
        </w:rPr>
        <w:sectPr>
          <w:headerReference w:type="default" r:id="rId19"/>
          <w:footerReference w:type="even" r:id="rId20"/>
          <w:footerReference w:type="default" r:id="rId21"/>
          <w:type w:val="nextPage"/>
          <w:pgSz w:w="11906" w:h="16838"/>
          <w:pgMar w:top="1440" w:right="1418" w:bottom="1440" w:left="1814" w:header="851" w:footer="992" w:gutter="0"/>
          <w:pgNumType w:start="6"/>
          <w:cols w:num="1" w:space="425"/>
          <w:titlePg w:val="0"/>
          <w:docGrid w:type="lines" w:linePitch="312" w:charSpace="0"/>
        </w:sectPr>
      </w:pPr>
    </w:p>
    <w:p>
      <w:pPr>
        <w:ind w:firstLine="560" w:firstLineChars="200"/>
        <w:rPr>
          <w:rFonts w:ascii="宋体" w:hAnsi="宋体" w:hint="eastAsia"/>
          <w:spacing w:val="10"/>
          <w:sz w:val="28"/>
          <w:szCs w:val="28"/>
        </w:rPr>
      </w:pPr>
      <w:r>
        <w:rPr>
          <w:rFonts w:ascii="宋体" w:hAnsi="宋体" w:hint="eastAsia"/>
          <w:spacing w:val="10"/>
          <w:sz w:val="28"/>
          <w:szCs w:val="28"/>
        </w:rPr>
        <w:t>圈梁、构造柱箍筋要与主筋垂直，箍筋的弯钩叠合处应交错布置在四角的钢筋上，箍筋转角与纵向钢筋的交叉点均应扎牢，以防止骨架歪斜。箍筋叠合处均做135°弯钩，弯钩长度不小于10d，为了施工方便，箍筋制作时可将一个弯钩做成135°，另一个弯钩做成90°，待钢筋穿好后,再将其弯成135°。</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钢筋接头操作人员要进行定期培训，并持证上岗。施工前应对接头处进行仔细检查，保证接头平整、无锈蚀、无污染、无缺陷。</w:t>
      </w:r>
      <w:r>
        <w:rPr>
          <w:b/>
          <w:color w:val="FFFFFF"/>
          <w:sz w:val="0"/>
        </w:rPr>
        <w:t>.</w:t>
      </w:r>
    </w:p>
    <w:p>
      <w:pPr>
        <w:jc w:val="center"/>
        <w:rPr>
          <w:rFonts w:ascii="宋体" w:hAnsi="宋体" w:hint="eastAsia"/>
          <w:bCs/>
          <w:spacing w:val="10"/>
          <w:sz w:val="28"/>
          <w:szCs w:val="28"/>
        </w:rPr>
      </w:pPr>
      <w:r>
        <w:rPr>
          <w:rFonts w:ascii="宋体" w:hAnsi="宋体" w:hint="eastAsia"/>
          <w:bCs/>
          <w:spacing w:val="10"/>
          <w:sz w:val="28"/>
          <w:szCs w:val="28"/>
        </w:rPr>
        <w:t>构造柱、圈梁钢筋绑扎允许偏差</w:t>
      </w:r>
      <w:r>
        <w:rPr>
          <w:b/>
          <w:color w:val="FFFFFF"/>
          <w:sz w:val="0"/>
        </w:rPr>
        <w:t>.</w:t>
      </w:r>
    </w:p>
    <w:tbl>
      <w:tblPr>
        <w:tblStyle w:val="TableNormal"/>
        <w:tblW w:w="86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1"/>
        <w:gridCol w:w="1511"/>
        <w:gridCol w:w="90"/>
        <w:gridCol w:w="1778"/>
        <w:gridCol w:w="2196"/>
        <w:gridCol w:w="2196"/>
      </w:tblGrid>
      <w:tr>
        <w:tblPrEx>
          <w:tblW w:w="86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94"/>
        </w:trPr>
        <w:tc>
          <w:tcPr>
            <w:tcW w:w="901" w:type="dxa"/>
            <w:noWrap w:val="0"/>
            <w:vAlign w:val="center"/>
          </w:tcPr>
          <w:p>
            <w:pPr>
              <w:jc w:val="center"/>
              <w:rPr>
                <w:rFonts w:ascii="宋体" w:hAnsi="宋体" w:hint="eastAsia"/>
                <w:spacing w:val="10"/>
                <w:sz w:val="28"/>
                <w:szCs w:val="28"/>
              </w:rPr>
            </w:pPr>
            <w:r>
              <w:rPr>
                <w:rFonts w:ascii="宋体" w:hAnsi="宋体" w:hint="eastAsia"/>
                <w:spacing w:val="10"/>
                <w:sz w:val="28"/>
                <w:szCs w:val="28"/>
              </w:rPr>
              <w:t>项次</w:t>
            </w:r>
          </w:p>
        </w:tc>
        <w:tc>
          <w:tcPr>
            <w:tcW w:w="3379" w:type="dxa"/>
            <w:gridSpan w:val="3"/>
            <w:noWrap w:val="0"/>
            <w:vAlign w:val="center"/>
          </w:tcPr>
          <w:p>
            <w:pPr>
              <w:jc w:val="center"/>
              <w:rPr>
                <w:rFonts w:ascii="宋体" w:hAnsi="宋体"/>
                <w:spacing w:val="10"/>
                <w:sz w:val="28"/>
                <w:szCs w:val="28"/>
              </w:rPr>
            </w:pPr>
            <w:r>
              <w:rPr>
                <w:rFonts w:ascii="宋体" w:hAnsi="宋体" w:hint="eastAsia"/>
                <w:spacing w:val="10"/>
                <w:sz w:val="28"/>
                <w:szCs w:val="28"/>
              </w:rPr>
              <w:t>项  目</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允许偏差(</w:t>
            </w:r>
            <w:r>
              <w:rPr>
                <w:rFonts w:ascii="宋体" w:hAnsi="宋体"/>
                <w:spacing w:val="10"/>
                <w:sz w:val="28"/>
                <w:szCs w:val="28"/>
              </w:rPr>
              <w:t>mm</w:t>
            </w:r>
            <w:r>
              <w:rPr>
                <w:rFonts w:ascii="宋体" w:hAnsi="宋体" w:hint="eastAsia"/>
                <w:spacing w:val="10"/>
                <w:sz w:val="28"/>
                <w:szCs w:val="28"/>
              </w:rPr>
              <w:t>)</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检验方法</w:t>
            </w:r>
          </w:p>
        </w:tc>
      </w:tr>
      <w:tr>
        <w:tblPrEx>
          <w:tblW w:w="8672" w:type="dxa"/>
          <w:tblInd w:w="108" w:type="dxa"/>
          <w:tblCellMar>
            <w:top w:w="0" w:type="dxa"/>
            <w:left w:w="108" w:type="dxa"/>
            <w:bottom w:w="0" w:type="dxa"/>
            <w:right w:w="108" w:type="dxa"/>
          </w:tblCellMar>
        </w:tblPrEx>
        <w:trPr>
          <w:cantSplit/>
          <w:trHeight w:val="683"/>
        </w:trPr>
        <w:tc>
          <w:tcPr>
            <w:tcW w:w="901" w:type="dxa"/>
            <w:tcBorders>
              <w:bottom w:val="single" w:sz="4" w:space="0" w:color="auto"/>
            </w:tcBorders>
            <w:noWrap w:val="0"/>
            <w:vAlign w:val="center"/>
          </w:tcPr>
          <w:p>
            <w:pPr>
              <w:jc w:val="center"/>
              <w:rPr>
                <w:rFonts w:ascii="宋体" w:hAnsi="宋体"/>
                <w:spacing w:val="10"/>
                <w:sz w:val="28"/>
                <w:szCs w:val="28"/>
              </w:rPr>
            </w:pPr>
            <w:r>
              <w:rPr>
                <w:rFonts w:ascii="宋体" w:hAnsi="宋体" w:hint="eastAsia"/>
                <w:spacing w:val="10"/>
                <w:sz w:val="28"/>
                <w:szCs w:val="28"/>
              </w:rPr>
              <w:t>1</w:t>
            </w:r>
          </w:p>
        </w:tc>
        <w:tc>
          <w:tcPr>
            <w:tcW w:w="3379" w:type="dxa"/>
            <w:gridSpan w:val="3"/>
            <w:tcBorders>
              <w:bottom w:val="single" w:sz="4" w:space="0" w:color="auto"/>
            </w:tcBorders>
            <w:noWrap w:val="0"/>
            <w:vAlign w:val="center"/>
          </w:tcPr>
          <w:p>
            <w:pPr>
              <w:jc w:val="center"/>
              <w:rPr>
                <w:rFonts w:ascii="宋体" w:hAnsi="宋体" w:hint="eastAsia"/>
                <w:spacing w:val="10"/>
                <w:sz w:val="28"/>
                <w:szCs w:val="28"/>
              </w:rPr>
            </w:pPr>
            <w:r>
              <w:rPr>
                <w:rFonts w:ascii="宋体" w:hAnsi="宋体" w:hint="eastAsia"/>
                <w:spacing w:val="10"/>
                <w:sz w:val="28"/>
                <w:szCs w:val="28"/>
              </w:rPr>
              <w:t>骨架的宽度、高度</w:t>
            </w:r>
          </w:p>
        </w:tc>
        <w:tc>
          <w:tcPr>
            <w:tcW w:w="2196" w:type="dxa"/>
            <w:tcBorders>
              <w:bottom w:val="single" w:sz="4" w:space="0" w:color="auto"/>
            </w:tcBorders>
            <w:noWrap w:val="0"/>
            <w:vAlign w:val="center"/>
          </w:tcPr>
          <w:p>
            <w:pPr>
              <w:jc w:val="center"/>
              <w:rPr>
                <w:rFonts w:ascii="宋体" w:hAnsi="宋体"/>
                <w:spacing w:val="10"/>
                <w:sz w:val="28"/>
                <w:szCs w:val="28"/>
              </w:rPr>
            </w:pPr>
            <w:r>
              <w:rPr>
                <w:rFonts w:ascii="宋体" w:hAnsi="宋体" w:hint="eastAsia"/>
                <w:spacing w:val="10"/>
                <w:sz w:val="28"/>
                <w:szCs w:val="28"/>
              </w:rPr>
              <w:t>±5</w:t>
            </w:r>
          </w:p>
        </w:tc>
        <w:tc>
          <w:tcPr>
            <w:tcW w:w="2196" w:type="dxa"/>
            <w:tcBorders>
              <w:bottom w:val="single" w:sz="4" w:space="0" w:color="auto"/>
            </w:tcBorders>
            <w:noWrap w:val="0"/>
            <w:vAlign w:val="center"/>
          </w:tcPr>
          <w:p>
            <w:pPr>
              <w:jc w:val="center"/>
              <w:rPr>
                <w:rFonts w:ascii="宋体" w:hAnsi="宋体"/>
                <w:spacing w:val="10"/>
                <w:sz w:val="28"/>
                <w:szCs w:val="28"/>
              </w:rPr>
            </w:pPr>
            <w:r>
              <w:rPr>
                <w:rFonts w:ascii="宋体" w:hAnsi="宋体" w:hint="eastAsia"/>
                <w:spacing w:val="10"/>
                <w:sz w:val="28"/>
                <w:szCs w:val="28"/>
              </w:rPr>
              <w:t>尺量检查</w:t>
            </w:r>
          </w:p>
        </w:tc>
      </w:tr>
      <w:tr>
        <w:tblPrEx>
          <w:tblW w:w="8672" w:type="dxa"/>
          <w:tblInd w:w="108" w:type="dxa"/>
          <w:tblCellMar>
            <w:top w:w="0" w:type="dxa"/>
            <w:left w:w="108" w:type="dxa"/>
            <w:bottom w:w="0" w:type="dxa"/>
            <w:right w:w="108" w:type="dxa"/>
          </w:tblCellMar>
        </w:tblPrEx>
        <w:trPr>
          <w:trHeight w:val="675"/>
        </w:trPr>
        <w:tc>
          <w:tcPr>
            <w:tcW w:w="901"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3379"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骨架的长度</w:t>
            </w:r>
          </w:p>
        </w:tc>
        <w:tc>
          <w:tcPr>
            <w:tcW w:w="2196" w:type="dxa"/>
            <w:noWrap w:val="0"/>
            <w:vAlign w:val="center"/>
          </w:tcPr>
          <w:p>
            <w:pPr>
              <w:jc w:val="center"/>
              <w:rPr>
                <w:rFonts w:ascii="宋体" w:hAnsi="宋体"/>
                <w:spacing w:val="10"/>
                <w:sz w:val="28"/>
                <w:szCs w:val="28"/>
              </w:rPr>
            </w:pPr>
            <w:r>
              <w:rPr>
                <w:rFonts w:ascii="宋体" w:hAnsi="宋体" w:hint="eastAsia"/>
                <w:spacing w:val="10"/>
                <w:sz w:val="28"/>
                <w:szCs w:val="28"/>
              </w:rPr>
              <w:t>±10</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尺量检查</w:t>
            </w:r>
          </w:p>
        </w:tc>
      </w:tr>
      <w:tr>
        <w:tblPrEx>
          <w:tblW w:w="8672" w:type="dxa"/>
          <w:tblInd w:w="108" w:type="dxa"/>
          <w:tblCellMar>
            <w:top w:w="0" w:type="dxa"/>
            <w:left w:w="108" w:type="dxa"/>
            <w:bottom w:w="0" w:type="dxa"/>
            <w:right w:w="108" w:type="dxa"/>
          </w:tblCellMar>
        </w:tblPrEx>
        <w:trPr>
          <w:cantSplit/>
          <w:trHeight w:val="494"/>
        </w:trPr>
        <w:tc>
          <w:tcPr>
            <w:tcW w:w="901"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1511"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受力钢筋</w:t>
            </w:r>
          </w:p>
        </w:tc>
        <w:tc>
          <w:tcPr>
            <w:tcW w:w="1868" w:type="dxa"/>
            <w:gridSpan w:val="2"/>
            <w:noWrap w:val="0"/>
            <w:vAlign w:val="center"/>
          </w:tcPr>
          <w:p>
            <w:pPr>
              <w:jc w:val="center"/>
              <w:rPr>
                <w:rFonts w:ascii="宋体" w:hAnsi="宋体" w:hint="eastAsia"/>
                <w:spacing w:val="10"/>
                <w:sz w:val="28"/>
                <w:szCs w:val="28"/>
              </w:rPr>
            </w:pPr>
            <w:r>
              <w:rPr>
                <w:rFonts w:ascii="宋体" w:hAnsi="宋体" w:hint="eastAsia"/>
                <w:spacing w:val="10"/>
                <w:sz w:val="28"/>
                <w:szCs w:val="28"/>
              </w:rPr>
              <w:t>间距</w:t>
            </w:r>
          </w:p>
        </w:tc>
        <w:tc>
          <w:tcPr>
            <w:tcW w:w="2196" w:type="dxa"/>
            <w:noWrap w:val="0"/>
            <w:vAlign w:val="center"/>
          </w:tcPr>
          <w:p>
            <w:pPr>
              <w:jc w:val="center"/>
              <w:rPr>
                <w:rFonts w:ascii="宋体" w:hAnsi="宋体"/>
                <w:spacing w:val="10"/>
                <w:sz w:val="28"/>
                <w:szCs w:val="28"/>
              </w:rPr>
            </w:pPr>
            <w:r>
              <w:rPr>
                <w:rFonts w:ascii="宋体" w:hAnsi="宋体" w:hint="eastAsia"/>
                <w:spacing w:val="10"/>
                <w:sz w:val="28"/>
                <w:szCs w:val="28"/>
              </w:rPr>
              <w:t>±1</w:t>
            </w:r>
            <w:r>
              <w:rPr>
                <w:rFonts w:ascii="宋体" w:hAnsi="宋体"/>
                <w:spacing w:val="10"/>
                <w:sz w:val="28"/>
                <w:szCs w:val="28"/>
              </w:rPr>
              <w:t>0</w:t>
            </w:r>
          </w:p>
        </w:tc>
        <w:tc>
          <w:tcPr>
            <w:tcW w:w="2196" w:type="dxa"/>
            <w:vMerge w:val="restart"/>
            <w:noWrap w:val="0"/>
            <w:vAlign w:val="center"/>
          </w:tcPr>
          <w:p>
            <w:pPr>
              <w:jc w:val="center"/>
              <w:rPr>
                <w:rFonts w:ascii="宋体" w:hAnsi="宋体"/>
                <w:spacing w:val="10"/>
                <w:sz w:val="28"/>
                <w:szCs w:val="28"/>
              </w:rPr>
            </w:pPr>
            <w:r>
              <w:rPr>
                <w:rFonts w:ascii="宋体" w:hAnsi="宋体" w:hint="eastAsia"/>
                <w:spacing w:val="10"/>
                <w:sz w:val="28"/>
                <w:szCs w:val="28"/>
              </w:rPr>
              <w:t>尺量两端、中间各一点，取其最大值</w:t>
            </w:r>
          </w:p>
        </w:tc>
      </w:tr>
      <w:tr>
        <w:tblPrEx>
          <w:tblW w:w="8672" w:type="dxa"/>
          <w:tblInd w:w="108" w:type="dxa"/>
          <w:tblCellMar>
            <w:top w:w="0" w:type="dxa"/>
            <w:left w:w="108" w:type="dxa"/>
            <w:bottom w:w="0" w:type="dxa"/>
            <w:right w:w="108" w:type="dxa"/>
          </w:tblCellMar>
        </w:tblPrEx>
        <w:trPr>
          <w:cantSplit/>
          <w:trHeight w:val="494"/>
        </w:trPr>
        <w:tc>
          <w:tcPr>
            <w:tcW w:w="901" w:type="dxa"/>
            <w:vMerge/>
            <w:noWrap w:val="0"/>
            <w:vAlign w:val="center"/>
          </w:tcPr>
          <w:p>
            <w:pPr>
              <w:jc w:val="center"/>
              <w:rPr>
                <w:rFonts w:ascii="宋体" w:hAnsi="宋体" w:hint="eastAsia"/>
                <w:spacing w:val="10"/>
                <w:sz w:val="28"/>
                <w:szCs w:val="28"/>
              </w:rPr>
            </w:pPr>
          </w:p>
        </w:tc>
        <w:tc>
          <w:tcPr>
            <w:tcW w:w="1511" w:type="dxa"/>
            <w:vMerge/>
            <w:noWrap w:val="0"/>
            <w:vAlign w:val="center"/>
          </w:tcPr>
          <w:p>
            <w:pPr>
              <w:jc w:val="center"/>
              <w:rPr>
                <w:rFonts w:ascii="宋体" w:hAnsi="宋体" w:hint="eastAsia"/>
                <w:spacing w:val="10"/>
                <w:sz w:val="28"/>
                <w:szCs w:val="28"/>
              </w:rPr>
            </w:pPr>
          </w:p>
        </w:tc>
        <w:tc>
          <w:tcPr>
            <w:tcW w:w="1868" w:type="dxa"/>
            <w:gridSpan w:val="2"/>
            <w:noWrap w:val="0"/>
            <w:vAlign w:val="center"/>
          </w:tcPr>
          <w:p>
            <w:pPr>
              <w:jc w:val="center"/>
              <w:rPr>
                <w:rFonts w:ascii="宋体" w:hAnsi="宋体" w:hint="eastAsia"/>
                <w:spacing w:val="10"/>
                <w:sz w:val="28"/>
                <w:szCs w:val="28"/>
              </w:rPr>
            </w:pPr>
            <w:r>
              <w:rPr>
                <w:rFonts w:ascii="宋体" w:hAnsi="宋体" w:hint="eastAsia"/>
                <w:spacing w:val="10"/>
                <w:sz w:val="28"/>
                <w:szCs w:val="28"/>
              </w:rPr>
              <w:t>排距</w:t>
            </w:r>
          </w:p>
        </w:tc>
        <w:tc>
          <w:tcPr>
            <w:tcW w:w="2196" w:type="dxa"/>
            <w:noWrap w:val="0"/>
            <w:vAlign w:val="center"/>
          </w:tcPr>
          <w:p>
            <w:pPr>
              <w:jc w:val="center"/>
              <w:rPr>
                <w:rFonts w:ascii="宋体" w:hAnsi="宋体"/>
                <w:spacing w:val="10"/>
                <w:sz w:val="28"/>
                <w:szCs w:val="28"/>
              </w:rPr>
            </w:pPr>
            <w:r>
              <w:rPr>
                <w:rFonts w:ascii="宋体" w:hAnsi="宋体" w:hint="eastAsia"/>
                <w:spacing w:val="10"/>
                <w:sz w:val="28"/>
                <w:szCs w:val="28"/>
              </w:rPr>
              <w:t>±</w:t>
            </w:r>
            <w:r>
              <w:rPr>
                <w:rFonts w:ascii="宋体" w:hAnsi="宋体"/>
                <w:spacing w:val="10"/>
                <w:sz w:val="28"/>
                <w:szCs w:val="28"/>
              </w:rPr>
              <w:t>5</w:t>
            </w:r>
          </w:p>
        </w:tc>
        <w:tc>
          <w:tcPr>
            <w:tcW w:w="2196" w:type="dxa"/>
            <w:vMerge/>
            <w:noWrap w:val="0"/>
            <w:vAlign w:val="center"/>
          </w:tcPr>
          <w:p>
            <w:pPr>
              <w:jc w:val="center"/>
              <w:rPr>
                <w:rFonts w:ascii="宋体" w:hAnsi="宋体"/>
                <w:spacing w:val="10"/>
                <w:sz w:val="28"/>
                <w:szCs w:val="28"/>
              </w:rPr>
            </w:pPr>
          </w:p>
        </w:tc>
      </w:tr>
      <w:tr>
        <w:tblPrEx>
          <w:tblW w:w="8672" w:type="dxa"/>
          <w:tblInd w:w="108" w:type="dxa"/>
          <w:tblCellMar>
            <w:top w:w="0" w:type="dxa"/>
            <w:left w:w="108" w:type="dxa"/>
            <w:bottom w:w="0" w:type="dxa"/>
            <w:right w:w="108" w:type="dxa"/>
          </w:tblCellMar>
        </w:tblPrEx>
        <w:trPr>
          <w:cantSplit/>
          <w:trHeight w:val="510"/>
        </w:trPr>
        <w:tc>
          <w:tcPr>
            <w:tcW w:w="901" w:type="dxa"/>
            <w:noWrap w:val="0"/>
            <w:vAlign w:val="center"/>
          </w:tcPr>
          <w:p>
            <w:pPr>
              <w:jc w:val="center"/>
              <w:rPr>
                <w:rFonts w:ascii="宋体" w:hAnsi="宋体" w:hint="eastAsia"/>
                <w:spacing w:val="10"/>
                <w:sz w:val="28"/>
                <w:szCs w:val="28"/>
              </w:rPr>
            </w:pPr>
            <w:r>
              <w:rPr>
                <w:rFonts w:ascii="宋体" w:hAnsi="宋体" w:hint="eastAsia"/>
                <w:spacing w:val="10"/>
                <w:sz w:val="28"/>
                <w:szCs w:val="28"/>
              </w:rPr>
              <w:t>4</w:t>
            </w:r>
          </w:p>
        </w:tc>
        <w:tc>
          <w:tcPr>
            <w:tcW w:w="3379"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箍筋构造筋间距</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±20</w:t>
            </w:r>
          </w:p>
        </w:tc>
        <w:tc>
          <w:tcPr>
            <w:tcW w:w="2196" w:type="dxa"/>
            <w:noWrap w:val="0"/>
            <w:vAlign w:val="center"/>
          </w:tcPr>
          <w:p>
            <w:pPr>
              <w:jc w:val="center"/>
              <w:rPr>
                <w:rFonts w:ascii="宋体" w:hAnsi="宋体"/>
                <w:spacing w:val="10"/>
                <w:sz w:val="28"/>
                <w:szCs w:val="28"/>
              </w:rPr>
            </w:pPr>
            <w:r>
              <w:rPr>
                <w:rFonts w:ascii="宋体" w:hAnsi="宋体" w:hint="eastAsia"/>
                <w:spacing w:val="10"/>
                <w:sz w:val="28"/>
                <w:szCs w:val="28"/>
              </w:rPr>
              <w:t>尺量连续三档，取其最大值</w:t>
            </w:r>
          </w:p>
        </w:tc>
      </w:tr>
      <w:tr>
        <w:tblPrEx>
          <w:tblW w:w="8672" w:type="dxa"/>
          <w:tblInd w:w="108" w:type="dxa"/>
          <w:tblCellMar>
            <w:top w:w="0" w:type="dxa"/>
            <w:left w:w="108" w:type="dxa"/>
            <w:bottom w:w="0" w:type="dxa"/>
            <w:right w:w="108" w:type="dxa"/>
          </w:tblCellMar>
        </w:tblPrEx>
        <w:trPr>
          <w:cantSplit/>
          <w:trHeight w:val="494"/>
        </w:trPr>
        <w:tc>
          <w:tcPr>
            <w:tcW w:w="901"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1601" w:type="dxa"/>
            <w:gridSpan w:val="2"/>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焊接预埋件</w:t>
            </w:r>
          </w:p>
        </w:tc>
        <w:tc>
          <w:tcPr>
            <w:tcW w:w="1778" w:type="dxa"/>
            <w:noWrap w:val="0"/>
            <w:vAlign w:val="center"/>
          </w:tcPr>
          <w:p>
            <w:pPr>
              <w:jc w:val="center"/>
              <w:rPr>
                <w:rFonts w:ascii="宋体" w:hAnsi="宋体" w:hint="eastAsia"/>
                <w:spacing w:val="10"/>
                <w:sz w:val="28"/>
                <w:szCs w:val="28"/>
              </w:rPr>
            </w:pPr>
            <w:r>
              <w:rPr>
                <w:rFonts w:ascii="宋体" w:hAnsi="宋体" w:hint="eastAsia"/>
                <w:spacing w:val="10"/>
                <w:sz w:val="28"/>
                <w:szCs w:val="28"/>
              </w:rPr>
              <w:t>中心线位移</w:t>
            </w:r>
          </w:p>
        </w:tc>
        <w:tc>
          <w:tcPr>
            <w:tcW w:w="2196" w:type="dxa"/>
            <w:noWrap w:val="0"/>
            <w:vAlign w:val="center"/>
          </w:tcPr>
          <w:p>
            <w:pPr>
              <w:jc w:val="center"/>
              <w:rPr>
                <w:rFonts w:ascii="宋体" w:hAnsi="宋体"/>
                <w:spacing w:val="10"/>
                <w:sz w:val="28"/>
                <w:szCs w:val="28"/>
              </w:rPr>
            </w:pPr>
            <w:r>
              <w:rPr>
                <w:rFonts w:ascii="宋体" w:hAnsi="宋体" w:hint="eastAsia"/>
                <w:spacing w:val="10"/>
                <w:sz w:val="28"/>
                <w:szCs w:val="28"/>
              </w:rPr>
              <w:t>5</w:t>
            </w:r>
          </w:p>
        </w:tc>
        <w:tc>
          <w:tcPr>
            <w:tcW w:w="2196" w:type="dxa"/>
            <w:vMerge w:val="restart"/>
            <w:noWrap w:val="0"/>
            <w:vAlign w:val="center"/>
          </w:tcPr>
          <w:p>
            <w:pPr>
              <w:jc w:val="center"/>
              <w:rPr>
                <w:rFonts w:ascii="宋体" w:hAnsi="宋体"/>
                <w:spacing w:val="10"/>
                <w:sz w:val="28"/>
                <w:szCs w:val="28"/>
              </w:rPr>
            </w:pPr>
            <w:r>
              <w:rPr>
                <w:rFonts w:ascii="宋体" w:hAnsi="宋体" w:hint="eastAsia"/>
                <w:spacing w:val="10"/>
                <w:sz w:val="28"/>
                <w:szCs w:val="28"/>
              </w:rPr>
              <w:t>尺量检查</w:t>
            </w:r>
          </w:p>
        </w:tc>
      </w:tr>
      <w:tr>
        <w:tblPrEx>
          <w:tblW w:w="8672" w:type="dxa"/>
          <w:tblInd w:w="108" w:type="dxa"/>
          <w:tblCellMar>
            <w:top w:w="0" w:type="dxa"/>
            <w:left w:w="108" w:type="dxa"/>
            <w:bottom w:w="0" w:type="dxa"/>
            <w:right w:w="108" w:type="dxa"/>
          </w:tblCellMar>
        </w:tblPrEx>
        <w:trPr>
          <w:cantSplit/>
          <w:trHeight w:val="494"/>
        </w:trPr>
        <w:tc>
          <w:tcPr>
            <w:tcW w:w="901" w:type="dxa"/>
            <w:vMerge/>
            <w:noWrap w:val="0"/>
            <w:vAlign w:val="center"/>
          </w:tcPr>
          <w:p>
            <w:pPr>
              <w:jc w:val="center"/>
              <w:rPr>
                <w:rFonts w:ascii="宋体" w:hAnsi="宋体" w:hint="eastAsia"/>
                <w:spacing w:val="10"/>
                <w:sz w:val="28"/>
                <w:szCs w:val="28"/>
              </w:rPr>
            </w:pPr>
          </w:p>
        </w:tc>
        <w:tc>
          <w:tcPr>
            <w:tcW w:w="1601" w:type="dxa"/>
            <w:gridSpan w:val="2"/>
            <w:vMerge/>
            <w:noWrap w:val="0"/>
            <w:vAlign w:val="center"/>
          </w:tcPr>
          <w:p>
            <w:pPr>
              <w:jc w:val="center"/>
              <w:rPr>
                <w:rFonts w:ascii="宋体" w:hAnsi="宋体" w:hint="eastAsia"/>
                <w:spacing w:val="10"/>
                <w:sz w:val="28"/>
                <w:szCs w:val="28"/>
              </w:rPr>
            </w:pPr>
          </w:p>
        </w:tc>
        <w:tc>
          <w:tcPr>
            <w:tcW w:w="1778" w:type="dxa"/>
            <w:noWrap w:val="0"/>
            <w:vAlign w:val="center"/>
          </w:tcPr>
          <w:p>
            <w:pPr>
              <w:jc w:val="center"/>
              <w:rPr>
                <w:rFonts w:ascii="宋体" w:hAnsi="宋体" w:hint="eastAsia"/>
                <w:spacing w:val="10"/>
                <w:sz w:val="28"/>
                <w:szCs w:val="28"/>
              </w:rPr>
            </w:pPr>
            <w:r>
              <w:rPr>
                <w:rFonts w:ascii="宋体" w:hAnsi="宋体" w:hint="eastAsia"/>
                <w:spacing w:val="10"/>
                <w:sz w:val="28"/>
                <w:szCs w:val="28"/>
              </w:rPr>
              <w:t>水平高差</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r>
              <w:rPr>
                <w:rFonts w:ascii="宋体" w:hAnsi="宋体"/>
                <w:spacing w:val="10"/>
                <w:sz w:val="28"/>
                <w:szCs w:val="28"/>
              </w:rPr>
              <w:t>,</w:t>
            </w:r>
            <w:r>
              <w:rPr>
                <w:rFonts w:ascii="宋体" w:hAnsi="宋体" w:hint="eastAsia"/>
                <w:spacing w:val="10"/>
                <w:sz w:val="28"/>
                <w:szCs w:val="28"/>
              </w:rPr>
              <w:t>-0</w:t>
            </w:r>
          </w:p>
        </w:tc>
        <w:tc>
          <w:tcPr>
            <w:tcW w:w="2196" w:type="dxa"/>
            <w:vMerge/>
            <w:noWrap w:val="0"/>
            <w:vAlign w:val="center"/>
          </w:tcPr>
          <w:p>
            <w:pPr>
              <w:jc w:val="center"/>
              <w:rPr>
                <w:rFonts w:ascii="宋体" w:hAnsi="宋体"/>
                <w:spacing w:val="10"/>
                <w:sz w:val="28"/>
                <w:szCs w:val="28"/>
              </w:rPr>
            </w:pPr>
          </w:p>
        </w:tc>
      </w:tr>
      <w:tr>
        <w:tblPrEx>
          <w:tblW w:w="8672" w:type="dxa"/>
          <w:tblInd w:w="108" w:type="dxa"/>
          <w:tblCellMar>
            <w:top w:w="0" w:type="dxa"/>
            <w:left w:w="108" w:type="dxa"/>
            <w:bottom w:w="0" w:type="dxa"/>
            <w:right w:w="108" w:type="dxa"/>
          </w:tblCellMar>
        </w:tblPrEx>
        <w:trPr>
          <w:cantSplit/>
          <w:trHeight w:val="494"/>
        </w:trPr>
        <w:tc>
          <w:tcPr>
            <w:tcW w:w="901" w:type="dxa"/>
            <w:noWrap w:val="0"/>
            <w:vAlign w:val="center"/>
          </w:tcPr>
          <w:p>
            <w:pPr>
              <w:jc w:val="center"/>
              <w:rPr>
                <w:rFonts w:ascii="宋体" w:hAnsi="宋体"/>
                <w:spacing w:val="10"/>
                <w:sz w:val="28"/>
                <w:szCs w:val="28"/>
              </w:rPr>
            </w:pPr>
            <w:r>
              <w:rPr>
                <w:rFonts w:ascii="宋体" w:hAnsi="宋体" w:hint="eastAsia"/>
                <w:spacing w:val="10"/>
                <w:sz w:val="28"/>
                <w:szCs w:val="28"/>
              </w:rPr>
              <w:t>6</w:t>
            </w:r>
          </w:p>
        </w:tc>
        <w:tc>
          <w:tcPr>
            <w:tcW w:w="3379"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受力筋保护层</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w:t>
            </w:r>
            <w:r>
              <w:rPr>
                <w:rFonts w:ascii="宋体" w:hAnsi="宋体"/>
                <w:spacing w:val="10"/>
                <w:sz w:val="28"/>
                <w:szCs w:val="28"/>
              </w:rPr>
              <w:t>5</w:t>
            </w:r>
          </w:p>
        </w:tc>
        <w:tc>
          <w:tcPr>
            <w:tcW w:w="2196" w:type="dxa"/>
            <w:noWrap w:val="0"/>
            <w:vAlign w:val="center"/>
          </w:tcPr>
          <w:p>
            <w:pPr>
              <w:jc w:val="center"/>
              <w:rPr>
                <w:rFonts w:ascii="宋体" w:hAnsi="宋体" w:hint="eastAsia"/>
                <w:spacing w:val="10"/>
                <w:sz w:val="28"/>
                <w:szCs w:val="28"/>
              </w:rPr>
            </w:pPr>
            <w:r>
              <w:rPr>
                <w:rFonts w:ascii="宋体" w:hAnsi="宋体" w:hint="eastAsia"/>
                <w:spacing w:val="10"/>
                <w:sz w:val="28"/>
                <w:szCs w:val="28"/>
              </w:rPr>
              <w:t>尺量检查</w:t>
            </w:r>
          </w:p>
        </w:tc>
      </w:tr>
    </w:tbl>
    <w:p>
      <w:pPr>
        <w:spacing w:line="560" w:lineRule="exact"/>
        <w:rPr>
          <w:rFonts w:ascii="宋体" w:hAnsi="宋体" w:hint="eastAsia"/>
          <w:bCs/>
          <w:spacing w:val="10"/>
          <w:sz w:val="28"/>
          <w:szCs w:val="28"/>
        </w:rPr>
      </w:pPr>
      <w:r>
        <w:rPr>
          <w:rFonts w:ascii="宋体" w:hAnsi="宋体" w:hint="eastAsia"/>
          <w:bCs/>
          <w:spacing w:val="10"/>
          <w:sz w:val="28"/>
          <w:szCs w:val="28"/>
        </w:rPr>
        <w:t>1.5模板工程</w:t>
      </w:r>
      <w:r>
        <w:rPr>
          <w:b/>
          <w:color w:val="FFFFFF"/>
          <w:sz w:val="0"/>
        </w:rPr>
        <w:t>.</w:t>
      </w:r>
    </w:p>
    <w:p>
      <w:pPr>
        <w:spacing w:line="560" w:lineRule="exact"/>
        <w:rPr>
          <w:rFonts w:ascii="宋体" w:hAnsi="宋体" w:hint="eastAsia"/>
          <w:spacing w:val="10"/>
          <w:sz w:val="28"/>
          <w:szCs w:val="28"/>
        </w:rPr>
        <w:sectPr>
          <w:headerReference w:type="default" r:id="rId22"/>
          <w:footerReference w:type="even" r:id="rId23"/>
          <w:footerReference w:type="default" r:id="rId24"/>
          <w:type w:val="nextPage"/>
          <w:pgSz w:w="11906" w:h="16838"/>
          <w:pgMar w:top="1440" w:right="1418" w:bottom="1440" w:left="1814" w:header="851" w:footer="992" w:gutter="0"/>
          <w:pgNumType w:start="7"/>
          <w:cols w:num="1" w:space="425"/>
          <w:titlePg w:val="0"/>
          <w:docGrid w:type="lines" w:linePitch="312" w:charSpace="0"/>
        </w:sectPr>
      </w:pPr>
      <w:r>
        <w:rPr>
          <w:rFonts w:ascii="宋体" w:hAnsi="宋体" w:hint="eastAsia"/>
          <w:spacing w:val="10"/>
          <w:sz w:val="28"/>
          <w:szCs w:val="28"/>
        </w:rPr>
        <w:t>1.5.1基础部分采用定型组合钢模板拼装，纵横双向双肢Φ48钢管楞，外围用钢管撑牢固定。</w:t>
      </w:r>
      <w:r>
        <w:rPr>
          <w:b/>
          <w:color w:val="FFFFFF"/>
          <w:sz w:val="0"/>
        </w:rPr>
        <w:t>.</w:t>
      </w:r>
    </w:p>
    <w:p>
      <w:pPr>
        <w:spacing w:line="560" w:lineRule="exact"/>
        <w:rPr>
          <w:rFonts w:ascii="宋体" w:hAnsi="宋体" w:hint="eastAsia"/>
          <w:spacing w:val="10"/>
          <w:sz w:val="28"/>
          <w:szCs w:val="28"/>
        </w:rPr>
      </w:pPr>
      <w:r>
        <w:rPr>
          <w:rFonts w:ascii="宋体" w:hAnsi="宋体" w:hint="eastAsia"/>
          <w:spacing w:val="10"/>
          <w:sz w:val="28"/>
          <w:szCs w:val="28"/>
        </w:rPr>
        <w:t>1.5.2 砖混结构构造柱模板，采用定型组合钢模板。可用一般的支模方法。为防止浇筑砼时模板膨胀，影响外墙平整，用组合钢模板贴在外墙面上，并每隔一米以内设两根拉条</w:t>
      </w:r>
      <w:r>
        <w:rPr>
          <w:rFonts w:ascii="宋体" w:hAnsi="宋体"/>
          <w:spacing w:val="10"/>
          <w:sz w:val="28"/>
          <w:szCs w:val="28"/>
        </w:rPr>
        <w:t>,</w:t>
      </w:r>
      <w:r>
        <w:rPr>
          <w:rFonts w:ascii="宋体" w:hAnsi="宋体" w:hint="eastAsia"/>
          <w:spacing w:val="10"/>
          <w:sz w:val="28"/>
          <w:szCs w:val="28"/>
        </w:rPr>
        <w:t>拉条与内墙拉接，拉条直径不应小于φ16。拉条穿过砖墙的洞要预留，留洞为之要求距地面30cm开始，每隔1m以内留一道，洞的平面位置在构造柱大马牙槎以外一丁头砖处。</w:t>
      </w:r>
      <w:r>
        <w:rPr>
          <w:b/>
          <w:color w:val="FFFFFF"/>
          <w:sz w:val="0"/>
        </w:rPr>
        <w:t>.</w:t>
      </w:r>
    </w:p>
    <w:p>
      <w:pPr>
        <w:spacing w:line="560" w:lineRule="exact"/>
        <w:rPr>
          <w:rFonts w:ascii="宋体" w:hAnsi="宋体"/>
          <w:spacing w:val="10"/>
          <w:sz w:val="28"/>
          <w:szCs w:val="28"/>
        </w:rPr>
      </w:pPr>
      <w:r>
        <w:rPr>
          <w:rFonts w:ascii="宋体" w:hAnsi="宋体" w:hint="eastAsia"/>
          <w:spacing w:val="10"/>
          <w:sz w:val="28"/>
          <w:szCs w:val="28"/>
        </w:rPr>
        <w:t>1.5.3顶面采用竹胶模板及碗扣式钢管脚手架支撑体系，并设早拆系统，顶面准备三层用量，使用前，涂刷水性脱模剂。</w:t>
      </w:r>
      <w:r>
        <w:rPr>
          <w:b/>
          <w:color w:val="FFFFFF"/>
          <w:sz w:val="0"/>
        </w:rPr>
        <w:t>.</w:t>
      </w:r>
    </w:p>
    <w:p>
      <w:pPr>
        <w:spacing w:line="560" w:lineRule="exact"/>
        <w:rPr>
          <w:rFonts w:ascii="宋体" w:hAnsi="宋体" w:hint="eastAsia"/>
          <w:b/>
          <w:bCs/>
          <w:spacing w:val="10"/>
          <w:sz w:val="28"/>
          <w:szCs w:val="28"/>
        </w:rPr>
      </w:pPr>
      <w:r>
        <w:rPr>
          <w:rFonts w:ascii="宋体" w:hAnsi="宋体" w:hint="eastAsia"/>
          <w:spacing w:val="10"/>
          <w:sz w:val="28"/>
          <w:szCs w:val="28"/>
        </w:rPr>
        <w:t>1.5.4现浇顶面支模：先搭设碗扣式脚手架，脚手架上铺100×50方木，方木必须用压刨进行压平，上铺竹胶模板，模板缝隙用密封条粘贴，梁板支模脚手架严格按照方案搭设，早拆系统的立柱，在上下层必须保证在一条垂直线上。</w:t>
      </w:r>
      <w:r>
        <w:rPr>
          <w:b/>
          <w:color w:val="FFFFFF"/>
          <w:sz w:val="0"/>
        </w:rPr>
        <w:t>.</w:t>
      </w:r>
    </w:p>
    <w:p>
      <w:pPr>
        <w:spacing w:line="560" w:lineRule="exact"/>
        <w:jc w:val="center"/>
        <w:rPr>
          <w:rFonts w:ascii="宋体" w:hAnsi="宋体" w:hint="eastAsia"/>
          <w:bCs/>
          <w:spacing w:val="10"/>
          <w:sz w:val="28"/>
          <w:szCs w:val="28"/>
        </w:rPr>
      </w:pPr>
      <w:r>
        <w:rPr>
          <w:rFonts w:ascii="宋体" w:hAnsi="宋体" w:hint="eastAsia"/>
          <w:bCs/>
          <w:spacing w:val="10"/>
          <w:sz w:val="28"/>
          <w:szCs w:val="28"/>
        </w:rPr>
        <w:t>砖混结构模板允许偏差</w:t>
      </w:r>
      <w:r>
        <w:rPr>
          <w:b/>
          <w:color w:val="FFFFFF"/>
          <w:sz w:val="0"/>
        </w:rPr>
        <w:t>.</w:t>
      </w:r>
    </w:p>
    <w:tbl>
      <w:tblPr>
        <w:tblStyle w:val="TableNormal"/>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0"/>
        <w:gridCol w:w="3060"/>
        <w:gridCol w:w="900"/>
        <w:gridCol w:w="1441"/>
        <w:gridCol w:w="2899"/>
      </w:tblGrid>
      <w:tr>
        <w:tblPrEx>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139"/>
        </w:trPr>
        <w:tc>
          <w:tcPr>
            <w:tcW w:w="54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项 次</w:t>
            </w:r>
          </w:p>
        </w:tc>
        <w:tc>
          <w:tcPr>
            <w:tcW w:w="306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项   目</w:t>
            </w:r>
          </w:p>
        </w:tc>
        <w:tc>
          <w:tcPr>
            <w:tcW w:w="2341" w:type="dxa"/>
            <w:gridSpan w:val="2"/>
            <w:noWrap w:val="0"/>
            <w:vAlign w:val="center"/>
          </w:tcPr>
          <w:p>
            <w:pPr>
              <w:jc w:val="center"/>
              <w:rPr>
                <w:rFonts w:ascii="宋体" w:hAnsi="宋体" w:hint="eastAsia"/>
                <w:spacing w:val="10"/>
                <w:sz w:val="28"/>
                <w:szCs w:val="28"/>
              </w:rPr>
            </w:pPr>
            <w:r>
              <w:rPr>
                <w:rFonts w:ascii="宋体" w:hAnsi="宋体" w:hint="eastAsia"/>
                <w:spacing w:val="10"/>
                <w:sz w:val="28"/>
                <w:szCs w:val="28"/>
              </w:rPr>
              <w:t>允 许 偏 差</w:t>
            </w:r>
            <w:r>
              <w:rPr>
                <w:rFonts w:ascii="宋体" w:hAnsi="宋体"/>
                <w:spacing w:val="10"/>
                <w:sz w:val="28"/>
                <w:szCs w:val="28"/>
              </w:rPr>
              <w:t>(</w:t>
            </w:r>
            <w:r>
              <w:rPr>
                <w:rFonts w:ascii="宋体" w:hAnsi="宋体" w:hint="eastAsia"/>
                <w:spacing w:val="10"/>
                <w:sz w:val="28"/>
                <w:szCs w:val="28"/>
              </w:rPr>
              <w:t>mm</w:t>
            </w:r>
            <w:r>
              <w:rPr>
                <w:rFonts w:ascii="宋体" w:hAnsi="宋体"/>
                <w:spacing w:val="10"/>
                <w:sz w:val="28"/>
                <w:szCs w:val="28"/>
              </w:rPr>
              <w:t>)</w:t>
            </w:r>
          </w:p>
        </w:tc>
        <w:tc>
          <w:tcPr>
            <w:tcW w:w="2899"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检验方法</w:t>
            </w:r>
          </w:p>
        </w:tc>
      </w:tr>
      <w:tr>
        <w:tblPrEx>
          <w:tblW w:w="8840" w:type="dxa"/>
          <w:tblInd w:w="108" w:type="dxa"/>
          <w:tblCellMar>
            <w:top w:w="0" w:type="dxa"/>
            <w:left w:w="108" w:type="dxa"/>
            <w:bottom w:w="0" w:type="dxa"/>
            <w:right w:w="108" w:type="dxa"/>
          </w:tblCellMar>
        </w:tblPrEx>
        <w:trPr>
          <w:cantSplit/>
          <w:trHeight w:val="136"/>
        </w:trPr>
        <w:tc>
          <w:tcPr>
            <w:tcW w:w="540" w:type="dxa"/>
            <w:vMerge/>
            <w:noWrap w:val="0"/>
            <w:vAlign w:val="center"/>
          </w:tcPr>
          <w:p>
            <w:pPr>
              <w:jc w:val="center"/>
              <w:rPr>
                <w:rFonts w:ascii="宋体" w:hAnsi="宋体" w:hint="eastAsia"/>
                <w:spacing w:val="10"/>
                <w:sz w:val="28"/>
                <w:szCs w:val="28"/>
              </w:rPr>
            </w:pPr>
          </w:p>
        </w:tc>
        <w:tc>
          <w:tcPr>
            <w:tcW w:w="3060" w:type="dxa"/>
            <w:vMerge/>
            <w:noWrap w:val="0"/>
            <w:vAlign w:val="center"/>
          </w:tcPr>
          <w:p>
            <w:pPr>
              <w:jc w:val="center"/>
              <w:rPr>
                <w:rFonts w:ascii="宋体" w:hAnsi="宋体" w:hint="eastAsia"/>
                <w:spacing w:val="10"/>
                <w:sz w:val="28"/>
                <w:szCs w:val="28"/>
              </w:rPr>
            </w:pPr>
          </w:p>
        </w:tc>
        <w:tc>
          <w:tcPr>
            <w:tcW w:w="9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多层</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多层大模</w:t>
            </w:r>
          </w:p>
        </w:tc>
        <w:tc>
          <w:tcPr>
            <w:tcW w:w="2899" w:type="dxa"/>
            <w:vMerge/>
            <w:noWrap w:val="0"/>
            <w:vAlign w:val="center"/>
          </w:tcPr>
          <w:p>
            <w:pPr>
              <w:jc w:val="center"/>
              <w:rPr>
                <w:rFonts w:ascii="宋体" w:hAnsi="宋体" w:hint="eastAsia"/>
                <w:spacing w:val="10"/>
                <w:sz w:val="28"/>
                <w:szCs w:val="28"/>
              </w:rPr>
            </w:pPr>
          </w:p>
        </w:tc>
      </w:tr>
      <w:tr>
        <w:tblPrEx>
          <w:tblW w:w="8840" w:type="dxa"/>
          <w:tblInd w:w="108" w:type="dxa"/>
          <w:tblCellMar>
            <w:top w:w="0" w:type="dxa"/>
            <w:left w:w="108" w:type="dxa"/>
            <w:bottom w:w="0" w:type="dxa"/>
            <w:right w:w="108" w:type="dxa"/>
          </w:tblCellMar>
        </w:tblPrEx>
        <w:trPr>
          <w:cantSplit/>
          <w:trHeight w:val="275"/>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轴线位移：柱、梁</w:t>
            </w:r>
          </w:p>
        </w:tc>
        <w:tc>
          <w:tcPr>
            <w:tcW w:w="900" w:type="dxa"/>
            <w:noWrap w:val="0"/>
            <w:vAlign w:val="center"/>
          </w:tcPr>
          <w:p>
            <w:pPr>
              <w:jc w:val="center"/>
              <w:rPr>
                <w:rFonts w:ascii="宋体" w:hAnsi="宋体"/>
                <w:spacing w:val="10"/>
                <w:sz w:val="28"/>
                <w:szCs w:val="28"/>
              </w:rPr>
            </w:pPr>
            <w:r>
              <w:rPr>
                <w:rFonts w:ascii="宋体" w:hAnsi="宋体" w:hint="eastAsia"/>
                <w:spacing w:val="10"/>
                <w:sz w:val="28"/>
                <w:szCs w:val="28"/>
              </w:rPr>
              <w:t>5</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尺量检查及经纬仪检查</w:t>
            </w:r>
          </w:p>
        </w:tc>
      </w:tr>
      <w:tr>
        <w:tblPrEx>
          <w:tblW w:w="8840" w:type="dxa"/>
          <w:tblInd w:w="108" w:type="dxa"/>
          <w:tblCellMar>
            <w:top w:w="0" w:type="dxa"/>
            <w:left w:w="108" w:type="dxa"/>
            <w:bottom w:w="0" w:type="dxa"/>
            <w:right w:w="108" w:type="dxa"/>
          </w:tblCellMar>
        </w:tblPrEx>
        <w:trPr>
          <w:cantSplit/>
          <w:trHeight w:val="262"/>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标  高</w:t>
            </w:r>
          </w:p>
        </w:tc>
        <w:tc>
          <w:tcPr>
            <w:tcW w:w="9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用水准仪或拉线和</w:t>
            </w:r>
          </w:p>
          <w:p>
            <w:pPr>
              <w:jc w:val="center"/>
              <w:rPr>
                <w:rFonts w:ascii="宋体" w:hAnsi="宋体" w:hint="eastAsia"/>
                <w:spacing w:val="10"/>
                <w:sz w:val="28"/>
                <w:szCs w:val="28"/>
              </w:rPr>
            </w:pPr>
            <w:r>
              <w:rPr>
                <w:rFonts w:ascii="宋体" w:hAnsi="宋体" w:hint="eastAsia"/>
                <w:spacing w:val="10"/>
                <w:sz w:val="28"/>
                <w:szCs w:val="28"/>
              </w:rPr>
              <w:t>尺量检查</w:t>
            </w:r>
          </w:p>
        </w:tc>
      </w:tr>
      <w:tr>
        <w:tblPrEx>
          <w:tblW w:w="8840" w:type="dxa"/>
          <w:tblInd w:w="108" w:type="dxa"/>
          <w:tblCellMar>
            <w:top w:w="0" w:type="dxa"/>
            <w:left w:w="108" w:type="dxa"/>
            <w:bottom w:w="0" w:type="dxa"/>
            <w:right w:w="108" w:type="dxa"/>
          </w:tblCellMar>
        </w:tblPrEx>
        <w:trPr>
          <w:cantSplit/>
          <w:trHeight w:val="536"/>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截面尺寸：柱、梁</w:t>
            </w:r>
          </w:p>
        </w:tc>
        <w:tc>
          <w:tcPr>
            <w:tcW w:w="900" w:type="dxa"/>
            <w:noWrap w:val="0"/>
            <w:vAlign w:val="center"/>
          </w:tcPr>
          <w:p>
            <w:pPr>
              <w:jc w:val="center"/>
              <w:rPr>
                <w:rFonts w:ascii="宋体" w:hAnsi="宋体" w:hint="eastAsia"/>
                <w:spacing w:val="10"/>
                <w:sz w:val="28"/>
                <w:szCs w:val="28"/>
              </w:rPr>
            </w:pPr>
            <w:r>
              <w:rPr>
                <w:rFonts w:ascii="宋体" w:hAnsi="宋体"/>
                <w:spacing w:val="10"/>
                <w:sz w:val="28"/>
                <w:szCs w:val="28"/>
              </w:rPr>
              <w:t>+</w:t>
            </w:r>
            <w:r>
              <w:rPr>
                <w:rFonts w:ascii="宋体" w:hAnsi="宋体" w:hint="eastAsia"/>
                <w:spacing w:val="10"/>
                <w:sz w:val="28"/>
                <w:szCs w:val="28"/>
              </w:rPr>
              <w:t>4</w:t>
            </w:r>
          </w:p>
          <w:p>
            <w:pPr>
              <w:jc w:val="center"/>
              <w:rPr>
                <w:rFonts w:ascii="宋体" w:hAnsi="宋体" w:hint="eastAsia"/>
                <w:spacing w:val="10"/>
                <w:sz w:val="28"/>
                <w:szCs w:val="28"/>
              </w:rPr>
            </w:pPr>
            <w:r>
              <w:rPr>
                <w:rFonts w:ascii="宋体" w:hAnsi="宋体"/>
                <w:spacing w:val="10"/>
                <w:sz w:val="28"/>
                <w:szCs w:val="28"/>
              </w:rPr>
              <w:t>-</w:t>
            </w:r>
            <w:r>
              <w:rPr>
                <w:rFonts w:ascii="宋体" w:hAnsi="宋体" w:hint="eastAsia"/>
                <w:spacing w:val="10"/>
                <w:sz w:val="28"/>
                <w:szCs w:val="28"/>
              </w:rPr>
              <w:t>5</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尺量检查</w:t>
            </w:r>
          </w:p>
        </w:tc>
      </w:tr>
      <w:tr>
        <w:tblPrEx>
          <w:tblW w:w="8840" w:type="dxa"/>
          <w:tblInd w:w="108" w:type="dxa"/>
          <w:tblCellMar>
            <w:top w:w="0" w:type="dxa"/>
            <w:left w:w="108" w:type="dxa"/>
            <w:bottom w:w="0" w:type="dxa"/>
            <w:right w:w="108" w:type="dxa"/>
          </w:tblCellMar>
        </w:tblPrEx>
        <w:trPr>
          <w:cantSplit/>
          <w:trHeight w:val="275"/>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4</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每层垂直高度</w:t>
            </w:r>
          </w:p>
        </w:tc>
        <w:tc>
          <w:tcPr>
            <w:tcW w:w="900" w:type="dxa"/>
            <w:noWrap w:val="0"/>
            <w:vAlign w:val="center"/>
          </w:tcPr>
          <w:p>
            <w:pPr>
              <w:jc w:val="center"/>
              <w:rPr>
                <w:rFonts w:ascii="宋体" w:hAnsi="宋体"/>
                <w:spacing w:val="10"/>
                <w:sz w:val="28"/>
                <w:szCs w:val="28"/>
              </w:rPr>
            </w:pPr>
            <w:r>
              <w:rPr>
                <w:rFonts w:ascii="宋体" w:hAnsi="宋体" w:hint="eastAsia"/>
                <w:spacing w:val="10"/>
                <w:sz w:val="28"/>
                <w:szCs w:val="28"/>
              </w:rPr>
              <w:t>3</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2899" w:type="dxa"/>
            <w:noWrap w:val="0"/>
            <w:vAlign w:val="center"/>
          </w:tcPr>
          <w:p>
            <w:pPr>
              <w:jc w:val="center"/>
              <w:rPr>
                <w:rFonts w:ascii="宋体" w:hAnsi="宋体"/>
                <w:spacing w:val="10"/>
                <w:sz w:val="28"/>
                <w:szCs w:val="28"/>
              </w:rPr>
            </w:pPr>
            <w:r>
              <w:rPr>
                <w:rFonts w:ascii="宋体" w:hAnsi="宋体" w:hint="eastAsia"/>
                <w:spacing w:val="10"/>
                <w:sz w:val="28"/>
                <w:szCs w:val="28"/>
              </w:rPr>
              <w:t>用2m托线板检查</w:t>
            </w:r>
          </w:p>
        </w:tc>
      </w:tr>
      <w:tr>
        <w:tblPrEx>
          <w:tblW w:w="8840" w:type="dxa"/>
          <w:tblInd w:w="108" w:type="dxa"/>
          <w:tblCellMar>
            <w:top w:w="0" w:type="dxa"/>
            <w:left w:w="108" w:type="dxa"/>
            <w:bottom w:w="0" w:type="dxa"/>
            <w:right w:w="108" w:type="dxa"/>
          </w:tblCellMar>
        </w:tblPrEx>
        <w:trPr>
          <w:cantSplit/>
          <w:trHeight w:val="262"/>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相邻两板表面高低差</w:t>
            </w:r>
          </w:p>
        </w:tc>
        <w:tc>
          <w:tcPr>
            <w:tcW w:w="9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用直尺和尺量检查</w:t>
            </w:r>
          </w:p>
        </w:tc>
      </w:tr>
    </w:tbl>
    <w:p>
      <w:pPr>
        <w:sectPr>
          <w:headerReference w:type="default" r:id="rId25"/>
          <w:footerReference w:type="even" r:id="rId26"/>
          <w:footerReference w:type="default" r:id="rId27"/>
          <w:type w:val="nextPage"/>
          <w:pgSz w:w="11906" w:h="16838"/>
          <w:pgMar w:top="1440" w:right="1418" w:bottom="1440" w:left="1814" w:header="851" w:footer="992" w:gutter="0"/>
          <w:pgNumType w:start="8"/>
          <w:cols w:num="1" w:space="425"/>
          <w:titlePg w:val="0"/>
          <w:docGrid w:type="lines" w:linePitch="312" w:charSpace="0"/>
        </w:sectPr>
      </w:pPr>
    </w:p>
    <w:tbl>
      <w:tblPr>
        <w:tblStyle w:val="TableNormal"/>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0"/>
        <w:gridCol w:w="3060"/>
        <w:gridCol w:w="900"/>
        <w:gridCol w:w="1441"/>
        <w:gridCol w:w="2899"/>
      </w:tblGrid>
      <w:tr>
        <w:tblPrEx>
          <w:tblW w:w="8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trHeight w:val="275"/>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6</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表面平整度</w:t>
            </w:r>
          </w:p>
        </w:tc>
        <w:tc>
          <w:tcPr>
            <w:tcW w:w="9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用2m靠尺和</w:t>
            </w:r>
          </w:p>
          <w:p>
            <w:pPr>
              <w:jc w:val="center"/>
              <w:rPr>
                <w:rFonts w:ascii="宋体" w:hAnsi="宋体" w:hint="eastAsia"/>
                <w:spacing w:val="10"/>
                <w:sz w:val="28"/>
                <w:szCs w:val="28"/>
              </w:rPr>
            </w:pPr>
            <w:r>
              <w:rPr>
                <w:rFonts w:ascii="宋体" w:hAnsi="宋体" w:hint="eastAsia"/>
                <w:spacing w:val="10"/>
                <w:sz w:val="28"/>
                <w:szCs w:val="28"/>
              </w:rPr>
              <w:t>楔形塞尺检查</w:t>
            </w:r>
          </w:p>
        </w:tc>
      </w:tr>
      <w:tr>
        <w:tblPrEx>
          <w:tblW w:w="8840" w:type="dxa"/>
          <w:tblInd w:w="108" w:type="dxa"/>
          <w:tblCellMar>
            <w:top w:w="0" w:type="dxa"/>
            <w:left w:w="108" w:type="dxa"/>
            <w:bottom w:w="0" w:type="dxa"/>
            <w:right w:w="108" w:type="dxa"/>
          </w:tblCellMar>
        </w:tblPrEx>
        <w:trPr>
          <w:cantSplit/>
          <w:trHeight w:val="612"/>
        </w:trPr>
        <w:tc>
          <w:tcPr>
            <w:tcW w:w="540" w:type="dxa"/>
            <w:noWrap w:val="0"/>
            <w:vAlign w:val="center"/>
          </w:tcPr>
          <w:p>
            <w:pPr>
              <w:jc w:val="center"/>
              <w:rPr>
                <w:rFonts w:ascii="宋体" w:hAnsi="宋体" w:hint="eastAsia"/>
                <w:spacing w:val="10"/>
                <w:sz w:val="28"/>
                <w:szCs w:val="28"/>
              </w:rPr>
            </w:pPr>
            <w:r>
              <w:rPr>
                <w:rFonts w:ascii="宋体" w:hAnsi="宋体" w:hint="eastAsia"/>
                <w:spacing w:val="10"/>
                <w:sz w:val="28"/>
                <w:szCs w:val="28"/>
              </w:rPr>
              <w:t>7</w:t>
            </w:r>
          </w:p>
        </w:tc>
        <w:tc>
          <w:tcPr>
            <w:tcW w:w="3060" w:type="dxa"/>
            <w:noWrap w:val="0"/>
            <w:vAlign w:val="center"/>
          </w:tcPr>
          <w:p>
            <w:pPr>
              <w:jc w:val="center"/>
              <w:rPr>
                <w:rFonts w:ascii="宋体" w:hAnsi="宋体" w:hint="eastAsia"/>
                <w:spacing w:val="10"/>
                <w:sz w:val="28"/>
                <w:szCs w:val="28"/>
              </w:rPr>
            </w:pPr>
            <w:r>
              <w:rPr>
                <w:rFonts w:ascii="宋体" w:hAnsi="宋体" w:hint="eastAsia"/>
                <w:spacing w:val="10"/>
                <w:sz w:val="28"/>
                <w:szCs w:val="28"/>
              </w:rPr>
              <w:t>预埋钢板中心线位置</w:t>
            </w:r>
          </w:p>
        </w:tc>
        <w:tc>
          <w:tcPr>
            <w:tcW w:w="9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1441"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2899" w:type="dxa"/>
            <w:noWrap w:val="0"/>
            <w:vAlign w:val="center"/>
          </w:tcPr>
          <w:p>
            <w:pPr>
              <w:jc w:val="center"/>
              <w:rPr>
                <w:rFonts w:ascii="宋体" w:hAnsi="宋体" w:hint="eastAsia"/>
                <w:spacing w:val="10"/>
                <w:sz w:val="28"/>
                <w:szCs w:val="28"/>
              </w:rPr>
            </w:pPr>
            <w:r>
              <w:rPr>
                <w:rFonts w:ascii="宋体" w:hAnsi="宋体" w:hint="eastAsia"/>
                <w:spacing w:val="10"/>
                <w:sz w:val="28"/>
                <w:szCs w:val="28"/>
              </w:rPr>
              <w:t>拉线和尺量检查</w:t>
            </w:r>
          </w:p>
        </w:tc>
      </w:tr>
    </w:tbl>
    <w:p>
      <w:pPr>
        <w:rPr>
          <w:rFonts w:ascii="宋体" w:hAnsi="宋体" w:hint="eastAsia"/>
          <w:spacing w:val="10"/>
          <w:sz w:val="28"/>
          <w:szCs w:val="28"/>
        </w:rPr>
      </w:pPr>
      <w:r>
        <w:rPr>
          <w:rFonts w:ascii="宋体" w:hAnsi="宋体" w:hint="eastAsia"/>
          <w:spacing w:val="10"/>
          <w:sz w:val="28"/>
          <w:szCs w:val="28"/>
        </w:rPr>
        <w:t>1.5.5模板拆除：非承重侧模应以能保证砼表面及棱角不损害时方可拆除，承重模板要依据同条件养护试块强度及《砼结构工程施工及验收规范》的要求确定拆模时间。模板拆除后放入模板存放场，设专人清除模板上余灰，部分修整，涂刷脱模剂。</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1.6混凝土工程</w:t>
      </w:r>
      <w:r>
        <w:rPr>
          <w:b/>
          <w:color w:val="FFFFFF"/>
          <w:sz w:val="0"/>
        </w:rPr>
        <w:t>.</w:t>
      </w:r>
    </w:p>
    <w:p>
      <w:pPr>
        <w:rPr>
          <w:rFonts w:ascii="宋体" w:hAnsi="宋体" w:hint="eastAsia"/>
          <w:spacing w:val="10"/>
          <w:sz w:val="28"/>
          <w:szCs w:val="28"/>
        </w:rPr>
      </w:pPr>
      <w:r>
        <w:rPr>
          <w:rFonts w:ascii="宋体" w:hAnsi="宋体" w:hint="eastAsia"/>
          <w:spacing w:val="10"/>
          <w:sz w:val="28"/>
          <w:szCs w:val="28"/>
        </w:rPr>
        <w:t>本工程采用商品混凝土。</w:t>
      </w:r>
      <w:r>
        <w:rPr>
          <w:b/>
          <w:color w:val="FFFFFF"/>
          <w:sz w:val="0"/>
        </w:rPr>
        <w:t>.</w:t>
      </w:r>
    </w:p>
    <w:p>
      <w:pPr>
        <w:rPr>
          <w:rFonts w:ascii="宋体" w:hAnsi="宋体" w:hint="eastAsia"/>
          <w:spacing w:val="10"/>
          <w:sz w:val="28"/>
          <w:szCs w:val="28"/>
        </w:rPr>
      </w:pPr>
      <w:r>
        <w:rPr>
          <w:rFonts w:ascii="宋体" w:hAnsi="宋体" w:hint="eastAsia"/>
          <w:spacing w:val="10"/>
          <w:sz w:val="28"/>
          <w:szCs w:val="28"/>
        </w:rPr>
        <w:t>1.6.1混凝土浇捣前要与搅拌站协调好机械、车辆、运输路线等，确保混凝土供应及时迅速不中断，并要求搅拌站及时通报混凝土配合比、原材料、材质情况。施工过程中，项目部定期到搅拌站检查配合比情况。施工现场做好准备工作，确保电机电器设备运转正常，劳动力组织充分，做好钢筋、模板的预检、隐检，以保证混凝土的施工质量。</w:t>
      </w:r>
      <w:r>
        <w:rPr>
          <w:b/>
          <w:color w:val="FFFFFF"/>
          <w:sz w:val="0"/>
        </w:rPr>
        <w:t>.</w:t>
      </w:r>
    </w:p>
    <w:p>
      <w:pPr>
        <w:rPr>
          <w:rFonts w:ascii="宋体" w:hAnsi="宋体" w:hint="eastAsia"/>
          <w:spacing w:val="10"/>
          <w:sz w:val="28"/>
          <w:szCs w:val="28"/>
        </w:rPr>
        <w:sectPr>
          <w:headerReference w:type="default" r:id="rId28"/>
          <w:footerReference w:type="even" r:id="rId29"/>
          <w:footerReference w:type="default" r:id="rId30"/>
          <w:type w:val="nextPage"/>
          <w:pgSz w:w="11906" w:h="16838"/>
          <w:pgMar w:top="1440" w:right="1418" w:bottom="1440" w:left="1814" w:header="851" w:footer="992" w:gutter="0"/>
          <w:pgNumType w:start="9"/>
          <w:cols w:num="1" w:space="425"/>
          <w:titlePg w:val="0"/>
          <w:docGrid w:type="lines" w:linePitch="312" w:charSpace="0"/>
        </w:sectPr>
      </w:pPr>
      <w:r>
        <w:rPr>
          <w:rFonts w:ascii="宋体" w:hAnsi="宋体" w:hint="eastAsia"/>
          <w:spacing w:val="10"/>
          <w:sz w:val="28"/>
          <w:szCs w:val="28"/>
        </w:rPr>
        <w:t>1.6.2浇筑：混凝土浇筑前要先清除模板内垃圾杂物，浇水湿润模板及施工缝处混凝土（但不得积水）。混凝土浇筑专人布料，专人振捣，并设专人看模、看钢筋，发现跑模、漏浆、钢筋位移要及时校正。严格控制布料速度和布料厚度，防止布料过快或混凝土浇筑间隔时间过长形成施工缝。混凝土振捣严格按技术规程要求快插慢拨，振动棒移动间距不大于400mm，振捣时间宜控制在15～30秒，且间隔20～30分钟后再进行二次振捣，以免形成漏浆麻面。</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构造柱混凝土浇筑时，每层浇筑高度不宜大于600，每段浇筑的间隔时间不应超过3小时，且在浇筑前在墙底部先放3-5㎝与墙体混凝土成分相同的水泥砂浆或减半石混凝土。为避免将门窗洞口挤歪，洞口两侧应同时下料浇筑。</w:t>
      </w:r>
      <w:r>
        <w:rPr>
          <w:b/>
          <w:color w:val="FFFFFF"/>
          <w:sz w:val="0"/>
        </w:rPr>
        <w:t>.</w:t>
      </w:r>
    </w:p>
    <w:p>
      <w:pPr>
        <w:jc w:val="center"/>
        <w:rPr>
          <w:rFonts w:ascii="宋体" w:hAnsi="宋体" w:hint="eastAsia"/>
          <w:bCs/>
          <w:spacing w:val="10"/>
          <w:sz w:val="28"/>
          <w:szCs w:val="28"/>
        </w:rPr>
      </w:pPr>
      <w:r>
        <w:rPr>
          <w:rFonts w:ascii="宋体" w:hAnsi="宋体" w:hint="eastAsia"/>
          <w:bCs/>
          <w:spacing w:val="10"/>
          <w:sz w:val="28"/>
          <w:szCs w:val="28"/>
        </w:rPr>
        <w:t>允 许 偏 差</w:t>
      </w:r>
      <w:r>
        <w:rPr>
          <w:b/>
          <w:color w:val="FFFFFF"/>
          <w:sz w:val="0"/>
        </w:rPr>
        <w:t>.</w:t>
      </w:r>
    </w:p>
    <w:tbl>
      <w:tblPr>
        <w:tblStyle w:val="TableNormal"/>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0"/>
        <w:gridCol w:w="540"/>
        <w:gridCol w:w="720"/>
        <w:gridCol w:w="1800"/>
        <w:gridCol w:w="1080"/>
        <w:gridCol w:w="3600"/>
      </w:tblGrid>
      <w:tr>
        <w:tblPrEx>
          <w:tblW w:w="84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163"/>
        </w:trPr>
        <w:tc>
          <w:tcPr>
            <w:tcW w:w="72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项次</w:t>
            </w:r>
          </w:p>
        </w:tc>
        <w:tc>
          <w:tcPr>
            <w:tcW w:w="3060" w:type="dxa"/>
            <w:gridSpan w:val="3"/>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项  目</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允许</w:t>
            </w:r>
          </w:p>
          <w:p>
            <w:pPr>
              <w:jc w:val="center"/>
              <w:rPr>
                <w:rFonts w:ascii="宋体" w:hAnsi="宋体" w:hint="eastAsia"/>
                <w:spacing w:val="10"/>
                <w:sz w:val="28"/>
                <w:szCs w:val="28"/>
              </w:rPr>
            </w:pPr>
            <w:r>
              <w:rPr>
                <w:rFonts w:ascii="宋体" w:hAnsi="宋体" w:hint="eastAsia"/>
                <w:spacing w:val="10"/>
                <w:sz w:val="28"/>
                <w:szCs w:val="28"/>
              </w:rPr>
              <w:t>偏差</w:t>
            </w:r>
          </w:p>
        </w:tc>
        <w:tc>
          <w:tcPr>
            <w:tcW w:w="360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检验方法</w:t>
            </w:r>
          </w:p>
        </w:tc>
      </w:tr>
      <w:tr>
        <w:tblPrEx>
          <w:tblW w:w="8460" w:type="dxa"/>
          <w:tblInd w:w="288" w:type="dxa"/>
          <w:tblLayout w:type="fixed"/>
          <w:tblCellMar>
            <w:top w:w="0" w:type="dxa"/>
            <w:left w:w="108" w:type="dxa"/>
            <w:bottom w:w="0" w:type="dxa"/>
            <w:right w:w="108" w:type="dxa"/>
          </w:tblCellMar>
        </w:tblPrEx>
        <w:trPr>
          <w:cantSplit/>
          <w:trHeight w:val="162"/>
        </w:trPr>
        <w:tc>
          <w:tcPr>
            <w:tcW w:w="720" w:type="dxa"/>
            <w:vMerge/>
            <w:noWrap w:val="0"/>
            <w:vAlign w:val="center"/>
          </w:tcPr>
          <w:p>
            <w:pPr>
              <w:jc w:val="center"/>
              <w:rPr>
                <w:rFonts w:ascii="宋体" w:hAnsi="宋体" w:hint="eastAsia"/>
                <w:spacing w:val="10"/>
                <w:sz w:val="28"/>
                <w:szCs w:val="28"/>
              </w:rPr>
            </w:pPr>
          </w:p>
        </w:tc>
        <w:tc>
          <w:tcPr>
            <w:tcW w:w="3060" w:type="dxa"/>
            <w:gridSpan w:val="3"/>
            <w:vMerge/>
            <w:noWrap w:val="0"/>
            <w:vAlign w:val="center"/>
          </w:tcPr>
          <w:p>
            <w:pPr>
              <w:jc w:val="center"/>
              <w:rPr>
                <w:rFonts w:ascii="宋体" w:hAnsi="宋体" w:hint="eastAsia"/>
                <w:spacing w:val="10"/>
                <w:sz w:val="28"/>
                <w:szCs w:val="28"/>
              </w:rPr>
            </w:pP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砖混</w:t>
            </w:r>
          </w:p>
        </w:tc>
        <w:tc>
          <w:tcPr>
            <w:tcW w:w="3600" w:type="dxa"/>
            <w:vMerge/>
            <w:noWrap w:val="0"/>
            <w:vAlign w:val="center"/>
          </w:tcPr>
          <w:p>
            <w:pPr>
              <w:jc w:val="center"/>
              <w:rPr>
                <w:rFonts w:ascii="宋体" w:hAnsi="宋体" w:hint="eastAsia"/>
                <w:spacing w:val="10"/>
                <w:sz w:val="28"/>
                <w:szCs w:val="28"/>
              </w:rPr>
            </w:pPr>
          </w:p>
        </w:tc>
      </w:tr>
      <w:tr>
        <w:tblPrEx>
          <w:tblW w:w="8460" w:type="dxa"/>
          <w:tblInd w:w="288" w:type="dxa"/>
          <w:tblLayout w:type="fixed"/>
          <w:tblCellMar>
            <w:top w:w="0" w:type="dxa"/>
            <w:left w:w="108" w:type="dxa"/>
            <w:bottom w:w="0" w:type="dxa"/>
            <w:right w:w="108" w:type="dxa"/>
          </w:tblCellMar>
        </w:tblPrEx>
        <w:trPr>
          <w:cantSplit/>
          <w:trHeight w:val="309"/>
        </w:trPr>
        <w:tc>
          <w:tcPr>
            <w:tcW w:w="72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w:t>
            </w:r>
          </w:p>
        </w:tc>
        <w:tc>
          <w:tcPr>
            <w:tcW w:w="3060"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构造柱中心线位置</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10</w:t>
            </w:r>
          </w:p>
        </w:tc>
        <w:tc>
          <w:tcPr>
            <w:tcW w:w="360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用经纬仪或尺量检查</w:t>
            </w:r>
          </w:p>
        </w:tc>
      </w:tr>
      <w:tr>
        <w:tblPrEx>
          <w:tblW w:w="8460" w:type="dxa"/>
          <w:tblInd w:w="288" w:type="dxa"/>
          <w:tblLayout w:type="fixed"/>
          <w:tblCellMar>
            <w:top w:w="0" w:type="dxa"/>
            <w:left w:w="108" w:type="dxa"/>
            <w:bottom w:w="0" w:type="dxa"/>
            <w:right w:w="108" w:type="dxa"/>
          </w:tblCellMar>
        </w:tblPrEx>
        <w:trPr>
          <w:cantSplit/>
          <w:trHeight w:val="325"/>
        </w:trPr>
        <w:tc>
          <w:tcPr>
            <w:tcW w:w="720" w:type="dxa"/>
            <w:noWrap w:val="0"/>
            <w:vAlign w:val="center"/>
          </w:tcPr>
          <w:p>
            <w:pPr>
              <w:jc w:val="center"/>
              <w:rPr>
                <w:rFonts w:ascii="宋体" w:hAnsi="宋体" w:hint="eastAsia"/>
                <w:spacing w:val="10"/>
                <w:sz w:val="28"/>
                <w:szCs w:val="28"/>
              </w:rPr>
            </w:pPr>
            <w:r>
              <w:rPr>
                <w:rFonts w:ascii="宋体" w:hAnsi="宋体" w:hint="eastAsia"/>
                <w:spacing w:val="10"/>
                <w:sz w:val="28"/>
                <w:szCs w:val="28"/>
              </w:rPr>
              <w:t>2</w:t>
            </w:r>
          </w:p>
        </w:tc>
        <w:tc>
          <w:tcPr>
            <w:tcW w:w="3060"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构造柱层间错位</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8</w:t>
            </w:r>
          </w:p>
        </w:tc>
        <w:tc>
          <w:tcPr>
            <w:tcW w:w="3600" w:type="dxa"/>
            <w:vMerge/>
            <w:noWrap w:val="0"/>
            <w:vAlign w:val="center"/>
          </w:tcPr>
          <w:p>
            <w:pPr>
              <w:jc w:val="center"/>
              <w:rPr>
                <w:rFonts w:ascii="宋体" w:hAnsi="宋体" w:hint="eastAsia"/>
                <w:spacing w:val="10"/>
                <w:sz w:val="28"/>
                <w:szCs w:val="28"/>
              </w:rPr>
            </w:pPr>
          </w:p>
        </w:tc>
      </w:tr>
      <w:tr>
        <w:tblPrEx>
          <w:tblW w:w="8460" w:type="dxa"/>
          <w:tblInd w:w="288" w:type="dxa"/>
          <w:tblLayout w:type="fixed"/>
          <w:tblCellMar>
            <w:top w:w="0" w:type="dxa"/>
            <w:left w:w="108" w:type="dxa"/>
            <w:bottom w:w="0" w:type="dxa"/>
            <w:right w:w="108" w:type="dxa"/>
          </w:tblCellMar>
        </w:tblPrEx>
        <w:trPr>
          <w:trHeight w:val="309"/>
        </w:trPr>
        <w:tc>
          <w:tcPr>
            <w:tcW w:w="720" w:type="dxa"/>
            <w:noWrap w:val="0"/>
            <w:vAlign w:val="center"/>
          </w:tcPr>
          <w:p>
            <w:pPr>
              <w:jc w:val="center"/>
              <w:rPr>
                <w:rFonts w:ascii="宋体" w:hAnsi="宋体" w:hint="eastAsia"/>
                <w:spacing w:val="10"/>
                <w:sz w:val="28"/>
                <w:szCs w:val="28"/>
              </w:rPr>
            </w:pPr>
            <w:r>
              <w:rPr>
                <w:rFonts w:ascii="宋体" w:hAnsi="宋体" w:hint="eastAsia"/>
                <w:spacing w:val="10"/>
                <w:sz w:val="28"/>
                <w:szCs w:val="28"/>
              </w:rPr>
              <w:t>3</w:t>
            </w:r>
          </w:p>
        </w:tc>
        <w:tc>
          <w:tcPr>
            <w:tcW w:w="3060"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标高（层高）</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±10</w:t>
            </w:r>
          </w:p>
        </w:tc>
        <w:tc>
          <w:tcPr>
            <w:tcW w:w="36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水准仪或尺量</w:t>
            </w:r>
          </w:p>
        </w:tc>
      </w:tr>
      <w:tr>
        <w:tblPrEx>
          <w:tblW w:w="8460" w:type="dxa"/>
          <w:tblInd w:w="288" w:type="dxa"/>
          <w:tblLayout w:type="fixed"/>
          <w:tblCellMar>
            <w:top w:w="0" w:type="dxa"/>
            <w:left w:w="108" w:type="dxa"/>
            <w:bottom w:w="0" w:type="dxa"/>
            <w:right w:w="108" w:type="dxa"/>
          </w:tblCellMar>
        </w:tblPrEx>
        <w:trPr>
          <w:trHeight w:val="636"/>
        </w:trPr>
        <w:tc>
          <w:tcPr>
            <w:tcW w:w="720" w:type="dxa"/>
            <w:noWrap w:val="0"/>
            <w:vAlign w:val="center"/>
          </w:tcPr>
          <w:p>
            <w:pPr>
              <w:jc w:val="center"/>
              <w:rPr>
                <w:rFonts w:ascii="宋体" w:hAnsi="宋体" w:hint="eastAsia"/>
                <w:spacing w:val="10"/>
                <w:sz w:val="28"/>
                <w:szCs w:val="28"/>
              </w:rPr>
            </w:pPr>
            <w:r>
              <w:rPr>
                <w:rFonts w:ascii="宋体" w:hAnsi="宋体" w:hint="eastAsia"/>
                <w:spacing w:val="10"/>
                <w:sz w:val="28"/>
                <w:szCs w:val="28"/>
              </w:rPr>
              <w:t>4</w:t>
            </w:r>
          </w:p>
        </w:tc>
        <w:tc>
          <w:tcPr>
            <w:tcW w:w="3060"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截面尺寸</w:t>
            </w:r>
          </w:p>
        </w:tc>
        <w:tc>
          <w:tcPr>
            <w:tcW w:w="1080" w:type="dxa"/>
            <w:noWrap w:val="0"/>
            <w:vAlign w:val="center"/>
          </w:tcPr>
          <w:p>
            <w:pPr>
              <w:jc w:val="center"/>
              <w:rPr>
                <w:rFonts w:ascii="宋体" w:hAnsi="宋体"/>
                <w:spacing w:val="10"/>
                <w:sz w:val="28"/>
                <w:szCs w:val="28"/>
              </w:rPr>
            </w:pPr>
            <w:r>
              <w:rPr>
                <w:rFonts w:ascii="宋体" w:hAnsi="宋体" w:hint="eastAsia"/>
                <w:spacing w:val="10"/>
                <w:sz w:val="28"/>
                <w:szCs w:val="28"/>
              </w:rPr>
              <w:t>+</w:t>
            </w:r>
            <w:r>
              <w:rPr>
                <w:rFonts w:ascii="宋体" w:hAnsi="宋体"/>
                <w:spacing w:val="10"/>
                <w:sz w:val="28"/>
                <w:szCs w:val="28"/>
              </w:rPr>
              <w:t>8</w:t>
            </w:r>
          </w:p>
          <w:p>
            <w:pPr>
              <w:jc w:val="center"/>
              <w:rPr>
                <w:rFonts w:ascii="宋体" w:hAnsi="宋体"/>
                <w:spacing w:val="10"/>
                <w:sz w:val="28"/>
                <w:szCs w:val="28"/>
              </w:rPr>
            </w:pPr>
            <w:r>
              <w:rPr>
                <w:rFonts w:ascii="宋体" w:hAnsi="宋体" w:hint="eastAsia"/>
                <w:spacing w:val="10"/>
                <w:sz w:val="28"/>
                <w:szCs w:val="28"/>
              </w:rPr>
              <w:t>-</w:t>
            </w:r>
            <w:r>
              <w:rPr>
                <w:rFonts w:ascii="宋体" w:hAnsi="宋体"/>
                <w:spacing w:val="10"/>
                <w:sz w:val="28"/>
                <w:szCs w:val="28"/>
              </w:rPr>
              <w:t>5</w:t>
            </w:r>
          </w:p>
        </w:tc>
        <w:tc>
          <w:tcPr>
            <w:tcW w:w="36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尺量检查</w:t>
            </w:r>
          </w:p>
        </w:tc>
      </w:tr>
      <w:tr>
        <w:tblPrEx>
          <w:tblW w:w="8460" w:type="dxa"/>
          <w:tblInd w:w="288" w:type="dxa"/>
          <w:tblLayout w:type="fixed"/>
          <w:tblCellMar>
            <w:top w:w="0" w:type="dxa"/>
            <w:left w:w="108" w:type="dxa"/>
            <w:bottom w:w="0" w:type="dxa"/>
            <w:right w:w="108" w:type="dxa"/>
          </w:tblCellMar>
        </w:tblPrEx>
        <w:trPr>
          <w:cantSplit/>
          <w:trHeight w:val="163"/>
        </w:trPr>
        <w:tc>
          <w:tcPr>
            <w:tcW w:w="72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5</w:t>
            </w:r>
          </w:p>
        </w:tc>
        <w:tc>
          <w:tcPr>
            <w:tcW w:w="54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垂直度</w:t>
            </w:r>
          </w:p>
        </w:tc>
        <w:tc>
          <w:tcPr>
            <w:tcW w:w="2520" w:type="dxa"/>
            <w:gridSpan w:val="2"/>
            <w:noWrap w:val="0"/>
            <w:vAlign w:val="center"/>
          </w:tcPr>
          <w:p>
            <w:pPr>
              <w:jc w:val="center"/>
              <w:rPr>
                <w:rFonts w:ascii="宋体" w:hAnsi="宋体" w:hint="eastAsia"/>
                <w:spacing w:val="10"/>
                <w:sz w:val="28"/>
                <w:szCs w:val="28"/>
              </w:rPr>
            </w:pPr>
            <w:r>
              <w:rPr>
                <w:rFonts w:ascii="宋体" w:hAnsi="宋体" w:hint="eastAsia"/>
                <w:spacing w:val="10"/>
                <w:sz w:val="28"/>
                <w:szCs w:val="28"/>
              </w:rPr>
              <w:t>每 层</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10</w:t>
            </w:r>
          </w:p>
        </w:tc>
        <w:tc>
          <w:tcPr>
            <w:tcW w:w="36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用2m托线板检查</w:t>
            </w:r>
          </w:p>
        </w:tc>
      </w:tr>
      <w:tr>
        <w:tblPrEx>
          <w:tblW w:w="8460" w:type="dxa"/>
          <w:tblInd w:w="288" w:type="dxa"/>
          <w:tblLayout w:type="fixed"/>
          <w:tblCellMar>
            <w:top w:w="0" w:type="dxa"/>
            <w:left w:w="108" w:type="dxa"/>
            <w:bottom w:w="0" w:type="dxa"/>
            <w:right w:w="108" w:type="dxa"/>
          </w:tblCellMar>
        </w:tblPrEx>
        <w:trPr>
          <w:cantSplit/>
          <w:trHeight w:val="163"/>
        </w:trPr>
        <w:tc>
          <w:tcPr>
            <w:tcW w:w="720" w:type="dxa"/>
            <w:vMerge/>
            <w:noWrap w:val="0"/>
            <w:vAlign w:val="center"/>
          </w:tcPr>
          <w:p>
            <w:pPr>
              <w:jc w:val="center"/>
              <w:rPr>
                <w:rFonts w:ascii="宋体" w:hAnsi="宋体" w:hint="eastAsia"/>
                <w:spacing w:val="10"/>
                <w:sz w:val="28"/>
                <w:szCs w:val="28"/>
              </w:rPr>
            </w:pPr>
          </w:p>
        </w:tc>
        <w:tc>
          <w:tcPr>
            <w:tcW w:w="540" w:type="dxa"/>
            <w:vMerge/>
            <w:noWrap w:val="0"/>
            <w:vAlign w:val="center"/>
          </w:tcPr>
          <w:p>
            <w:pPr>
              <w:jc w:val="center"/>
              <w:rPr>
                <w:rFonts w:ascii="宋体" w:hAnsi="宋体" w:hint="eastAsia"/>
                <w:spacing w:val="10"/>
                <w:sz w:val="28"/>
                <w:szCs w:val="28"/>
              </w:rPr>
            </w:pPr>
          </w:p>
        </w:tc>
        <w:tc>
          <w:tcPr>
            <w:tcW w:w="72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全高</w:t>
            </w:r>
          </w:p>
        </w:tc>
        <w:tc>
          <w:tcPr>
            <w:tcW w:w="18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10m以下</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15</w:t>
            </w:r>
          </w:p>
        </w:tc>
        <w:tc>
          <w:tcPr>
            <w:tcW w:w="3600" w:type="dxa"/>
            <w:vMerge w:val="restart"/>
            <w:noWrap w:val="0"/>
            <w:vAlign w:val="center"/>
          </w:tcPr>
          <w:p>
            <w:pPr>
              <w:jc w:val="center"/>
              <w:rPr>
                <w:rFonts w:ascii="宋体" w:hAnsi="宋体" w:hint="eastAsia"/>
                <w:spacing w:val="10"/>
                <w:sz w:val="28"/>
                <w:szCs w:val="28"/>
              </w:rPr>
            </w:pPr>
            <w:r>
              <w:rPr>
                <w:rFonts w:ascii="宋体" w:hAnsi="宋体" w:hint="eastAsia"/>
                <w:spacing w:val="10"/>
                <w:sz w:val="28"/>
                <w:szCs w:val="28"/>
              </w:rPr>
              <w:t>用经纬仪或吊线检查</w:t>
            </w:r>
          </w:p>
        </w:tc>
      </w:tr>
      <w:tr>
        <w:tblPrEx>
          <w:tblW w:w="8460" w:type="dxa"/>
          <w:tblInd w:w="288" w:type="dxa"/>
          <w:tblLayout w:type="fixed"/>
          <w:tblCellMar>
            <w:top w:w="0" w:type="dxa"/>
            <w:left w:w="108" w:type="dxa"/>
            <w:bottom w:w="0" w:type="dxa"/>
            <w:right w:w="108" w:type="dxa"/>
          </w:tblCellMar>
        </w:tblPrEx>
        <w:trPr>
          <w:cantSplit/>
          <w:trHeight w:val="162"/>
        </w:trPr>
        <w:tc>
          <w:tcPr>
            <w:tcW w:w="720" w:type="dxa"/>
            <w:vMerge/>
            <w:noWrap w:val="0"/>
            <w:vAlign w:val="center"/>
          </w:tcPr>
          <w:p>
            <w:pPr>
              <w:jc w:val="center"/>
              <w:rPr>
                <w:rFonts w:ascii="宋体" w:hAnsi="宋体" w:hint="eastAsia"/>
                <w:spacing w:val="10"/>
                <w:sz w:val="28"/>
                <w:szCs w:val="28"/>
              </w:rPr>
            </w:pPr>
          </w:p>
        </w:tc>
        <w:tc>
          <w:tcPr>
            <w:tcW w:w="540" w:type="dxa"/>
            <w:vMerge/>
            <w:noWrap w:val="0"/>
            <w:vAlign w:val="center"/>
          </w:tcPr>
          <w:p>
            <w:pPr>
              <w:jc w:val="center"/>
              <w:rPr>
                <w:rFonts w:ascii="宋体" w:hAnsi="宋体" w:hint="eastAsia"/>
                <w:spacing w:val="10"/>
                <w:sz w:val="28"/>
                <w:szCs w:val="28"/>
              </w:rPr>
            </w:pPr>
          </w:p>
        </w:tc>
        <w:tc>
          <w:tcPr>
            <w:tcW w:w="720" w:type="dxa"/>
            <w:vMerge/>
            <w:noWrap w:val="0"/>
            <w:vAlign w:val="center"/>
          </w:tcPr>
          <w:p>
            <w:pPr>
              <w:jc w:val="center"/>
              <w:rPr>
                <w:rFonts w:ascii="宋体" w:hAnsi="宋体" w:hint="eastAsia"/>
                <w:spacing w:val="10"/>
                <w:sz w:val="28"/>
                <w:szCs w:val="28"/>
              </w:rPr>
            </w:pPr>
          </w:p>
        </w:tc>
        <w:tc>
          <w:tcPr>
            <w:tcW w:w="18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10m以上</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20</w:t>
            </w:r>
          </w:p>
        </w:tc>
        <w:tc>
          <w:tcPr>
            <w:tcW w:w="3600" w:type="dxa"/>
            <w:vMerge/>
            <w:noWrap w:val="0"/>
            <w:vAlign w:val="center"/>
          </w:tcPr>
          <w:p>
            <w:pPr>
              <w:jc w:val="center"/>
              <w:rPr>
                <w:rFonts w:ascii="宋体" w:hAnsi="宋体" w:hint="eastAsia"/>
                <w:spacing w:val="10"/>
                <w:sz w:val="28"/>
                <w:szCs w:val="28"/>
              </w:rPr>
            </w:pPr>
          </w:p>
        </w:tc>
      </w:tr>
      <w:tr>
        <w:tblPrEx>
          <w:tblW w:w="8460" w:type="dxa"/>
          <w:tblInd w:w="288" w:type="dxa"/>
          <w:tblLayout w:type="fixed"/>
          <w:tblCellMar>
            <w:top w:w="0" w:type="dxa"/>
            <w:left w:w="108" w:type="dxa"/>
            <w:bottom w:w="0" w:type="dxa"/>
            <w:right w:w="108" w:type="dxa"/>
          </w:tblCellMar>
        </w:tblPrEx>
        <w:trPr>
          <w:trHeight w:val="325"/>
        </w:trPr>
        <w:tc>
          <w:tcPr>
            <w:tcW w:w="720" w:type="dxa"/>
            <w:noWrap w:val="0"/>
            <w:vAlign w:val="center"/>
          </w:tcPr>
          <w:p>
            <w:pPr>
              <w:jc w:val="center"/>
              <w:rPr>
                <w:rFonts w:ascii="宋体" w:hAnsi="宋体" w:hint="eastAsia"/>
                <w:spacing w:val="10"/>
                <w:sz w:val="28"/>
                <w:szCs w:val="28"/>
              </w:rPr>
            </w:pPr>
            <w:r>
              <w:rPr>
                <w:rFonts w:ascii="宋体" w:hAnsi="宋体" w:hint="eastAsia"/>
                <w:spacing w:val="10"/>
                <w:sz w:val="28"/>
                <w:szCs w:val="28"/>
              </w:rPr>
              <w:t>6</w:t>
            </w:r>
          </w:p>
        </w:tc>
        <w:tc>
          <w:tcPr>
            <w:tcW w:w="3060" w:type="dxa"/>
            <w:gridSpan w:val="3"/>
            <w:noWrap w:val="0"/>
            <w:vAlign w:val="center"/>
          </w:tcPr>
          <w:p>
            <w:pPr>
              <w:jc w:val="center"/>
              <w:rPr>
                <w:rFonts w:ascii="宋体" w:hAnsi="宋体" w:hint="eastAsia"/>
                <w:spacing w:val="10"/>
                <w:sz w:val="28"/>
                <w:szCs w:val="28"/>
              </w:rPr>
            </w:pPr>
            <w:r>
              <w:rPr>
                <w:rFonts w:ascii="宋体" w:hAnsi="宋体" w:hint="eastAsia"/>
                <w:spacing w:val="10"/>
                <w:sz w:val="28"/>
                <w:szCs w:val="28"/>
              </w:rPr>
              <w:t>表面平整度</w:t>
            </w:r>
          </w:p>
        </w:tc>
        <w:tc>
          <w:tcPr>
            <w:tcW w:w="1080" w:type="dxa"/>
            <w:noWrap w:val="0"/>
            <w:vAlign w:val="center"/>
          </w:tcPr>
          <w:p>
            <w:pPr>
              <w:jc w:val="center"/>
              <w:rPr>
                <w:rFonts w:ascii="宋体" w:hAnsi="宋体" w:hint="eastAsia"/>
                <w:spacing w:val="10"/>
                <w:sz w:val="28"/>
                <w:szCs w:val="28"/>
              </w:rPr>
            </w:pPr>
            <w:r>
              <w:rPr>
                <w:rFonts w:ascii="宋体" w:hAnsi="宋体" w:hint="eastAsia"/>
                <w:spacing w:val="10"/>
                <w:sz w:val="28"/>
                <w:szCs w:val="28"/>
              </w:rPr>
              <w:t>8</w:t>
            </w:r>
          </w:p>
        </w:tc>
        <w:tc>
          <w:tcPr>
            <w:tcW w:w="3600" w:type="dxa"/>
            <w:noWrap w:val="0"/>
            <w:vAlign w:val="center"/>
          </w:tcPr>
          <w:p>
            <w:pPr>
              <w:jc w:val="center"/>
              <w:rPr>
                <w:rFonts w:ascii="宋体" w:hAnsi="宋体" w:hint="eastAsia"/>
                <w:spacing w:val="10"/>
                <w:sz w:val="28"/>
                <w:szCs w:val="28"/>
              </w:rPr>
            </w:pPr>
            <w:r>
              <w:rPr>
                <w:rFonts w:ascii="宋体" w:hAnsi="宋体" w:hint="eastAsia"/>
                <w:spacing w:val="10"/>
                <w:sz w:val="28"/>
                <w:szCs w:val="28"/>
              </w:rPr>
              <w:t>用2m靠尺和楔形塞尺检查</w:t>
            </w:r>
          </w:p>
        </w:tc>
      </w:tr>
    </w:tbl>
    <w:p>
      <w:pPr>
        <w:ind w:firstLine="560" w:firstLineChars="200"/>
        <w:rPr>
          <w:rFonts w:ascii="宋体" w:hAnsi="宋体" w:hint="eastAsia"/>
          <w:spacing w:val="10"/>
          <w:sz w:val="28"/>
          <w:szCs w:val="28"/>
        </w:rPr>
        <w:sectPr>
          <w:headerReference w:type="default" r:id="rId31"/>
          <w:footerReference w:type="even" r:id="rId32"/>
          <w:footerReference w:type="default" r:id="rId33"/>
          <w:type w:val="nextPage"/>
          <w:pgSz w:w="11906" w:h="16838"/>
          <w:pgMar w:top="1440" w:right="1418" w:bottom="1440" w:left="1814" w:header="851" w:footer="992" w:gutter="0"/>
          <w:pgNumType w:start="10"/>
          <w:cols w:num="1" w:space="425"/>
          <w:titlePg w:val="0"/>
          <w:docGrid w:type="lines" w:linePitch="312" w:charSpace="0"/>
        </w:sectPr>
      </w:pPr>
      <w:r>
        <w:rPr>
          <w:rFonts w:ascii="宋体" w:hAnsi="宋体" w:hint="eastAsia"/>
          <w:spacing w:val="10"/>
          <w:sz w:val="28"/>
          <w:szCs w:val="28"/>
        </w:rPr>
        <w:t>圈梁与楼板混凝土一起浇筑，先浇筑至板下口，剩余部分与板一同浇筑。</w:t>
      </w:r>
    </w:p>
    <w:p>
      <w:pPr>
        <w:ind w:firstLine="560" w:firstLineChars="200"/>
        <w:rPr>
          <w:rFonts w:ascii="宋体" w:hAnsi="宋体" w:hint="eastAsia"/>
          <w:spacing w:val="10"/>
          <w:sz w:val="28"/>
          <w:szCs w:val="28"/>
        </w:rPr>
      </w:pPr>
      <w:r>
        <w:rPr>
          <w:rFonts w:ascii="宋体" w:hAnsi="宋体" w:hint="eastAsia"/>
          <w:spacing w:val="10"/>
          <w:sz w:val="28"/>
          <w:szCs w:val="28"/>
        </w:rPr>
        <w:t xml:space="preserve"> 浇筑过程中板上堆积混凝土高度不能超过500mm，应随布料随振捣，遇特殊天气要及时覆盖塑料薄膜。为防止表面裂缝，应在混凝土表面收干后，用木抹子将混凝土表面搓平压实，至少三遍，最后一遍收抹时间掌握在终凝前完成。</w:t>
      </w:r>
      <w:r>
        <w:rPr>
          <w:b/>
          <w:color w:val="FFFFFF"/>
          <w:sz w:val="0"/>
        </w:rPr>
        <w:t>.</w:t>
      </w:r>
    </w:p>
    <w:p>
      <w:pPr>
        <w:rPr>
          <w:rFonts w:ascii="宋体" w:hAnsi="宋体"/>
          <w:spacing w:val="10"/>
          <w:sz w:val="28"/>
          <w:szCs w:val="28"/>
        </w:rPr>
      </w:pPr>
      <w:r>
        <w:rPr>
          <w:rFonts w:ascii="宋体" w:hAnsi="宋体" w:hint="eastAsia"/>
          <w:spacing w:val="10"/>
          <w:sz w:val="28"/>
          <w:szCs w:val="28"/>
        </w:rPr>
        <w:t>1.6.3混凝土养护：基础底板混凝土养护采用覆盖草袋片浇水，楼板及时覆盖草袋片浇水养护，浇水次数以保证混凝土表面始终处于湿润状态为准，养护时间不少于７天。构造柱混凝土模板拆除后及时喷洒表面硬化剂养护。</w:t>
      </w:r>
      <w:r>
        <w:rPr>
          <w:b/>
          <w:color w:val="FFFFFF"/>
          <w:sz w:val="0"/>
        </w:rPr>
        <w:t>.</w:t>
      </w:r>
    </w:p>
    <w:p>
      <w:pPr>
        <w:rPr>
          <w:rFonts w:ascii="宋体" w:hAnsi="宋体"/>
          <w:spacing w:val="10"/>
          <w:sz w:val="28"/>
          <w:szCs w:val="28"/>
        </w:rPr>
      </w:pPr>
      <w:r>
        <w:rPr>
          <w:rFonts w:ascii="宋体" w:hAnsi="宋体" w:hint="eastAsia"/>
          <w:spacing w:val="10"/>
          <w:sz w:val="28"/>
          <w:szCs w:val="28"/>
        </w:rPr>
        <w:t>1.6.4混凝土施工缝的留置：构造柱水平施工缝留在楼板的上平面和下平面处；楼板施工缝留置在跨中1/3范围内，单向受力板必须在与受力钢筋平行的方向留置；楼梯施工缝留置在梯段跨中1/3范围内。</w:t>
      </w:r>
      <w:r>
        <w:rPr>
          <w:b/>
          <w:color w:val="FFFFFF"/>
          <w:sz w:val="0"/>
        </w:rPr>
        <w:t>.</w:t>
      </w:r>
    </w:p>
    <w:p>
      <w:pPr>
        <w:ind w:firstLine="560" w:firstLineChars="200"/>
        <w:rPr>
          <w:rFonts w:ascii="宋体" w:hAnsi="宋体" w:hint="eastAsia"/>
          <w:b/>
          <w:bCs/>
          <w:spacing w:val="10"/>
          <w:sz w:val="28"/>
          <w:szCs w:val="28"/>
        </w:rPr>
      </w:pPr>
      <w:r>
        <w:rPr>
          <w:rFonts w:ascii="宋体" w:hAnsi="宋体" w:hint="eastAsia"/>
          <w:spacing w:val="10"/>
          <w:sz w:val="28"/>
          <w:szCs w:val="28"/>
        </w:rPr>
        <w:t>混凝土浇筑时不得污染墙面，不得碰动钢筋、埋件、防止移位；钢筋有踩弯、位移或脱扣时，及时调整补好；散落在楼板上的混凝土应及时清理干净。</w:t>
      </w:r>
      <w:r>
        <w:rPr>
          <w:b/>
          <w:color w:val="FFFFFF"/>
          <w:sz w:val="0"/>
        </w:rPr>
        <w:t>.</w:t>
      </w:r>
    </w:p>
    <w:p>
      <w:pPr>
        <w:rPr>
          <w:rFonts w:ascii="宋体" w:hAnsi="宋体" w:hint="eastAsia"/>
          <w:spacing w:val="10"/>
          <w:sz w:val="28"/>
          <w:szCs w:val="28"/>
        </w:rPr>
      </w:pPr>
      <w:r>
        <w:rPr>
          <w:rFonts w:ascii="宋体" w:hAnsi="宋体" w:hint="eastAsia"/>
          <w:spacing w:val="10"/>
          <w:sz w:val="28"/>
          <w:szCs w:val="28"/>
        </w:rPr>
        <w:t>1.6.5特殊部位的细部处理：</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地下室管道穿过墙壁时，管道外边不加套管时，如下图。预留洞后放管，管道加钢板。浇筑时特别注意管道和止水环周围的混凝土振捣密实，尤其是管道底部更应仔细振捣。</w:t>
      </w:r>
      <w:r>
        <w:rPr>
          <w:b/>
          <w:color w:val="FFFFFF"/>
          <w:sz w:val="0"/>
        </w:rPr>
        <w:t>.</w:t>
      </w:r>
    </w:p>
    <w:p>
      <w:pPr>
        <w:ind w:firstLine="560"/>
        <w:rPr>
          <w:rFonts w:ascii="宋体" w:hAnsi="宋体" w:hint="eastAsia"/>
          <w:bCs/>
          <w:spacing w:val="10"/>
          <w:sz w:val="28"/>
          <w:szCs w:val="28"/>
        </w:rPr>
      </w:pPr>
      <w:r>
        <w:rPr>
          <w:rFonts w:ascii="宋体" w:hAnsi="宋体" w:hint="eastAsia"/>
          <w:spacing w:val="10"/>
          <w:sz w:val="28"/>
          <w:szCs w:val="28"/>
        </w:rPr>
        <w:t>穿墙管道加套管，</w:t>
      </w:r>
      <w:r>
        <w:rPr>
          <w:rFonts w:ascii="宋体" w:hAnsi="宋体" w:hint="eastAsia"/>
          <w:bCs/>
          <w:spacing w:val="10"/>
          <w:sz w:val="28"/>
          <w:szCs w:val="28"/>
        </w:rPr>
        <w:t>在套管上加焊钢板止水环，止水环应与套管满焊严密。安装管道时，先将管道插入预埋套管，按设计尺寸找准，然后一端以封口钢板将套管及穿墙管焊牢，另一端套管与管道间缝隙填满防水油膏，用封口钢板封堵严密。</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1.7脚手架搭设工程</w:t>
      </w:r>
      <w:r>
        <w:rPr>
          <w:b/>
          <w:color w:val="FFFFFF"/>
          <w:sz w:val="0"/>
        </w:rPr>
        <w:t>.</w:t>
      </w:r>
    </w:p>
    <w:p>
      <w:pPr>
        <w:rPr>
          <w:rFonts w:ascii="宋体" w:hAnsi="宋体" w:hint="eastAsia"/>
          <w:spacing w:val="10"/>
          <w:sz w:val="28"/>
          <w:szCs w:val="28"/>
        </w:rPr>
        <w:sectPr>
          <w:headerReference w:type="default" r:id="rId34"/>
          <w:footerReference w:type="even" r:id="rId35"/>
          <w:footerReference w:type="default" r:id="rId36"/>
          <w:type w:val="nextPage"/>
          <w:pgSz w:w="11906" w:h="16838"/>
          <w:pgMar w:top="1440" w:right="1418" w:bottom="1440" w:left="1814" w:header="851" w:footer="992" w:gutter="0"/>
          <w:pgNumType w:start="11"/>
          <w:cols w:num="1" w:space="425"/>
          <w:titlePg w:val="0"/>
          <w:docGrid w:type="lines" w:linePitch="312" w:charSpace="0"/>
        </w:sectPr>
      </w:pPr>
      <w:r>
        <w:rPr>
          <w:rFonts w:ascii="宋体" w:hAnsi="宋体" w:hint="eastAsia"/>
          <w:spacing w:val="10"/>
          <w:sz w:val="28"/>
          <w:szCs w:val="28"/>
        </w:rPr>
        <w:t>1.7.1内脚手架</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主体施工采用碗扣式脚手架，兼做模板支撑，横杆间距不大于1.8 m；砌体施工及内抹灰施工采用简易工具式脚手架。</w:t>
      </w:r>
      <w:r>
        <w:rPr>
          <w:b/>
          <w:color w:val="FFFFFF"/>
          <w:sz w:val="0"/>
        </w:rPr>
        <w:t>.</w:t>
      </w:r>
    </w:p>
    <w:p>
      <w:pPr>
        <w:rPr>
          <w:rFonts w:ascii="宋体" w:hAnsi="宋体" w:hint="eastAsia"/>
          <w:spacing w:val="10"/>
          <w:sz w:val="28"/>
          <w:szCs w:val="28"/>
        </w:rPr>
      </w:pPr>
      <w:r>
        <w:rPr>
          <w:rFonts w:ascii="宋体" w:hAnsi="宋体" w:hint="eastAsia"/>
          <w:spacing w:val="10"/>
          <w:sz w:val="28"/>
          <w:szCs w:val="28"/>
        </w:rPr>
        <w:t>1.7.2外脚手架</w:t>
      </w:r>
      <w:r>
        <w:rPr>
          <w:b/>
          <w:color w:val="FFFFFF"/>
          <w:sz w:val="0"/>
        </w:rPr>
        <w:t>.</w:t>
      </w:r>
    </w:p>
    <w:p>
      <w:pPr>
        <w:ind w:firstLine="560" w:firstLineChars="200"/>
        <w:rPr>
          <w:rFonts w:ascii="宋体" w:hAnsi="宋体" w:hint="eastAsia"/>
          <w:b/>
          <w:bCs/>
          <w:i/>
          <w:iCs/>
          <w:spacing w:val="10"/>
          <w:sz w:val="28"/>
          <w:szCs w:val="28"/>
          <w:u w:val="single"/>
          <w:shd w:val="pct10" w:color="auto" w:fill="FFFFFF"/>
        </w:rPr>
      </w:pPr>
      <w:r>
        <w:rPr>
          <w:rFonts w:ascii="宋体" w:hAnsi="宋体" w:hint="eastAsia"/>
          <w:spacing w:val="10"/>
          <w:sz w:val="28"/>
          <w:szCs w:val="28"/>
        </w:rPr>
        <w:t>主体施工阶段，采用φ48×4.5㎜钢管搭设双排落地脚手架。立杆间距为1.2 m，排距1 m，横杆步距1.5 m，连墙杆采用刚性连接，每三步距设一道，间距4.6 m，梅花型布置。外立杆内侧用密目式安全网全封闭，在西侧原有建筑物范围内，除挂密目网外加挂一层竹笆片封闭，既防止物体外坠又隔音降噪。</w:t>
      </w:r>
      <w:r>
        <w:rPr>
          <w:b/>
          <w:color w:val="FFFFFF"/>
          <w:sz w:val="0"/>
        </w:rPr>
        <w:t>.</w:t>
      </w:r>
    </w:p>
    <w:p>
      <w:pPr>
        <w:rPr>
          <w:rFonts w:ascii="宋体" w:hAnsi="宋体" w:hint="eastAsia"/>
          <w:spacing w:val="10"/>
          <w:sz w:val="28"/>
          <w:szCs w:val="28"/>
          <w:shd w:val="pct10" w:color="auto" w:fill="FFFFFF"/>
        </w:rPr>
      </w:pPr>
      <w:r>
        <w:rPr>
          <w:rFonts w:ascii="宋体" w:hAnsi="宋体" w:hint="eastAsia"/>
          <w:spacing w:val="10"/>
          <w:sz w:val="28"/>
          <w:szCs w:val="28"/>
        </w:rPr>
        <w:t>1.7.3临边防护：均采用φ48钢管焊制临边防护栏杆，栏杆高度不小于1.1 m，均分设置三道水平横杆，立杆间距不大于1.8 m。</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楼梯间防护：用钢管搭设成临时栏杆，高1.2米，挂密目网围护。</w:t>
      </w:r>
      <w:r>
        <w:rPr>
          <w:b/>
          <w:color w:val="FFFFFF"/>
          <w:sz w:val="0"/>
        </w:rPr>
        <w:t>.</w:t>
      </w:r>
    </w:p>
    <w:p>
      <w:pPr>
        <w:ind w:firstLine="560" w:firstLineChars="200"/>
        <w:rPr>
          <w:rFonts w:ascii="宋体" w:hAnsi="宋体" w:hint="eastAsia"/>
          <w:b/>
          <w:bCs/>
          <w:i/>
          <w:iCs/>
          <w:spacing w:val="10"/>
          <w:sz w:val="28"/>
          <w:szCs w:val="28"/>
          <w:u w:val="single"/>
          <w:shd w:val="pct10" w:color="auto" w:fill="FFFFFF"/>
        </w:rPr>
      </w:pPr>
      <w:r>
        <w:rPr>
          <w:rFonts w:ascii="宋体" w:hAnsi="宋体" w:hint="eastAsia"/>
          <w:spacing w:val="10"/>
          <w:sz w:val="28"/>
          <w:szCs w:val="28"/>
        </w:rPr>
        <w:t>楼板预留洞口防护：小于φ300的洞口用砂袋搁置防护，大于φ300的洞口满铺脚手板，并设禁止挪用标志。</w:t>
      </w:r>
      <w:r>
        <w:rPr>
          <w:b/>
          <w:color w:val="FFFFFF"/>
          <w:sz w:val="0"/>
        </w:rPr>
        <w:t>.</w:t>
      </w:r>
    </w:p>
    <w:p>
      <w:pPr>
        <w:ind w:firstLine="560" w:firstLineChars="200"/>
        <w:rPr>
          <w:rFonts w:ascii="宋体" w:hAnsi="宋体" w:hint="eastAsia"/>
          <w:spacing w:val="10"/>
          <w:sz w:val="28"/>
          <w:szCs w:val="28"/>
          <w:shd w:val="pct10" w:color="auto" w:fill="FFFFFF"/>
        </w:rPr>
      </w:pPr>
      <w:r>
        <w:rPr>
          <w:rFonts w:ascii="宋体" w:hAnsi="宋体" w:hint="eastAsia"/>
          <w:spacing w:val="10"/>
          <w:sz w:val="28"/>
          <w:szCs w:val="28"/>
        </w:rPr>
        <w:t>通道口防护：在各个进楼口通道搭设防护棚，防护棚采用钢管脚手架，上铺50厚脚手板、竹荆笆、围墙布各一层，侧边用密目式安全网封闭围护。</w:t>
      </w:r>
      <w:r>
        <w:rPr>
          <w:b/>
          <w:color w:val="FFFFFF"/>
          <w:sz w:val="0"/>
        </w:rPr>
        <w:t>.</w:t>
      </w:r>
    </w:p>
    <w:p>
      <w:pPr>
        <w:rPr>
          <w:rFonts w:ascii="宋体" w:hAnsi="宋体" w:hint="eastAsia"/>
          <w:spacing w:val="10"/>
          <w:sz w:val="28"/>
          <w:szCs w:val="28"/>
        </w:rPr>
      </w:pPr>
      <w:r>
        <w:rPr>
          <w:rFonts w:ascii="宋体" w:hAnsi="宋体" w:hint="eastAsia"/>
          <w:spacing w:val="10"/>
          <w:sz w:val="28"/>
          <w:szCs w:val="28"/>
        </w:rPr>
        <w:t>1.7</w:t>
      </w:r>
      <w:r>
        <w:rPr>
          <w:rFonts w:ascii="宋体" w:hAnsi="宋体"/>
          <w:spacing w:val="10"/>
          <w:sz w:val="28"/>
          <w:szCs w:val="28"/>
        </w:rPr>
        <w:t>.</w:t>
      </w:r>
      <w:r>
        <w:rPr>
          <w:rFonts w:ascii="宋体" w:hAnsi="宋体" w:hint="eastAsia"/>
          <w:spacing w:val="10"/>
          <w:sz w:val="28"/>
          <w:szCs w:val="28"/>
        </w:rPr>
        <w:t>4脚手架的拆除</w:t>
      </w:r>
      <w:r>
        <w:rPr>
          <w:b/>
          <w:color w:val="FFFFFF"/>
          <w:sz w:val="0"/>
        </w:rPr>
        <w:t>.</w:t>
      </w:r>
    </w:p>
    <w:p>
      <w:pPr>
        <w:ind w:firstLine="810"/>
        <w:rPr>
          <w:rFonts w:ascii="宋体" w:hAnsi="宋体"/>
          <w:spacing w:val="10"/>
          <w:sz w:val="28"/>
          <w:szCs w:val="28"/>
        </w:rPr>
      </w:pPr>
      <w:r>
        <w:rPr>
          <w:rFonts w:ascii="宋体" w:hAnsi="宋体" w:hint="eastAsia"/>
          <w:spacing w:val="10"/>
          <w:sz w:val="28"/>
          <w:szCs w:val="28"/>
        </w:rPr>
        <w:t>拆除→护栏→脚手板→小横杆→大横杆→剪刀撑→立杆→拉杆传递至地面→清除扣件→按规格码放</w:t>
      </w:r>
      <w:r>
        <w:rPr>
          <w:b/>
          <w:color w:val="FFFFFF"/>
          <w:sz w:val="0"/>
        </w:rPr>
        <w:t>.</w:t>
      </w:r>
    </w:p>
    <w:p>
      <w:pPr>
        <w:ind w:firstLine="810"/>
        <w:rPr>
          <w:rFonts w:ascii="宋体" w:hAnsi="宋体" w:hint="eastAsia"/>
          <w:sz w:val="28"/>
          <w:szCs w:val="28"/>
        </w:rPr>
        <w:sectPr>
          <w:headerReference w:type="default" r:id="rId37"/>
          <w:footerReference w:type="even" r:id="rId38"/>
          <w:footerReference w:type="default" r:id="rId39"/>
          <w:type w:val="nextPage"/>
          <w:pgSz w:w="11906" w:h="16838"/>
          <w:pgMar w:top="1440" w:right="1418" w:bottom="1440" w:left="1814" w:header="851" w:footer="992" w:gutter="0"/>
          <w:pgNumType w:start="12"/>
          <w:cols w:num="1" w:space="425"/>
          <w:titlePg w:val="0"/>
          <w:docGrid w:type="lines" w:linePitch="312" w:charSpace="0"/>
        </w:sectPr>
      </w:pPr>
    </w:p>
    <w:p>
      <w:pPr>
        <w:ind w:firstLine="810"/>
        <w:rPr>
          <w:rFonts w:ascii="宋体" w:hAnsi="宋体" w:hint="eastAsia"/>
          <w:sz w:val="28"/>
          <w:szCs w:val="28"/>
        </w:rPr>
      </w:pPr>
      <w:r>
        <w:rPr>
          <w:rFonts w:ascii="宋体" w:hAnsi="宋体" w:hint="eastAsia"/>
          <w:spacing w:val="10"/>
          <w:sz w:val="28"/>
          <w:szCs w:val="28"/>
        </w:rPr>
        <w:t>拆杆和放杆时必须由2-3人协同操作，拆大横杆时，应由站在中间的人将杆顺下传递，下放人员接到杆拿稳拿牢后，上方人员才准松手，严禁往下乱扔脚手料具。拆架人员必须系安全带</w:t>
      </w:r>
      <w:r>
        <w:rPr>
          <w:rFonts w:ascii="宋体" w:hAnsi="宋体"/>
          <w:spacing w:val="10"/>
          <w:sz w:val="28"/>
          <w:szCs w:val="28"/>
        </w:rPr>
        <w:t>,</w:t>
      </w:r>
      <w:r>
        <w:rPr>
          <w:rFonts w:ascii="宋体" w:hAnsi="宋体" w:hint="eastAsia"/>
          <w:spacing w:val="10"/>
          <w:sz w:val="28"/>
          <w:szCs w:val="28"/>
        </w:rPr>
        <w:t>拆除过程中，应指派一个责任心强、技术水平高的工人担任指挥，负责拆除工作的全部安全作业。有管线阻碍时，不得任意割移，同时要</w:t>
      </w:r>
      <w:r>
        <w:rPr>
          <w:rFonts w:ascii="宋体" w:hAnsi="宋体" w:hint="eastAsia"/>
          <w:sz w:val="28"/>
          <w:szCs w:val="28"/>
        </w:rPr>
        <w:t>注意扣件崩扣。拆下来的脚手杆要随拆、随清、随运、分类、分堆、分规格码放整齐</w:t>
      </w:r>
      <w:r>
        <w:rPr>
          <w:rFonts w:ascii="宋体" w:hAnsi="宋体"/>
          <w:sz w:val="28"/>
          <w:szCs w:val="28"/>
        </w:rPr>
        <w:t>,</w:t>
      </w:r>
      <w:r>
        <w:rPr>
          <w:rFonts w:ascii="宋体" w:hAnsi="宋体" w:hint="eastAsia"/>
          <w:sz w:val="28"/>
          <w:szCs w:val="28"/>
        </w:rPr>
        <w:t>要有防水措施，以防雨后生锈。</w:t>
      </w:r>
      <w:r>
        <w:rPr>
          <w:b/>
          <w:color w:val="FFFFFF"/>
          <w:sz w:val="0"/>
        </w:rPr>
        <w:t>.</w:t>
      </w:r>
    </w:p>
    <w:p>
      <w:pPr>
        <w:rPr>
          <w:rFonts w:ascii="宋体" w:hAnsi="宋体" w:hint="eastAsia"/>
          <w:bCs/>
          <w:sz w:val="28"/>
          <w:szCs w:val="28"/>
        </w:rPr>
      </w:pPr>
      <w:r>
        <w:rPr>
          <w:rFonts w:ascii="宋体" w:hAnsi="宋体" w:hint="eastAsia"/>
          <w:bCs/>
          <w:sz w:val="28"/>
          <w:szCs w:val="28"/>
        </w:rPr>
        <w:t>1.8屋面防水工程</w:t>
      </w:r>
      <w:r>
        <w:rPr>
          <w:b/>
          <w:color w:val="FFFFFF"/>
          <w:sz w:val="0"/>
        </w:rPr>
        <w:t>.</w:t>
      </w:r>
    </w:p>
    <w:p>
      <w:pPr>
        <w:ind w:firstLine="560" w:firstLineChars="200"/>
        <w:rPr>
          <w:rFonts w:ascii="宋体" w:hAnsi="宋体" w:hint="eastAsia"/>
          <w:sz w:val="28"/>
          <w:szCs w:val="28"/>
        </w:rPr>
      </w:pPr>
      <w:r>
        <w:rPr>
          <w:rFonts w:ascii="宋体" w:hAnsi="宋体" w:hint="eastAsia"/>
          <w:sz w:val="28"/>
          <w:szCs w:val="28"/>
        </w:rPr>
        <w:t>屋面防水采用SBS防水卷材，斜屋面防水采用塑料油膏嵌缝。</w:t>
      </w:r>
      <w:r>
        <w:rPr>
          <w:b/>
          <w:color w:val="FFFFFF"/>
          <w:sz w:val="0"/>
        </w:rPr>
        <w:t>.</w:t>
      </w:r>
    </w:p>
    <w:p>
      <w:pPr>
        <w:ind w:firstLine="560" w:firstLineChars="200"/>
        <w:rPr>
          <w:rFonts w:ascii="宋体" w:hAnsi="宋体" w:hint="eastAsia"/>
          <w:sz w:val="28"/>
          <w:szCs w:val="28"/>
        </w:rPr>
      </w:pPr>
      <w:r>
        <w:rPr>
          <w:rFonts w:ascii="宋体" w:hAnsi="宋体" w:hint="eastAsia"/>
          <w:sz w:val="28"/>
          <w:szCs w:val="28"/>
        </w:rPr>
        <w:t>施工顺序：基层清理→管根固定→铺设保温层→找坡层→管根封堵→标高坡度弹线→水泥砂浆找平层→基层清理→涂刷基层处理剂→涂刷胶粘剂→晾胶→卷材铺贴→封边→蓄水试验→作保护层</w:t>
      </w:r>
      <w:r>
        <w:rPr>
          <w:b/>
          <w:color w:val="FFFFFF"/>
          <w:sz w:val="0"/>
        </w:rPr>
        <w:t>.</w:t>
      </w:r>
    </w:p>
    <w:p>
      <w:pPr>
        <w:rPr>
          <w:rFonts w:ascii="宋体" w:hAnsi="宋体" w:hint="eastAsia"/>
          <w:sz w:val="28"/>
          <w:szCs w:val="28"/>
        </w:rPr>
      </w:pPr>
      <w:r>
        <w:rPr>
          <w:rFonts w:ascii="宋体" w:hAnsi="宋体" w:hint="eastAsia"/>
          <w:sz w:val="28"/>
          <w:szCs w:val="28"/>
        </w:rPr>
        <w:t>1.8.1做好基层处理：先将基层表面尘土杂物清扫干净，表面残留灰浆硬块及突出部分应刮平、扫净、打光，保证基层平整、干燥，阴阳角处抹成圆弧状。屋面按设计要求做好保温、找坡、找平、压光，表面干净、干燥无杂物。</w:t>
      </w:r>
      <w:r>
        <w:rPr>
          <w:b/>
          <w:color w:val="FFFFFF"/>
          <w:sz w:val="0"/>
        </w:rPr>
        <w:t>.</w:t>
      </w:r>
    </w:p>
    <w:p>
      <w:pPr>
        <w:rPr>
          <w:rFonts w:ascii="宋体" w:hAnsi="宋体" w:hint="eastAsia"/>
          <w:sz w:val="28"/>
          <w:szCs w:val="28"/>
        </w:rPr>
      </w:pPr>
      <w:r>
        <w:rPr>
          <w:rFonts w:ascii="宋体" w:hAnsi="宋体" w:hint="eastAsia"/>
          <w:sz w:val="28"/>
          <w:szCs w:val="28"/>
        </w:rPr>
        <w:t>1.8.2基层处理剂涂刷要先用油漆刷蘸底胶在阴阳角、管根、水管口等细部均匀涂刷一遍，然后再用滚刷大面积涂刷，涂刷底胶应厚薄一致，不得漏刷。</w:t>
      </w:r>
      <w:r>
        <w:rPr>
          <w:b/>
          <w:color w:val="FFFFFF"/>
          <w:sz w:val="0"/>
        </w:rPr>
        <w:t>.</w:t>
      </w:r>
    </w:p>
    <w:p>
      <w:pPr>
        <w:rPr>
          <w:rFonts w:ascii="宋体" w:hAnsi="宋体" w:hint="eastAsia"/>
          <w:sz w:val="28"/>
          <w:szCs w:val="28"/>
        </w:rPr>
        <w:sectPr>
          <w:headerReference w:type="default" r:id="rId40"/>
          <w:footerReference w:type="even" r:id="rId41"/>
          <w:footerReference w:type="default" r:id="rId42"/>
          <w:type w:val="nextPage"/>
          <w:pgSz w:w="11906" w:h="16838"/>
          <w:pgMar w:top="1440" w:right="1418" w:bottom="1440" w:left="1814" w:header="851" w:footer="992" w:gutter="0"/>
          <w:pgNumType w:start="13"/>
          <w:cols w:num="1" w:space="425"/>
          <w:titlePg w:val="0"/>
          <w:docGrid w:type="lines" w:linePitch="312" w:charSpace="0"/>
        </w:sectPr>
      </w:pPr>
    </w:p>
    <w:p>
      <w:pPr>
        <w:rPr>
          <w:rFonts w:ascii="宋体" w:hAnsi="宋体" w:hint="eastAsia"/>
          <w:sz w:val="28"/>
          <w:szCs w:val="28"/>
        </w:rPr>
      </w:pPr>
      <w:r>
        <w:rPr>
          <w:rFonts w:ascii="宋体" w:hAnsi="宋体" w:hint="eastAsia"/>
          <w:sz w:val="28"/>
          <w:szCs w:val="28"/>
        </w:rPr>
        <w:t>1.8.3粘贴卷材时，先在阴阳角、管根、水落口等部位作附加层，然后再进行大面积粘贴，接缝处用胶结剂灌缝，要保证其搭接长度和接茬粘结牢固。卷材应平行屋脊从檐口处往上铺贴，双向流水坡卷材搭接应顺流水方向，长边及端头的搭接宽度，如空铺、点粘、条粘时均为100mm；满粘法均为80mm，且端头接茬要错开250mm。卷材应从流水坡度的下坡开始，按卷材规格弹出基准线铺贴，并使卷材的长向与流水坡垂直。注意卷材配置应减少阴阳脚处的接头。铺贴平面与立面相连接的卷材，应由下向上进行，使卷材紧贴阴阳角，铺展时对卷材不得拉得过紧，且不得有皱折、空鼓等现象。</w:t>
      </w:r>
      <w:r>
        <w:rPr>
          <w:b/>
          <w:color w:val="FFFFFF"/>
          <w:sz w:val="0"/>
        </w:rPr>
        <w:t>.</w:t>
      </w:r>
    </w:p>
    <w:p>
      <w:pPr>
        <w:rPr>
          <w:rFonts w:ascii="宋体" w:hAnsi="宋体"/>
          <w:sz w:val="28"/>
          <w:szCs w:val="28"/>
        </w:rPr>
      </w:pPr>
      <w:r>
        <w:rPr>
          <w:rFonts w:ascii="宋体" w:hAnsi="宋体" w:hint="eastAsia"/>
          <w:sz w:val="28"/>
          <w:szCs w:val="28"/>
        </w:rPr>
        <w:t>1.8.4蓄水试验：卷材防水层施工后，应作蓄水试验，确认不渗不漏，方可施工保护层。</w:t>
      </w:r>
      <w:r>
        <w:rPr>
          <w:b/>
          <w:color w:val="FFFFFF"/>
          <w:sz w:val="0"/>
        </w:rPr>
        <w:t>.</w:t>
      </w:r>
    </w:p>
    <w:p>
      <w:pPr>
        <w:rPr>
          <w:rFonts w:ascii="宋体" w:hAnsi="宋体" w:hint="eastAsia"/>
          <w:bCs/>
          <w:sz w:val="28"/>
          <w:szCs w:val="28"/>
        </w:rPr>
      </w:pPr>
      <w:r>
        <w:rPr>
          <w:rFonts w:ascii="宋体" w:hAnsi="宋体" w:hint="eastAsia"/>
          <w:bCs/>
          <w:sz w:val="28"/>
          <w:szCs w:val="28"/>
        </w:rPr>
        <w:t>1.9装修工程</w:t>
      </w:r>
      <w:r>
        <w:rPr>
          <w:b/>
          <w:color w:val="FFFFFF"/>
          <w:sz w:val="0"/>
        </w:rPr>
        <w:t>.</w:t>
      </w:r>
    </w:p>
    <w:p>
      <w:pPr>
        <w:rPr>
          <w:rFonts w:ascii="宋体" w:hAnsi="宋体" w:hint="eastAsia"/>
          <w:bCs/>
          <w:sz w:val="28"/>
          <w:szCs w:val="28"/>
        </w:rPr>
      </w:pPr>
      <w:r>
        <w:rPr>
          <w:rFonts w:ascii="宋体" w:hAnsi="宋体" w:hint="eastAsia"/>
          <w:bCs/>
          <w:sz w:val="28"/>
          <w:szCs w:val="28"/>
        </w:rPr>
        <w:t>1.9.1内墙抹灰施工</w:t>
      </w:r>
      <w:r>
        <w:rPr>
          <w:b/>
          <w:color w:val="FFFFFF"/>
          <w:sz w:val="0"/>
        </w:rPr>
        <w:t>.</w:t>
      </w:r>
    </w:p>
    <w:p>
      <w:pPr>
        <w:ind w:firstLine="560" w:firstLineChars="200"/>
        <w:rPr>
          <w:rFonts w:ascii="宋体" w:hAnsi="宋体" w:hint="eastAsia"/>
          <w:sz w:val="28"/>
          <w:szCs w:val="28"/>
        </w:rPr>
      </w:pPr>
      <w:r>
        <w:rPr>
          <w:rFonts w:ascii="宋体" w:hAnsi="宋体" w:hint="eastAsia"/>
          <w:sz w:val="28"/>
          <w:szCs w:val="28"/>
        </w:rPr>
        <w:t>墙表面抹灰前，技术员应配合质检员检验砖墙表面。施工时先将砖墙表面余灰清除干净，浇水湿润，抹灰前必须找好规矩，即四角规方，横线找平，立线吊直，弹出准线和踢脚板线，然后贴饼冲筋。室内墙面抹灰采用混合砂浆抹灰墙面，抹灰前先涂刷界面处理剂一道，抹灰要分层分遍抹，待前一层凝结后方可抹下一层。砖墙上穿墙管线的预留洞在管线安装完毕后用C20细石混凝土填实。室内所有阳角均做1:2.5水泥砂浆暗包角，高度2100mm，每边各宽50㎜。罩面灰必须在底灰５～６成干时进行，罩面分两遍压实赶光。室内抹灰要控制好细部处理，做到阴阳角清晰，门窗口方正。</w:t>
      </w:r>
      <w:r>
        <w:rPr>
          <w:b/>
          <w:color w:val="FFFFFF"/>
          <w:sz w:val="0"/>
        </w:rPr>
        <w:t>.</w:t>
      </w:r>
    </w:p>
    <w:p>
      <w:pPr>
        <w:pStyle w:val="BodyTextIndent2"/>
        <w:spacing w:line="240" w:lineRule="auto"/>
        <w:ind w:left="0" w:firstLine="480"/>
        <w:rPr>
          <w:rFonts w:ascii="宋体" w:hAnsi="宋体" w:hint="eastAsia"/>
          <w:b/>
          <w:bCs/>
          <w:i/>
          <w:iCs/>
          <w:sz w:val="28"/>
          <w:szCs w:val="28"/>
          <w:shd w:val="pct10" w:color="auto" w:fill="FFFFFF"/>
        </w:rPr>
      </w:pPr>
      <w:r>
        <w:rPr>
          <w:rFonts w:ascii="宋体" w:hAnsi="宋体" w:hint="eastAsia"/>
          <w:sz w:val="28"/>
          <w:szCs w:val="28"/>
        </w:rPr>
        <w:t>大面积抹灰前，应先进行样板墙施工，当确认能保证质量后再大面积施工。</w:t>
      </w:r>
      <w:r>
        <w:rPr>
          <w:b/>
          <w:color w:val="FFFFFF"/>
          <w:sz w:val="0"/>
        </w:rPr>
        <w:t>.</w:t>
      </w:r>
    </w:p>
    <w:p>
      <w:pPr>
        <w:ind w:firstLine="601"/>
        <w:rPr>
          <w:rFonts w:ascii="宋体" w:hAnsi="宋体" w:hint="eastAsia"/>
          <w:sz w:val="28"/>
          <w:szCs w:val="28"/>
        </w:rPr>
        <w:sectPr>
          <w:headerReference w:type="default" r:id="rId43"/>
          <w:footerReference w:type="even" r:id="rId44"/>
          <w:footerReference w:type="default" r:id="rId45"/>
          <w:type w:val="nextPage"/>
          <w:pgSz w:w="11906" w:h="16838"/>
          <w:pgMar w:top="1440" w:right="1418" w:bottom="1440" w:left="1814" w:header="851" w:footer="992" w:gutter="0"/>
          <w:pgNumType w:start="14"/>
          <w:cols w:num="1" w:space="425"/>
          <w:titlePg w:val="0"/>
          <w:docGrid w:type="lines" w:linePitch="312" w:charSpace="0"/>
        </w:sectPr>
      </w:pPr>
    </w:p>
    <w:p>
      <w:pPr>
        <w:ind w:firstLine="601"/>
        <w:rPr>
          <w:rFonts w:ascii="宋体" w:hAnsi="宋体" w:hint="eastAsia"/>
          <w:sz w:val="28"/>
          <w:szCs w:val="28"/>
        </w:rPr>
      </w:pPr>
      <w:r>
        <w:rPr>
          <w:rFonts w:ascii="宋体" w:hAnsi="宋体" w:hint="eastAsia"/>
          <w:sz w:val="28"/>
          <w:szCs w:val="28"/>
        </w:rPr>
        <w:t>卫生间瓷砖墙面施工前，应先进行基层处理，然后找规矩、贴饼、抹底子灰，并根据施工大样弹好控制线。瓷砖镶贴应自下而上进行，瓷砖接缝宽以1.5mm为宜，遇穿墙管处，面砖应套割粘贴。面砖贴好后，用白水泥进行擦缝处理。</w:t>
      </w:r>
      <w:r>
        <w:rPr>
          <w:b/>
          <w:color w:val="FFFFFF"/>
          <w:sz w:val="0"/>
        </w:rPr>
        <w:t>.</w:t>
      </w:r>
    </w:p>
    <w:p>
      <w:pPr>
        <w:rPr>
          <w:rFonts w:ascii="宋体" w:hAnsi="宋体" w:hint="eastAsia"/>
          <w:sz w:val="28"/>
          <w:szCs w:val="28"/>
        </w:rPr>
      </w:pPr>
      <w:r>
        <w:rPr>
          <w:rFonts w:ascii="宋体" w:hAnsi="宋体" w:hint="eastAsia"/>
          <w:sz w:val="28"/>
          <w:szCs w:val="28"/>
        </w:rPr>
        <w:t>1.9.2楼地面施工</w:t>
      </w:r>
      <w:r>
        <w:rPr>
          <w:b/>
          <w:color w:val="FFFFFF"/>
          <w:sz w:val="0"/>
        </w:rPr>
        <w:t>.</w:t>
      </w:r>
    </w:p>
    <w:p>
      <w:pPr>
        <w:rPr>
          <w:rFonts w:ascii="宋体" w:hAnsi="宋体" w:hint="eastAsia"/>
          <w:sz w:val="28"/>
          <w:szCs w:val="28"/>
        </w:rPr>
      </w:pPr>
      <w:r>
        <w:rPr>
          <w:rFonts w:ascii="宋体" w:hAnsi="宋体" w:hint="eastAsia"/>
          <w:sz w:val="28"/>
          <w:szCs w:val="28"/>
        </w:rPr>
        <w:t xml:space="preserve">    室内为水泥地面，只做垫层，不做面层；地下室为水泥抹灰地面。</w:t>
      </w:r>
      <w:r>
        <w:rPr>
          <w:b/>
          <w:color w:val="FFFFFF"/>
          <w:sz w:val="0"/>
        </w:rPr>
        <w:t>.</w:t>
      </w:r>
    </w:p>
    <w:p>
      <w:pPr>
        <w:pStyle w:val="BodyTextIndent2"/>
        <w:spacing w:line="240" w:lineRule="auto"/>
        <w:ind w:left="0" w:firstLine="560"/>
        <w:rPr>
          <w:rFonts w:ascii="宋体" w:hAnsi="宋体" w:hint="eastAsia"/>
          <w:sz w:val="28"/>
          <w:szCs w:val="28"/>
        </w:rPr>
      </w:pPr>
      <w:r>
        <w:rPr>
          <w:rFonts w:ascii="宋体" w:hAnsi="宋体" w:hint="eastAsia"/>
          <w:sz w:val="28"/>
          <w:szCs w:val="28"/>
        </w:rPr>
        <w:t>楼地面基层要清理干净，履行验收手续后方准施工。楼板上没有垫层直接抹灰时，一定要将板用钢丝刷子打扫干净，并浇水湿润。抹水泥砂浆前先刷素水泥浆结合层一道，抹好后的地面及时覆盖并浇水养护，以防起砂、裂缝。客厅、卧室等部位抹毛地面，其面层由业主或住户二次装修。卫生间地砖铺贴时，有裂缝、掉角和表面有缺陷的面砖应剔除，品种不同的面砖不得混用。地砖与结合层之间以及在墙角、墙边，均应紧密结合，不得有空隙，不得在靠墙处用砂浆填补代替地砖。地砖铺贴时要求地砖平整，镶贴正确，地层上溢出的水泥浆应在凝结前予以清除，等基层砂浆凝结后再将面层清洗干净。</w:t>
      </w:r>
      <w:r>
        <w:rPr>
          <w:b/>
          <w:color w:val="FFFFFF"/>
          <w:sz w:val="0"/>
        </w:rPr>
        <w:t>.</w:t>
      </w:r>
    </w:p>
    <w:p>
      <w:pPr>
        <w:pStyle w:val="BodyTextIndent2"/>
        <w:spacing w:line="240" w:lineRule="auto"/>
        <w:ind w:left="0" w:firstLine="720"/>
        <w:rPr>
          <w:rFonts w:ascii="宋体" w:hAnsi="宋体" w:hint="eastAsia"/>
          <w:sz w:val="28"/>
          <w:szCs w:val="28"/>
        </w:rPr>
      </w:pPr>
      <w:r>
        <w:rPr>
          <w:rFonts w:ascii="宋体" w:hAnsi="宋体" w:hint="eastAsia"/>
          <w:sz w:val="28"/>
          <w:szCs w:val="28"/>
        </w:rPr>
        <w:t>厨房和卫生间楼面均比同层楼面标高低20mm，卫生间内设地漏，做1%的坡度坡向地漏。</w:t>
      </w:r>
      <w:r>
        <w:rPr>
          <w:b/>
          <w:color w:val="FFFFFF"/>
          <w:sz w:val="0"/>
        </w:rPr>
        <w:t>.</w:t>
      </w:r>
    </w:p>
    <w:p>
      <w:pPr>
        <w:pStyle w:val="BodyTextIndent2"/>
        <w:spacing w:line="240" w:lineRule="auto"/>
        <w:ind w:left="0" w:firstLine="720"/>
        <w:rPr>
          <w:rFonts w:ascii="宋体" w:hAnsi="宋体" w:hint="eastAsia"/>
          <w:sz w:val="28"/>
          <w:szCs w:val="28"/>
        </w:rPr>
      </w:pPr>
      <w:r>
        <w:rPr>
          <w:rFonts w:ascii="宋体" w:hAnsi="宋体" w:hint="eastAsia"/>
          <w:sz w:val="28"/>
          <w:szCs w:val="28"/>
        </w:rPr>
        <w:t>雨棚处做法：先抹1:2.5水泥砂浆，内掺5%防水剂，向硬塑料管排水管处找1%坡，最薄处20mm。</w:t>
      </w:r>
      <w:r>
        <w:rPr>
          <w:b/>
          <w:color w:val="FFFFFF"/>
          <w:sz w:val="0"/>
        </w:rPr>
        <w:t>.</w:t>
      </w:r>
    </w:p>
    <w:p>
      <w:pPr>
        <w:rPr>
          <w:rFonts w:ascii="宋体" w:hAnsi="宋体" w:hint="eastAsia"/>
          <w:bCs/>
          <w:sz w:val="28"/>
          <w:szCs w:val="28"/>
        </w:rPr>
      </w:pPr>
      <w:r>
        <w:rPr>
          <w:rFonts w:ascii="宋体" w:hAnsi="宋体" w:hint="eastAsia"/>
          <w:bCs/>
          <w:sz w:val="28"/>
          <w:szCs w:val="28"/>
        </w:rPr>
        <w:t>1.10水暖工程</w:t>
      </w:r>
      <w:r>
        <w:rPr>
          <w:b/>
          <w:color w:val="FFFFFF"/>
          <w:sz w:val="0"/>
        </w:rPr>
        <w:t>.</w:t>
      </w:r>
    </w:p>
    <w:p>
      <w:pPr>
        <w:rPr>
          <w:rFonts w:ascii="宋体" w:hAnsi="宋体" w:hint="eastAsia"/>
          <w:sz w:val="28"/>
          <w:szCs w:val="28"/>
        </w:rPr>
      </w:pPr>
      <w:r>
        <w:rPr>
          <w:rFonts w:ascii="宋体" w:hAnsi="宋体" w:hint="eastAsia"/>
          <w:sz w:val="28"/>
          <w:szCs w:val="28"/>
        </w:rPr>
        <w:t>1.10.1施工准备</w:t>
      </w:r>
      <w:r>
        <w:rPr>
          <w:b/>
          <w:color w:val="FFFFFF"/>
          <w:sz w:val="0"/>
        </w:rPr>
        <w:t>.</w:t>
      </w:r>
    </w:p>
    <w:p>
      <w:pPr>
        <w:ind w:firstLine="280" w:firstLineChars="100"/>
        <w:rPr>
          <w:rFonts w:ascii="宋体" w:hAnsi="宋体" w:hint="eastAsia"/>
          <w:sz w:val="28"/>
          <w:szCs w:val="28"/>
        </w:rPr>
      </w:pPr>
      <w:r>
        <w:rPr>
          <w:rFonts w:ascii="宋体" w:hAnsi="宋体" w:hint="eastAsia"/>
          <w:sz w:val="28"/>
          <w:szCs w:val="28"/>
        </w:rPr>
        <w:t>1、管道系统的施工准备</w:t>
      </w:r>
      <w:r>
        <w:rPr>
          <w:b/>
          <w:color w:val="FFFFFF"/>
          <w:sz w:val="0"/>
        </w:rPr>
        <w:t>.</w:t>
      </w:r>
    </w:p>
    <w:p>
      <w:pPr>
        <w:ind w:firstLine="560" w:firstLineChars="200"/>
        <w:rPr>
          <w:rFonts w:ascii="宋体" w:hAnsi="宋体" w:hint="eastAsia"/>
          <w:sz w:val="28"/>
          <w:szCs w:val="28"/>
        </w:rPr>
        <w:sectPr>
          <w:headerReference w:type="default" r:id="rId46"/>
          <w:footerReference w:type="even" r:id="rId47"/>
          <w:footerReference w:type="default" r:id="rId48"/>
          <w:type w:val="nextPage"/>
          <w:pgSz w:w="11906" w:h="16838"/>
          <w:pgMar w:top="1440" w:right="1418" w:bottom="1440" w:left="1814" w:header="851" w:footer="992" w:gutter="0"/>
          <w:pgNumType w:start="15"/>
          <w:cols w:num="1" w:space="425"/>
          <w:titlePg w:val="0"/>
          <w:docGrid w:type="lines" w:linePitch="312" w:charSpace="0"/>
        </w:sectPr>
      </w:pPr>
    </w:p>
    <w:p>
      <w:pPr>
        <w:ind w:firstLine="560" w:firstLineChars="200"/>
        <w:rPr>
          <w:rFonts w:ascii="宋体" w:hAnsi="宋体" w:hint="eastAsia"/>
          <w:sz w:val="28"/>
          <w:szCs w:val="28"/>
        </w:rPr>
      </w:pPr>
      <w:r>
        <w:rPr>
          <w:rFonts w:ascii="宋体" w:hAnsi="宋体" w:hint="eastAsia"/>
          <w:sz w:val="28"/>
          <w:szCs w:val="28"/>
        </w:rPr>
        <w:t>施工前应做好充分的准备。首先施工图的会审，应组织各专业工长，严格细致，认真的审图，协同设计单位把图纸存在的各种问题彻底解决。</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2、管道系统的预制加工</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预制加工时应根据各系统的特点，在管道安装前进行集中加工预制。施工预制管段的加工尺寸，应根据现场的实际位置确定。对于管道组合件的外形尺寸偏差应控制在3m内±5mm，每增大1m时偏差可增大±2mm，但总偏差不可大于±15mm，同时，组合件的大小规模应考虑运输和安装的方便，并应留有可调整的活口，对于预制好的组合件应提前好防腐，不允许安装完后再进行防腐工作。</w:t>
      </w:r>
      <w:r>
        <w:rPr>
          <w:b/>
          <w:color w:val="FFFFFF"/>
          <w:sz w:val="0"/>
        </w:rPr>
        <w:t>.</w:t>
      </w:r>
    </w:p>
    <w:p>
      <w:pPr>
        <w:rPr>
          <w:rFonts w:ascii="宋体" w:hAnsi="宋体" w:hint="eastAsia"/>
          <w:spacing w:val="10"/>
          <w:sz w:val="28"/>
          <w:szCs w:val="28"/>
        </w:rPr>
      </w:pPr>
      <w:r>
        <w:rPr>
          <w:rFonts w:ascii="宋体" w:hAnsi="宋体" w:hint="eastAsia"/>
          <w:spacing w:val="10"/>
          <w:sz w:val="28"/>
          <w:szCs w:val="28"/>
        </w:rPr>
        <w:t>1.10.2管道安装</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室内管道安装施工工艺如下：安装准备→材料进货检验→预制加工→管道安装→管道试压→管道冲洗</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1、安装准备</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施工前认真熟悉图纸，根据图纸要求准备各类施工规范，技术标准图集等，同时参看有关专业设备和建筑装修图纸，核对各种管道的坐标和标高是否有交叉，空间排列是否合理，如有问题应在设计交底及图纸会审时提出，并与设计和有关人员研究办好洽商记录，此项工序由项目技术负责人负责组织施工工长实施。</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2、材料进货检验</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管材及管件的规格种类应符合设计要求。</w:t>
      </w:r>
      <w:r>
        <w:rPr>
          <w:b/>
          <w:color w:val="FFFFFF"/>
          <w:sz w:val="0"/>
        </w:rPr>
        <w:t>.</w:t>
      </w:r>
    </w:p>
    <w:p>
      <w:pPr>
        <w:ind w:left="300" w:firstLine="280" w:leftChars="143" w:firstLineChars="100"/>
        <w:rPr>
          <w:rFonts w:ascii="宋体" w:hAnsi="宋体" w:hint="eastAsia"/>
          <w:spacing w:val="10"/>
          <w:sz w:val="28"/>
          <w:szCs w:val="28"/>
        </w:rPr>
        <w:sectPr>
          <w:headerReference w:type="default" r:id="rId49"/>
          <w:footerReference w:type="even" r:id="rId50"/>
          <w:footerReference w:type="default" r:id="rId51"/>
          <w:type w:val="nextPage"/>
          <w:pgSz w:w="11906" w:h="16838"/>
          <w:pgMar w:top="1440" w:right="1418" w:bottom="1440" w:left="1814" w:header="851" w:footer="992" w:gutter="0"/>
          <w:pgNumType w:start="16"/>
          <w:cols w:num="1" w:space="425"/>
          <w:titlePg w:val="0"/>
          <w:docGrid w:type="lines" w:linePitch="312" w:charSpace="0"/>
        </w:sectPr>
      </w:pPr>
      <w:r>
        <w:rPr>
          <w:rFonts w:ascii="宋体" w:hAnsi="宋体" w:hint="eastAsia"/>
          <w:spacing w:val="10"/>
          <w:sz w:val="28"/>
          <w:szCs w:val="28"/>
        </w:rPr>
        <w:t>（1）进场的管材外观检查应镀锌均匀，无腐蚀、无毛刺，管件无偏扣、丝扣不全、螺纹锥度不够等现象，同时镀锌必须为热浸镀锌，管材及管件应有合格证，材质证明填写准确无误。</w:t>
      </w:r>
      <w:r>
        <w:rPr>
          <w:b/>
          <w:color w:val="FFFFFF"/>
          <w:sz w:val="0"/>
        </w:rPr>
        <w:t>.</w:t>
      </w:r>
    </w:p>
    <w:p>
      <w:pPr>
        <w:ind w:left="300" w:firstLine="280" w:leftChars="143" w:firstLineChars="100"/>
        <w:rPr>
          <w:rFonts w:ascii="宋体" w:hAnsi="宋体" w:hint="eastAsia"/>
          <w:spacing w:val="10"/>
          <w:sz w:val="28"/>
          <w:szCs w:val="28"/>
        </w:rPr>
      </w:pPr>
      <w:r>
        <w:rPr>
          <w:rFonts w:ascii="宋体" w:hAnsi="宋体" w:hint="eastAsia"/>
          <w:spacing w:val="10"/>
          <w:sz w:val="28"/>
          <w:szCs w:val="28"/>
        </w:rPr>
        <w:t>（2）阀门、阀件、规格型号符合设计要求，阀体表面光洁，无裂纹并且经我公司试验室打压合格后方可使用。</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3、干管安装</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室内管道安装，首先从地下水室配管开始，先大管后小管，连接时在管子的外螺纹与管件和阀件的内螺纹之加适当的填料，安装时，先将麻丝料松成薄而均匀的纤维，然后从螺纹第二扣开始沿螺纹方向进行缠绕，缠好后表面沿螺纹方向涂白厚漆，然后用手拧上管件，再用管钳收紧，填料缠绕要适当，不得把白厚漆、麻丝或生料带从管端下垂挤入管腔，以免填塞管路，施工完毕，外露丝头处应刷红丹防锈漆。</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管道安装应根据具体条件合理安排顺序。一般为先地下，后地上，先大管，后小管，先主管，后支管。</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管道支架安装时，支架型式依据标准图中相对应的支架，如标准图中无法适用而自行设计支架时，必须严格计算荷载和校核支架精度，待设计方及监理认可后方可施工，管道支架应在地面预制，支架上的孔眼必须用钻开孔，不得使用气焊开孔，特别对于成排管道综合支架，支架型钢对接面的焊接或螺栓连接必须符合规范要求支架的安装应牢固可靠，成排支架的安装应保证其支架在同一水平面上，且垂直于墙面，固定在建筑结构上的管道支吊架不能影响结构安全。</w:t>
      </w:r>
      <w:r>
        <w:rPr>
          <w:b/>
          <w:color w:val="FFFFFF"/>
          <w:sz w:val="0"/>
        </w:rPr>
        <w:t>.</w:t>
      </w:r>
    </w:p>
    <w:p>
      <w:pPr>
        <w:ind w:firstLine="560" w:firstLineChars="200"/>
        <w:rPr>
          <w:rFonts w:ascii="宋体" w:hAnsi="宋体" w:hint="eastAsia"/>
          <w:spacing w:val="10"/>
          <w:sz w:val="28"/>
          <w:szCs w:val="28"/>
        </w:rPr>
        <w:sectPr>
          <w:headerReference w:type="default" r:id="rId52"/>
          <w:footerReference w:type="even" r:id="rId53"/>
          <w:footerReference w:type="default" r:id="rId54"/>
          <w:type w:val="nextPage"/>
          <w:pgSz w:w="11906" w:h="16838"/>
          <w:pgMar w:top="1440" w:right="1418" w:bottom="1440" w:left="1814" w:header="851" w:footer="992" w:gutter="0"/>
          <w:pgNumType w:start="17"/>
          <w:cols w:num="1" w:space="425"/>
          <w:titlePg w:val="0"/>
          <w:docGrid w:type="lines" w:linePitch="312" w:charSpace="0"/>
        </w:sectPr>
      </w:pPr>
    </w:p>
    <w:p>
      <w:pPr>
        <w:ind w:firstLine="560" w:firstLineChars="200"/>
        <w:rPr>
          <w:rFonts w:ascii="宋体" w:hAnsi="宋体" w:hint="eastAsia"/>
          <w:spacing w:val="10"/>
          <w:sz w:val="28"/>
          <w:szCs w:val="28"/>
        </w:rPr>
      </w:pPr>
      <w:r>
        <w:rPr>
          <w:rFonts w:ascii="宋体" w:hAnsi="宋体" w:hint="eastAsia"/>
          <w:spacing w:val="10"/>
          <w:sz w:val="28"/>
          <w:szCs w:val="28"/>
        </w:rPr>
        <w:t>管道采用法兰连接时，镀锌管道于法兰连接处，凡是镀锌层被破坏的部位，在连接前增应刷好防锈漆后方可连接，连接法兰应垂直于管子中心线，其表面应平行，法兰的衬垫不突入管内，外圆到法兰螺栓孔为宜。</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安装完的干管，不得有塌腰，拱起的波浪现象及左右扭曲的蛇弯现象。</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4、管道试压</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铺设、暗装、保温的给水管道在隐蔽前做好单项水压试验，管道系统安装完后进行综合水压，进行检查，如各接口和阀门无渗漏，持续到规定时间，观察其压力降在允许范围内，通知甲方、监理验收办理交接手续，然后把水放净进行隐蔽。</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水压试验技术条件：室内给水管道试验压力不应小于0.6MPa。</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5、管道冲洗</w:t>
      </w:r>
      <w:r>
        <w:rPr>
          <w:b/>
          <w:color w:val="FFFFFF"/>
          <w:sz w:val="0"/>
        </w:rPr>
        <w:t>.</w:t>
      </w:r>
    </w:p>
    <w:p>
      <w:pPr>
        <w:ind w:left="300" w:firstLine="280" w:leftChars="143" w:firstLineChars="100"/>
        <w:rPr>
          <w:rFonts w:ascii="宋体" w:hAnsi="宋体" w:hint="eastAsia"/>
          <w:spacing w:val="10"/>
          <w:sz w:val="28"/>
          <w:szCs w:val="28"/>
        </w:rPr>
      </w:pPr>
      <w:r>
        <w:rPr>
          <w:rFonts w:ascii="宋体" w:hAnsi="宋体" w:hint="eastAsia"/>
          <w:spacing w:val="10"/>
          <w:sz w:val="28"/>
          <w:szCs w:val="28"/>
        </w:rPr>
        <w:t>（1）管道交工前必须进行冲洗，冲洗前应将管道上安装的流量孔板滤网、调节阀等拆除待冲洗后再装上。冲洗水应用自来水。</w:t>
      </w:r>
      <w:r>
        <w:rPr>
          <w:b/>
          <w:color w:val="FFFFFF"/>
          <w:sz w:val="0"/>
        </w:rPr>
        <w:t>.</w:t>
      </w:r>
    </w:p>
    <w:p>
      <w:pPr>
        <w:ind w:left="300" w:firstLine="280" w:leftChars="143" w:firstLineChars="100"/>
        <w:rPr>
          <w:rFonts w:ascii="宋体" w:hAnsi="宋体" w:hint="eastAsia"/>
          <w:spacing w:val="10"/>
          <w:sz w:val="28"/>
          <w:szCs w:val="28"/>
        </w:rPr>
      </w:pPr>
      <w:r>
        <w:rPr>
          <w:rFonts w:ascii="宋体" w:hAnsi="宋体" w:hint="eastAsia"/>
          <w:spacing w:val="10"/>
          <w:sz w:val="28"/>
          <w:szCs w:val="28"/>
        </w:rPr>
        <w:t>（2）给水管道在系统运行前，冲洗要求以采用最大设计流量或不小于1.5米/秒的流速进行，直到出水口水色的透明度与入水口目测一致为合格。</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（3）排水管冲洗以管道畅通为合格。</w:t>
      </w:r>
      <w:r>
        <w:rPr>
          <w:b/>
          <w:color w:val="FFFFFF"/>
          <w:sz w:val="0"/>
        </w:rPr>
        <w:t>.</w:t>
      </w:r>
    </w:p>
    <w:p>
      <w:pPr>
        <w:ind w:firstLine="560" w:firstLineChars="200"/>
        <w:rPr>
          <w:rFonts w:ascii="宋体" w:hAnsi="宋体"/>
          <w:spacing w:val="10"/>
          <w:sz w:val="28"/>
          <w:szCs w:val="28"/>
        </w:rPr>
      </w:pPr>
      <w:r>
        <w:rPr>
          <w:rFonts w:ascii="宋体" w:hAnsi="宋体" w:hint="eastAsia"/>
          <w:spacing w:val="10"/>
          <w:sz w:val="28"/>
          <w:szCs w:val="28"/>
        </w:rPr>
        <w:t>（4）冲洗时应将冲洗水排入雨水或排水管，防止对建筑物造成损害。</w:t>
      </w:r>
      <w:r>
        <w:rPr>
          <w:b/>
          <w:color w:val="FFFFFF"/>
          <w:sz w:val="0"/>
        </w:rPr>
        <w:t>.</w:t>
      </w:r>
    </w:p>
    <w:p>
      <w:pPr>
        <w:rPr>
          <w:rFonts w:ascii="宋体" w:hAnsi="宋体" w:hint="eastAsia"/>
          <w:spacing w:val="10"/>
          <w:sz w:val="28"/>
          <w:szCs w:val="28"/>
        </w:rPr>
        <w:sectPr>
          <w:headerReference w:type="default" r:id="rId55"/>
          <w:footerReference w:type="even" r:id="rId56"/>
          <w:footerReference w:type="default" r:id="rId57"/>
          <w:type w:val="nextPage"/>
          <w:pgSz w:w="11906" w:h="16838"/>
          <w:pgMar w:top="1440" w:right="1418" w:bottom="1440" w:left="1814" w:header="851" w:footer="992" w:gutter="0"/>
          <w:pgNumType w:start="18"/>
          <w:cols w:num="1" w:space="425"/>
          <w:titlePg w:val="0"/>
          <w:docGrid w:type="lines" w:linePitch="312" w:charSpace="0"/>
        </w:sectPr>
      </w:pPr>
      <w:r>
        <w:rPr>
          <w:rFonts w:ascii="宋体" w:hAnsi="宋体" w:hint="eastAsia"/>
          <w:spacing w:val="10"/>
          <w:sz w:val="28"/>
          <w:szCs w:val="28"/>
        </w:rPr>
        <w:t>1.10.3 UPVC塑料管安装</w:t>
      </w:r>
      <w:r>
        <w:rPr>
          <w:b/>
          <w:color w:val="FFFFFF"/>
          <w:sz w:val="0"/>
        </w:rPr>
        <w:t>.</w:t>
      </w:r>
    </w:p>
    <w:p>
      <w:pPr>
        <w:ind w:firstLine="504" w:firstLineChars="180"/>
        <w:rPr>
          <w:rFonts w:ascii="宋体" w:hAnsi="宋体" w:hint="eastAsia"/>
          <w:spacing w:val="10"/>
          <w:sz w:val="28"/>
          <w:szCs w:val="28"/>
        </w:rPr>
      </w:pPr>
      <w:r>
        <w:rPr>
          <w:rFonts w:ascii="宋体" w:hAnsi="宋体" w:hint="eastAsia"/>
          <w:spacing w:val="10"/>
          <w:sz w:val="28"/>
          <w:szCs w:val="28"/>
        </w:rPr>
        <w:t>1、管道预制：</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水管部分管道与管件可预先按测绘的草图连接，并编号码放在平坦的场地，在安装UPVC塑料管时要根据图纸要求，并结合实际情况，按预留口位置测量尺寸进行预制。管道断口要产齐，用铣刀或刮刀除掉断口内外飞刺，外棱铣出15°。粘接前应对承插口先插入试验，不得全部插入，一般为承口的3/4深度。试插合格后，用棉布半承插口需粘接部位的水分、灰尘擦拭干净，如有油污需用丙酮除掉。用毛刷涂抹粘接剂，先涂抹承口，后涂抹插口，随即用力垂直插入，插入粘接时将插口稍作转动，以利粘接剂分布均匀，约30-60秒即可粘接牢用。粘牢后立即将溢出的粘接剂控拭干净，多口粘接时应注意预留口方向。</w:t>
      </w:r>
      <w:r>
        <w:rPr>
          <w:b/>
          <w:color w:val="FFFFFF"/>
          <w:sz w:val="0"/>
        </w:rPr>
        <w:t>.</w:t>
      </w:r>
    </w:p>
    <w:p>
      <w:pPr>
        <w:ind w:firstLine="504" w:firstLineChars="180"/>
        <w:rPr>
          <w:rFonts w:ascii="宋体" w:hAnsi="宋体" w:hint="eastAsia"/>
          <w:spacing w:val="10"/>
          <w:sz w:val="28"/>
          <w:szCs w:val="28"/>
        </w:rPr>
      </w:pPr>
      <w:r>
        <w:rPr>
          <w:rFonts w:ascii="宋体" w:hAnsi="宋体" w:hint="eastAsia"/>
          <w:spacing w:val="10"/>
          <w:sz w:val="28"/>
          <w:szCs w:val="28"/>
        </w:rPr>
        <w:t>2、管道安装：</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将预制好的管段，按施工图纸的坐标、标高找好位置和坡度，以及各预留管口的方向和中心线，将管段承插口相连，然后安装支架。在距室外散水1800处改为钢管。</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UPVC管若发生弯曲，必须调直后才可使用。调直方法是把弯曲的管子放在平台上，在管内通入蒸汽，使管子变软，以其本身自重调直。</w:t>
      </w:r>
      <w:r>
        <w:rPr>
          <w:b/>
          <w:color w:val="FFFFFF"/>
          <w:sz w:val="0"/>
        </w:rPr>
        <w:t>.</w:t>
      </w:r>
    </w:p>
    <w:p>
      <w:pPr>
        <w:ind w:firstLine="560" w:firstLineChars="200"/>
        <w:rPr>
          <w:rFonts w:ascii="宋体" w:hAnsi="宋体" w:hint="eastAsia"/>
          <w:spacing w:val="10"/>
          <w:sz w:val="28"/>
          <w:szCs w:val="28"/>
        </w:rPr>
        <w:sectPr>
          <w:headerReference w:type="default" r:id="rId58"/>
          <w:footerReference w:type="even" r:id="rId59"/>
          <w:footerReference w:type="default" r:id="rId60"/>
          <w:type w:val="nextPage"/>
          <w:pgSz w:w="11906" w:h="16838"/>
          <w:pgMar w:top="1440" w:right="1418" w:bottom="1440" w:left="1814" w:header="851" w:footer="992" w:gutter="0"/>
          <w:pgNumType w:start="19"/>
          <w:cols w:num="1" w:space="425"/>
          <w:titlePg w:val="0"/>
          <w:docGrid w:type="lines" w:linePitch="312" w:charSpace="0"/>
        </w:sectPr>
      </w:pPr>
    </w:p>
    <w:p>
      <w:pPr>
        <w:ind w:firstLine="560" w:firstLineChars="200"/>
        <w:rPr>
          <w:rFonts w:ascii="宋体" w:hAnsi="宋体" w:hint="eastAsia"/>
          <w:spacing w:val="10"/>
          <w:sz w:val="28"/>
          <w:szCs w:val="28"/>
        </w:rPr>
      </w:pPr>
      <w:r>
        <w:rPr>
          <w:rFonts w:ascii="宋体" w:hAnsi="宋体" w:hint="eastAsia"/>
          <w:spacing w:val="10"/>
          <w:sz w:val="28"/>
          <w:szCs w:val="28"/>
        </w:rPr>
        <w:t>UPVC管可用加热的方法进行弯管，因其在135-150℃下有良好延伸率。加热方法可采用空气烘热的方法。但不能直接接触火焰，应缓慢转动加热，φ≤40mm的UPVC管可不灌砂热弯。当弯成所需角度后用湿布擦拭使之冷却定型。大于φ50的UPVC管弯管时，应在弯曲部分灌以80℃热砂并打实。将管段放到自动控温的烘箱或电炉上进行。加热过程中应经常转动，使加热均匀，并防止管段产生扭曲。弯好后用湿布擦拭使之定型。</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UPVC管的连接方式主要为承插连接。承接连接时首先要先加工承口，将要扩胀为承口的管子端部加工成45°坡口，将作为插口的一端加工成45°外坡口，再将有内坡口端置于140-150℃甘油内加热，并均匀转动管子。取出后将有外坡口的管子插入已加热的变软的管内，插入深度应符合规范要求，管外径成型后取出插入管。然后用酒精或丙酮将承口内壁和插口外壁清洗干净，再涂上UPVC塑料胶，涂层要均匀，之后将插口插入承口内。承插口外部应用UPVC塑料焊条进行热空气熔化焊接封口。</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UPVC管与支吊加间要垫的软塑料垫，不得与金属支吊架直接接触。由于UPVC管强度低，刚度小，因此支吊架间距应按规范处理。</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对管道安装进行自检，确认无误后即可从预留管口处灌水做闭水试验，水满后观察水平不下降，各接口及管道无渗漏，经有关人员进行检查，并填写隐蔽工程验收记录，办理隐蔽工程验收手续。</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1.11电气工程</w:t>
      </w:r>
      <w:r>
        <w:rPr>
          <w:b/>
          <w:color w:val="FFFFFF"/>
          <w:sz w:val="0"/>
        </w:rPr>
        <w:t>.</w:t>
      </w:r>
    </w:p>
    <w:p>
      <w:pPr>
        <w:rPr>
          <w:rFonts w:ascii="宋体" w:hAnsi="宋体" w:hint="eastAsia"/>
          <w:spacing w:val="10"/>
          <w:sz w:val="28"/>
          <w:szCs w:val="28"/>
        </w:rPr>
      </w:pPr>
      <w:r>
        <w:rPr>
          <w:rFonts w:ascii="宋体" w:hAnsi="宋体" w:hint="eastAsia"/>
          <w:spacing w:val="10"/>
          <w:sz w:val="28"/>
          <w:szCs w:val="28"/>
        </w:rPr>
        <w:t>1.11.1工艺流程</w:t>
      </w:r>
      <w:r>
        <w:rPr>
          <w:b/>
          <w:color w:val="FFFFFF"/>
          <w:sz w:val="0"/>
        </w:rPr>
        <w:t>.</w:t>
      </w:r>
    </w:p>
    <w:p>
      <w:pPr>
        <w:rPr>
          <w:rFonts w:ascii="宋体" w:hAnsi="宋体" w:hint="eastAsia"/>
          <w:spacing w:val="10"/>
          <w:sz w:val="28"/>
          <w:szCs w:val="28"/>
        </w:rPr>
      </w:pPr>
      <w:r>
        <w:rPr>
          <w:rFonts w:ascii="宋体" w:hAnsi="宋体" w:hint="eastAsia"/>
          <w:spacing w:val="10"/>
          <w:sz w:val="28"/>
          <w:szCs w:val="28"/>
        </w:rPr>
        <w:t>放线定位→预埋管件→穿线→灯具安装→检测调试。</w:t>
      </w:r>
      <w:r>
        <w:rPr>
          <w:b/>
          <w:color w:val="FFFFFF"/>
          <w:sz w:val="0"/>
        </w:rPr>
        <w:t>.</w:t>
      </w:r>
    </w:p>
    <w:p>
      <w:pPr>
        <w:rPr>
          <w:rFonts w:ascii="宋体" w:hAnsi="宋体" w:hint="eastAsia"/>
          <w:spacing w:val="10"/>
          <w:sz w:val="28"/>
          <w:szCs w:val="28"/>
        </w:rPr>
        <w:sectPr>
          <w:headerReference w:type="default" r:id="rId61"/>
          <w:footerReference w:type="even" r:id="rId62"/>
          <w:footerReference w:type="default" r:id="rId63"/>
          <w:type w:val="nextPage"/>
          <w:pgSz w:w="11906" w:h="16838"/>
          <w:pgMar w:top="1440" w:right="1418" w:bottom="1440" w:left="1814" w:header="851" w:footer="992" w:gutter="0"/>
          <w:pgNumType w:start="20"/>
          <w:cols w:num="1" w:space="425"/>
          <w:titlePg w:val="0"/>
          <w:docGrid w:type="lines" w:linePitch="312" w:charSpace="0"/>
        </w:sectPr>
      </w:pPr>
      <w:r>
        <w:rPr>
          <w:rFonts w:ascii="宋体" w:hAnsi="宋体" w:hint="eastAsia"/>
          <w:spacing w:val="10"/>
          <w:sz w:val="28"/>
          <w:szCs w:val="28"/>
        </w:rPr>
        <w:t>1.11.2施工工艺</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1、施工准备：室内装饰工程的电路布线，采取从线路末端开始向线路端头方向施工的方法。即先从最末端的灯关或插座开始布线，使各导线向配电箱、配电盘外汇集。</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2、电路管线布设</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（1）根据电路施工图的要求定出位置，定出水平标高，然后悬挂吊杆。</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（2）线管的入口要消除壁锋，以防利口刮伤电线。</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（3）铜芯电线的截面积一定要能满足线路的功率要求，且必须出示合格证及产品检测报告。</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（4）线管穿线的截面积不能大于铁管截面积的3/4，电线不能在线管内存在接驳口。</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（5）金属软管在接线盒中接出长度不能超出60mm。</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（6）线管的安装必须美观规范，横平竖直；不能乱拉乱接、歪歪斜斜，安装一定要牢固。</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3、灯具安装</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（1）根据灯的设计位置和外形尺寸，在板面开灯位口。</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（2）制作吊灯用吊筋，制作方法同吊顶。吊筋的位置要准确，牢固。</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（3）安装各种灯具面板。</w:t>
      </w:r>
      <w:r>
        <w:rPr>
          <w:b/>
          <w:color w:val="FFFFFF"/>
          <w:sz w:val="0"/>
        </w:rPr>
        <w:t>.</w:t>
      </w:r>
    </w:p>
    <w:p>
      <w:pPr>
        <w:rPr>
          <w:rFonts w:ascii="宋体" w:hAnsi="宋体" w:hint="eastAsia"/>
          <w:spacing w:val="10"/>
          <w:sz w:val="28"/>
          <w:szCs w:val="28"/>
        </w:rPr>
      </w:pPr>
      <w:r>
        <w:rPr>
          <w:rFonts w:ascii="宋体" w:hAnsi="宋体" w:hint="eastAsia"/>
          <w:spacing w:val="10"/>
          <w:sz w:val="28"/>
          <w:szCs w:val="28"/>
        </w:rPr>
        <w:t>1.11.3注意事项</w:t>
      </w:r>
      <w:r>
        <w:rPr>
          <w:b/>
          <w:color w:val="FFFFFF"/>
          <w:sz w:val="0"/>
        </w:rPr>
        <w:t>.</w:t>
      </w:r>
    </w:p>
    <w:p>
      <w:pPr>
        <w:ind w:firstLine="280" w:firstLineChars="100"/>
        <w:rPr>
          <w:rFonts w:ascii="宋体" w:hAnsi="宋体" w:hint="eastAsia"/>
          <w:spacing w:val="10"/>
          <w:sz w:val="28"/>
          <w:szCs w:val="28"/>
        </w:rPr>
        <w:sectPr>
          <w:headerReference w:type="default" r:id="rId64"/>
          <w:footerReference w:type="even" r:id="rId65"/>
          <w:footerReference w:type="default" r:id="rId66"/>
          <w:type w:val="nextPage"/>
          <w:pgSz w:w="11906" w:h="16838"/>
          <w:pgMar w:top="1440" w:right="1418" w:bottom="1440" w:left="1814" w:header="851" w:footer="992" w:gutter="0"/>
          <w:pgNumType w:start="21"/>
          <w:cols w:num="1" w:space="425"/>
          <w:titlePg w:val="0"/>
          <w:docGrid w:type="lines" w:linePitch="312" w:charSpace="0"/>
        </w:sectPr>
      </w:pPr>
      <w:r>
        <w:rPr>
          <w:rFonts w:ascii="宋体" w:hAnsi="宋体" w:hint="eastAsia"/>
          <w:spacing w:val="10"/>
          <w:sz w:val="28"/>
          <w:szCs w:val="28"/>
        </w:rPr>
        <w:t>1、在可燃机构的天花顶棚内，不允许装设电容器、电气开关以及其他易燃易爆的用电器具。</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2、在天花顶棚内布线时，应在顶棚外设置电源开关，以便必要时切断顶棚内所有的电气线路电源。</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3、潮湿场所以及埋地的金属管布线，均应采用镀锌水管或煤气钢管，管壁厚度不小于0.5mm。</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4、金属管保护的交流线路，应将同有回路的各相导线穿在同一管内。</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5、同类照明的几个回路，可以穿在同一管内，但管内导线总数不应多于8根。</w:t>
      </w:r>
      <w:r>
        <w:rPr>
          <w:b/>
          <w:color w:val="FFFFFF"/>
          <w:sz w:val="0"/>
        </w:rPr>
        <w:t>.</w:t>
      </w:r>
    </w:p>
    <w:p>
      <w:pPr>
        <w:ind w:firstLine="280" w:firstLineChars="100"/>
        <w:rPr>
          <w:rFonts w:ascii="宋体" w:hAnsi="宋体" w:hint="eastAsia"/>
          <w:spacing w:val="10"/>
          <w:sz w:val="28"/>
          <w:szCs w:val="28"/>
        </w:rPr>
      </w:pPr>
      <w:r>
        <w:rPr>
          <w:rFonts w:ascii="宋体" w:hAnsi="宋体" w:hint="eastAsia"/>
          <w:spacing w:val="10"/>
          <w:sz w:val="28"/>
          <w:szCs w:val="28"/>
        </w:rPr>
        <w:t>6、插座容量与用电量相适应，每个插座只容许接用一个电具，并应有熔断器保护。</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2.质量保证措施</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2.1质量目标</w:t>
      </w:r>
      <w:r>
        <w:rPr>
          <w:b/>
          <w:color w:val="FFFFFF"/>
          <w:sz w:val="0"/>
        </w:rPr>
        <w:t>.</w:t>
      </w:r>
    </w:p>
    <w:p>
      <w:pPr>
        <w:rPr>
          <w:rFonts w:ascii="宋体" w:hAnsi="宋体" w:hint="eastAsia"/>
          <w:spacing w:val="10"/>
          <w:sz w:val="28"/>
          <w:szCs w:val="28"/>
        </w:rPr>
      </w:pPr>
      <w:r>
        <w:rPr>
          <w:rFonts w:ascii="宋体" w:hAnsi="宋体" w:hint="eastAsia"/>
          <w:b/>
          <w:bCs/>
          <w:spacing w:val="10"/>
          <w:sz w:val="28"/>
          <w:szCs w:val="28"/>
        </w:rPr>
        <w:t xml:space="preserve">   </w:t>
      </w:r>
      <w:r>
        <w:rPr>
          <w:rFonts w:ascii="宋体" w:hAnsi="宋体" w:hint="eastAsia"/>
          <w:sz w:val="28"/>
          <w:szCs w:val="28"/>
        </w:rPr>
        <w:t>质量达到国家质量验收合格标准。</w:t>
      </w:r>
      <w:r>
        <w:rPr>
          <w:b/>
          <w:color w:val="FFFFFF"/>
          <w:sz w:val="0"/>
        </w:rPr>
        <w:t>.</w:t>
      </w:r>
    </w:p>
    <w:p>
      <w:pPr>
        <w:rPr>
          <w:rFonts w:ascii="宋体" w:hAnsi="宋体" w:hint="eastAsia"/>
          <w:bCs/>
          <w:spacing w:val="10"/>
          <w:sz w:val="28"/>
          <w:szCs w:val="28"/>
        </w:rPr>
      </w:pPr>
      <w:r>
        <w:rPr>
          <w:rFonts w:ascii="宋体" w:hAnsi="宋体" w:hint="eastAsia"/>
          <w:bCs/>
          <w:spacing w:val="10"/>
          <w:sz w:val="28"/>
          <w:szCs w:val="28"/>
        </w:rPr>
        <w:t>2.2质量保证措施</w:t>
      </w:r>
      <w:r>
        <w:rPr>
          <w:b/>
          <w:color w:val="FFFFFF"/>
          <w:sz w:val="0"/>
        </w:rPr>
        <w:t>.</w:t>
      </w:r>
    </w:p>
    <w:p>
      <w:pPr>
        <w:rPr>
          <w:rFonts w:ascii="宋体" w:hAnsi="宋体" w:hint="eastAsia"/>
          <w:spacing w:val="10"/>
          <w:sz w:val="28"/>
          <w:szCs w:val="28"/>
        </w:rPr>
      </w:pPr>
      <w:r>
        <w:rPr>
          <w:rFonts w:ascii="宋体" w:hAnsi="宋体" w:hint="eastAsia"/>
          <w:spacing w:val="10"/>
          <w:sz w:val="28"/>
          <w:szCs w:val="28"/>
        </w:rPr>
        <w:t>2.2.1质量保证体系</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①按标准要求，建立项目质量体系，严格执行程序文件规定。</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②工地必须建立以项目经理为首的质量管理小组，对违章违图作业的小组成员有权责令返工停工。工地要定期召开质量情况分析会，总结经验，接受教训，杜绝质量事故。</w:t>
      </w:r>
      <w:r>
        <w:rPr>
          <w:b/>
          <w:color w:val="FFFFFF"/>
          <w:sz w:val="0"/>
        </w:rPr>
        <w:t>.</w:t>
      </w:r>
    </w:p>
    <w:p>
      <w:pPr>
        <w:ind w:firstLine="540" w:firstLineChars="193"/>
        <w:rPr>
          <w:rFonts w:ascii="宋体" w:hAnsi="宋体" w:hint="eastAsia"/>
          <w:spacing w:val="10"/>
          <w:sz w:val="28"/>
          <w:szCs w:val="28"/>
        </w:rPr>
        <w:sectPr>
          <w:headerReference w:type="default" r:id="rId67"/>
          <w:footerReference w:type="even" r:id="rId68"/>
          <w:footerReference w:type="default" r:id="rId69"/>
          <w:type w:val="nextPage"/>
          <w:pgSz w:w="11906" w:h="16838"/>
          <w:pgMar w:top="1440" w:right="1418" w:bottom="1440" w:left="1814" w:header="851" w:footer="992" w:gutter="0"/>
          <w:pgNumType w:start="22"/>
          <w:cols w:num="1" w:space="425"/>
          <w:titlePg w:val="0"/>
          <w:docGrid w:type="lines" w:linePitch="312" w:charSpace="0"/>
        </w:sectPr>
      </w:pPr>
      <w:r>
        <w:rPr>
          <w:rFonts w:ascii="宋体" w:hAnsi="宋体"/>
          <w:spacing w:val="10"/>
          <w:sz w:val="28"/>
          <w:szCs w:val="28"/>
        </w:rPr>
        <w:t>③</w:t>
      </w:r>
    </w:p>
    <w:p>
      <w:pPr>
        <w:ind w:firstLine="540" w:firstLineChars="193"/>
        <w:rPr>
          <w:rFonts w:ascii="宋体" w:hAnsi="宋体" w:hint="eastAsia"/>
          <w:spacing w:val="10"/>
          <w:sz w:val="28"/>
          <w:szCs w:val="28"/>
        </w:rPr>
      </w:pPr>
      <w:r>
        <w:rPr>
          <w:rFonts w:ascii="宋体" w:hAnsi="宋体" w:hint="eastAsia"/>
          <w:spacing w:val="10"/>
          <w:sz w:val="28"/>
          <w:szCs w:val="28"/>
        </w:rPr>
        <w:t>推行全面质量管理，建立健全质量保证体系，建立完善的质量责任制，建立质量管理、技术管理和质量监督三大组织体系，并认真落实，使施工过程中各生产要素均有专人主控。施工中树立质量第一的观念，实行奖优罚劣，重奖重罚。</w:t>
      </w:r>
      <w:r>
        <w:rPr>
          <w:b/>
          <w:color w:val="FFFFFF"/>
          <w:sz w:val="0"/>
        </w:rPr>
        <w:t>.</w:t>
      </w:r>
    </w:p>
    <w:p>
      <w:pPr>
        <w:ind w:firstLine="504" w:firstLineChars="180"/>
        <w:rPr>
          <w:rFonts w:ascii="宋体" w:hAnsi="宋体" w:hint="eastAsia"/>
          <w:spacing w:val="10"/>
          <w:sz w:val="28"/>
          <w:szCs w:val="28"/>
        </w:rPr>
      </w:pPr>
      <w:r>
        <w:rPr>
          <w:rFonts w:ascii="宋体" w:hAnsi="宋体"/>
          <w:spacing w:val="10"/>
          <w:sz w:val="28"/>
          <w:szCs w:val="28"/>
        </w:rPr>
        <w:t>④</w:t>
      </w:r>
      <w:r>
        <w:rPr>
          <w:rFonts w:ascii="宋体" w:hAnsi="宋体" w:hint="eastAsia"/>
          <w:spacing w:val="10"/>
          <w:sz w:val="28"/>
          <w:szCs w:val="28"/>
        </w:rPr>
        <w:t>施工现场配备专职的质量检查小组， 加大现场的质量检查力度，坚持质量三检制，实行三上墙，推行样板引路。严格按国家质量验收标准进行检查、监督和验收。执行质量分级核验制度。</w:t>
      </w:r>
      <w:r>
        <w:rPr>
          <w:b/>
          <w:color w:val="FFFFFF"/>
          <w:sz w:val="0"/>
        </w:rPr>
        <w:t>.</w:t>
      </w:r>
    </w:p>
    <w:p>
      <w:pPr>
        <w:ind w:firstLine="504" w:firstLineChars="180"/>
        <w:rPr>
          <w:rFonts w:ascii="宋体" w:hAnsi="宋体" w:hint="eastAsia"/>
          <w:spacing w:val="10"/>
          <w:sz w:val="28"/>
          <w:szCs w:val="28"/>
        </w:rPr>
      </w:pPr>
      <w:r>
        <w:rPr>
          <w:rFonts w:ascii="宋体" w:hAnsi="宋体"/>
          <w:spacing w:val="10"/>
          <w:sz w:val="28"/>
          <w:szCs w:val="28"/>
        </w:rPr>
        <w:t>⑤</w:t>
      </w:r>
      <w:r>
        <w:rPr>
          <w:rFonts w:ascii="宋体" w:hAnsi="宋体" w:hint="eastAsia"/>
          <w:spacing w:val="10"/>
          <w:sz w:val="28"/>
          <w:szCs w:val="28"/>
        </w:rPr>
        <w:t>实行质量目标管理，搞好质量创优规划，并认真执行，在施工过程中实行跟踪管理，凡达不到规定的质量要求的均不能进行下道工序。对施工重点和难点，成立质量攻关QC小组，加强科技攻关力度。</w:t>
      </w:r>
      <w:r>
        <w:rPr>
          <w:b/>
          <w:color w:val="FFFFFF"/>
          <w:sz w:val="0"/>
        </w:rPr>
        <w:t>.</w:t>
      </w:r>
    </w:p>
    <w:p>
      <w:pPr>
        <w:ind w:firstLine="504" w:firstLineChars="180"/>
        <w:rPr>
          <w:rFonts w:ascii="宋体" w:hAnsi="宋体" w:hint="eastAsia"/>
          <w:spacing w:val="10"/>
          <w:sz w:val="28"/>
          <w:szCs w:val="28"/>
        </w:rPr>
      </w:pPr>
      <w:r>
        <w:rPr>
          <w:rFonts w:ascii="宋体" w:hAnsi="宋体"/>
          <w:spacing w:val="10"/>
          <w:sz w:val="28"/>
          <w:szCs w:val="28"/>
        </w:rPr>
        <w:t>⑥</w:t>
      </w:r>
      <w:r>
        <w:rPr>
          <w:rFonts w:ascii="宋体" w:hAnsi="宋体" w:hint="eastAsia"/>
          <w:spacing w:val="10"/>
          <w:sz w:val="28"/>
          <w:szCs w:val="28"/>
        </w:rPr>
        <w:t>施工人员认真审核、熟悉图纸，领会设计意图，了解施工程序，向施工班组作好交底，使操作者严格按工艺标准及要求进行施工。</w:t>
      </w:r>
      <w:r>
        <w:rPr>
          <w:b/>
          <w:color w:val="FFFFFF"/>
          <w:sz w:val="0"/>
        </w:rPr>
        <w:t>.</w:t>
      </w:r>
    </w:p>
    <w:p>
      <w:pPr>
        <w:ind w:firstLine="504" w:firstLineChars="180"/>
        <w:rPr>
          <w:rFonts w:ascii="宋体" w:hAnsi="宋体" w:hint="eastAsia"/>
          <w:spacing w:val="10"/>
          <w:sz w:val="28"/>
          <w:szCs w:val="28"/>
        </w:rPr>
      </w:pPr>
      <w:r>
        <w:rPr>
          <w:rFonts w:ascii="宋体" w:hAnsi="宋体"/>
          <w:spacing w:val="10"/>
          <w:sz w:val="28"/>
          <w:szCs w:val="28"/>
        </w:rPr>
        <w:t>⑦</w:t>
      </w:r>
      <w:r>
        <w:rPr>
          <w:rFonts w:ascii="宋体" w:hAnsi="宋体" w:hint="eastAsia"/>
          <w:spacing w:val="10"/>
          <w:sz w:val="28"/>
          <w:szCs w:val="28"/>
        </w:rPr>
        <w:t>做好预隐检工作，按施工进度及时办理预隐检验收记录。</w:t>
      </w:r>
      <w:r>
        <w:rPr>
          <w:b/>
          <w:color w:val="FFFFFF"/>
          <w:sz w:val="0"/>
        </w:rPr>
        <w:t>.</w:t>
      </w:r>
    </w:p>
    <w:p>
      <w:pPr>
        <w:ind w:firstLine="504" w:firstLineChars="180"/>
        <w:rPr>
          <w:rFonts w:ascii="宋体" w:hAnsi="宋体" w:hint="eastAsia"/>
          <w:b/>
          <w:spacing w:val="10"/>
          <w:sz w:val="28"/>
          <w:szCs w:val="28"/>
        </w:rPr>
      </w:pPr>
      <w:r>
        <w:rPr>
          <w:rFonts w:ascii="宋体" w:hAnsi="宋体"/>
          <w:spacing w:val="10"/>
          <w:sz w:val="28"/>
          <w:szCs w:val="28"/>
        </w:rPr>
        <w:t>⑧</w:t>
      </w:r>
      <w:r>
        <w:rPr>
          <w:rFonts w:ascii="宋体" w:hAnsi="宋体" w:hint="eastAsia"/>
          <w:spacing w:val="10"/>
          <w:sz w:val="28"/>
          <w:szCs w:val="28"/>
        </w:rPr>
        <w:t>严把材料进场关，材料必须选用经过评审的合格供应商提供的材料，所有进场材料均要有合格证，对材料按规定试验，凡不合格材料一律不得使用。</w:t>
      </w:r>
      <w:r>
        <w:rPr>
          <w:b/>
          <w:color w:val="FFFFFF"/>
          <w:sz w:val="0"/>
        </w:rPr>
        <w:t>.</w:t>
      </w:r>
    </w:p>
    <w:p>
      <w:pPr>
        <w:ind w:firstLine="560" w:firstLineChars="200"/>
        <w:rPr>
          <w:rFonts w:ascii="宋体" w:hAnsi="宋体" w:hint="eastAsia"/>
          <w:spacing w:val="10"/>
          <w:sz w:val="28"/>
          <w:szCs w:val="28"/>
          <w:bdr w:val="single" w:sz="4" w:space="0" w:color="auto"/>
          <w:shd w:val="pct10" w:color="auto" w:fill="FFFFFF"/>
        </w:rPr>
      </w:pPr>
      <w:r>
        <w:rPr>
          <w:rFonts w:ascii="宋体" w:hAnsi="宋体"/>
          <w:spacing w:val="10"/>
          <w:sz w:val="28"/>
          <w:szCs w:val="28"/>
        </w:rPr>
        <w:t>⑨</w:t>
      </w:r>
      <w:r>
        <w:rPr>
          <w:rFonts w:ascii="宋体" w:hAnsi="宋体" w:hint="eastAsia"/>
          <w:spacing w:val="10"/>
          <w:sz w:val="28"/>
          <w:szCs w:val="28"/>
        </w:rPr>
        <w:t>加强施工现场的培训工作，提高工人质量意识及施工水平。</w:t>
      </w:r>
      <w:r>
        <w:rPr>
          <w:b/>
          <w:color w:val="FFFFFF"/>
          <w:sz w:val="0"/>
        </w:rPr>
        <w:t>.</w:t>
      </w:r>
    </w:p>
    <w:p>
      <w:pPr>
        <w:rPr>
          <w:rFonts w:ascii="宋体" w:hAnsi="宋体" w:hint="eastAsia"/>
          <w:spacing w:val="10"/>
          <w:sz w:val="28"/>
          <w:szCs w:val="28"/>
        </w:rPr>
      </w:pPr>
      <w:r>
        <w:rPr>
          <w:rFonts w:ascii="宋体" w:hAnsi="宋体" w:hint="eastAsia"/>
          <w:spacing w:val="10"/>
          <w:sz w:val="28"/>
          <w:szCs w:val="28"/>
        </w:rPr>
        <w:t>2.2.2质量保证措施</w:t>
      </w:r>
      <w:r>
        <w:rPr>
          <w:b/>
          <w:color w:val="FFFFFF"/>
          <w:sz w:val="0"/>
        </w:rPr>
        <w:t>.</w:t>
      </w:r>
    </w:p>
    <w:p>
      <w:pPr>
        <w:ind w:firstLine="560" w:firstLineChars="200"/>
        <w:rPr>
          <w:rFonts w:ascii="宋体" w:hAnsi="宋体" w:hint="eastAsia"/>
          <w:spacing w:val="10"/>
          <w:sz w:val="28"/>
          <w:szCs w:val="28"/>
        </w:rPr>
        <w:sectPr>
          <w:headerReference w:type="default" r:id="rId70"/>
          <w:footerReference w:type="even" r:id="rId71"/>
          <w:footerReference w:type="default" r:id="rId72"/>
          <w:type w:val="nextPage"/>
          <w:pgSz w:w="11906" w:h="16838"/>
          <w:pgMar w:top="1440" w:right="1418" w:bottom="1440" w:left="1814" w:header="851" w:footer="992" w:gutter="0"/>
          <w:pgNumType w:start="23"/>
          <w:cols w:num="1" w:space="425"/>
          <w:titlePg w:val="0"/>
          <w:docGrid w:type="lines" w:linePitch="312" w:charSpace="0"/>
        </w:sectPr>
      </w:pPr>
      <w:r>
        <w:rPr>
          <w:rFonts w:ascii="宋体" w:hAnsi="宋体" w:hint="eastAsia"/>
          <w:spacing w:val="10"/>
          <w:sz w:val="28"/>
          <w:szCs w:val="28"/>
        </w:rPr>
        <w:t>①针对本工程结构形式，采用定型钢膜板、竹胶模板、碗扣式脚手架、水平粗直径钢筋模具焊、电渣压力焊连接等建设部推广的新技术新方法，提高施工质量。</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②根据施工组织设计中各分部分项工程程序，工艺流程操作方法和有关规定、规范、规程，施工技术人员向操作班组进行交底，特别是一些采用新材料、新技术、新方法的分项工程，要进行试验和做样板试验后总结经验，拟定操作规程，再向操作班组详细交底。</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③加强材料管理。对各种材料、构件、配件，必须具有出厂合格证或检验报告，按设计要求和有关规定进行验收，凡不合格的材料一律不得使用，必要时，请材料、构件检验中心作抽样检验。</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④操作过程中要经常检查并纠正偏差，特别是采用新材料、新技术、新方法的分部工程，或者对质量、安全影响重大的分项工程要严格检查务使各道工序按施工组织设计和有关规定、规范的要求操作，把问题消灭在萌芽状态。</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⑤各层各段的分项工程完成后，组织质量检查和评定工作组进行分部工程的质量检查验收。严格执行自检、工序交接和质检员专检制度，上道工序没有完成，决不能进行下道工序。</w:t>
      </w:r>
      <w:r>
        <w:rPr>
          <w:b/>
          <w:color w:val="FFFFFF"/>
          <w:sz w:val="0"/>
        </w:rPr>
        <w:t>.</w:t>
      </w:r>
    </w:p>
    <w:p>
      <w:pPr>
        <w:ind w:firstLine="560" w:firstLineChars="200"/>
        <w:rPr>
          <w:rFonts w:ascii="宋体" w:hAnsi="宋体" w:hint="eastAsia"/>
          <w:spacing w:val="10"/>
          <w:sz w:val="28"/>
          <w:szCs w:val="28"/>
        </w:rPr>
      </w:pPr>
      <w:r>
        <w:rPr>
          <w:rFonts w:ascii="宋体" w:hAnsi="宋体" w:hint="eastAsia"/>
          <w:spacing w:val="10"/>
          <w:sz w:val="28"/>
          <w:szCs w:val="28"/>
        </w:rPr>
        <w:t>⑥严格控制建筑物的标高和垂直度，并由建设单位委托具有相关资质的部门对工程的沉降进行观测。</w:t>
      </w:r>
      <w:r>
        <w:rPr>
          <w:b/>
          <w:color w:val="FFFFFF"/>
          <w:sz w:val="0"/>
        </w:rPr>
        <w:t>.</w:t>
      </w:r>
    </w:p>
    <w:p>
      <w:pPr>
        <w:ind w:left="280" w:firstLine="557" w:firstLineChars="199"/>
        <w:rPr>
          <w:rFonts w:ascii="宋体" w:hAnsi="宋体" w:hint="eastAsia"/>
          <w:spacing w:val="10"/>
          <w:sz w:val="28"/>
          <w:szCs w:val="28"/>
        </w:rPr>
      </w:pPr>
      <w:r>
        <w:rPr>
          <w:rFonts w:ascii="宋体" w:hAnsi="宋体" w:hint="eastAsia"/>
          <w:spacing w:val="10"/>
          <w:sz w:val="28"/>
          <w:szCs w:val="28"/>
        </w:rPr>
        <w:t>现场所用的水准仪、经纬仪、钢尺等测量工具，必须经国家计量部门检测合格方可使用。</w:t>
      </w:r>
      <w:r>
        <w:rPr>
          <w:b/>
          <w:color w:val="FFFFFF"/>
          <w:sz w:val="0"/>
        </w:rPr>
        <w:t>.</w:t>
      </w:r>
    </w:p>
    <w:p>
      <w:pPr>
        <w:ind w:left="280" w:firstLine="557" w:firstLineChars="199"/>
        <w:rPr>
          <w:rFonts w:ascii="宋体" w:hAnsi="宋体" w:hint="eastAsia"/>
          <w:spacing w:val="10"/>
          <w:sz w:val="28"/>
          <w:szCs w:val="28"/>
        </w:rPr>
      </w:pPr>
      <w:r>
        <w:rPr>
          <w:rFonts w:ascii="宋体" w:hAnsi="宋体" w:hint="eastAsia"/>
          <w:spacing w:val="10"/>
          <w:sz w:val="28"/>
          <w:szCs w:val="28"/>
        </w:rPr>
        <w:t>建筑物大角确定为控制轴，控制引桩做好保护，作为每层放线依据，每层各条轴线由控制桩用经纬仪上引，并用钢尺实量其间距，校正后再开始施工。</w:t>
      </w:r>
      <w:r>
        <w:rPr>
          <w:b/>
          <w:color w:val="FFFFFF"/>
          <w:sz w:val="0"/>
        </w:rPr>
        <w:t>.</w:t>
      </w:r>
      <w:r>
        <w:rPr>
          <w:rFonts w:ascii="宋体" w:hAnsi="宋体" w:hint="eastAsia"/>
          <w:spacing w:val="10"/>
          <w:sz w:val="28"/>
          <w:szCs w:val="28"/>
        </w:rPr>
        <w:br/>
      </w:r>
      <w:r>
        <w:rPr>
          <w:rFonts w:ascii="宋体" w:hAnsi="宋体" w:hint="eastAsia"/>
          <w:spacing w:val="1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https://d.book118.com/958102126116006026</w:t>
        </w:r>
      </w:hyperlink>
    </w:p>
    <w:p>
      <w:pPr>
        <w:ind w:left="280" w:firstLine="557" w:firstLineChars="199"/>
        <w:rPr>
          <w:rFonts w:ascii="宋体" w:hAnsi="宋体" w:hint="eastAsia"/>
          <w:spacing w:val="10"/>
          <w:sz w:val="28"/>
          <w:szCs w:val="28"/>
        </w:rPr>
      </w:pPr>
    </w:p>
    <w:sectPr>
      <w:headerReference w:type="default" r:id="rId74"/>
      <w:footerReference w:type="even" r:id="rId75"/>
      <w:footerReference w:type="default" r:id="rId76"/>
      <w:type w:val="nextPage"/>
      <w:pgSz w:w="11906" w:h="16838"/>
      <w:pgMar w:top="1440" w:right="1418" w:bottom="1440" w:left="1814"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w:t>
    </w:r>
    <w:r>
      <w:rPr>
        <w:rStyle w:val="PageNumber"/>
        <w:sz w:val="21"/>
        <w:szCs w:val="21"/>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w:t>
    </w:r>
    <w:r>
      <w:rPr>
        <w:rStyle w:val="PageNumber"/>
        <w:sz w:val="21"/>
        <w:szCs w:val="21"/>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4</w:t>
    </w:r>
    <w:r>
      <w:rPr>
        <w:rStyle w:val="PageNumber"/>
        <w:sz w:val="21"/>
        <w:szCs w:val="21"/>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4</w:t>
    </w:r>
    <w:r>
      <w:rPr>
        <w:rStyle w:val="PageNumber"/>
        <w:sz w:val="21"/>
        <w:szCs w:val="21"/>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5</w:t>
    </w:r>
    <w:r>
      <w:rPr>
        <w:rStyle w:val="PageNumber"/>
        <w:sz w:val="21"/>
        <w:szCs w:val="21"/>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6</w:t>
    </w:r>
    <w:r>
      <w:rPr>
        <w:rStyle w:val="PageNumber"/>
        <w:sz w:val="21"/>
        <w:szCs w:val="21"/>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8</w:t>
    </w:r>
    <w:r>
      <w:rPr>
        <w:rStyle w:val="PageNumber"/>
        <w:sz w:val="21"/>
        <w:szCs w:val="21"/>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8</w:t>
    </w:r>
    <w:r>
      <w:rPr>
        <w:rStyle w:val="PageNumber"/>
        <w:sz w:val="21"/>
        <w:szCs w:val="21"/>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9</w:t>
    </w:r>
    <w:r>
      <w:rPr>
        <w:rStyle w:val="PageNumber"/>
        <w:sz w:val="21"/>
        <w:szCs w:val="21"/>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10</w:t>
    </w:r>
    <w:r>
      <w:rPr>
        <w:rStyle w:val="PageNumber"/>
        <w:sz w:val="21"/>
        <w:szCs w:val="21"/>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12</w:t>
    </w:r>
    <w:r>
      <w:rPr>
        <w:rStyle w:val="PageNumber"/>
        <w:sz w:val="21"/>
        <w:szCs w:val="21"/>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12</w:t>
    </w:r>
    <w:r>
      <w:rPr>
        <w:rStyle w:val="PageNumber"/>
        <w:sz w:val="21"/>
        <w:szCs w:val="21"/>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13</w:t>
    </w:r>
    <w:r>
      <w:rPr>
        <w:rStyle w:val="PageNumber"/>
        <w:sz w:val="21"/>
        <w:szCs w:val="21"/>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15</w:t>
    </w:r>
    <w:r>
      <w:rPr>
        <w:rStyle w:val="PageNumber"/>
        <w:sz w:val="21"/>
        <w:szCs w:val="21"/>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16</w:t>
    </w:r>
    <w:r>
      <w:rPr>
        <w:rStyle w:val="PageNumber"/>
        <w:sz w:val="21"/>
        <w:szCs w:val="21"/>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17</w:t>
    </w:r>
    <w:r>
      <w:rPr>
        <w:rStyle w:val="PageNumber"/>
        <w:sz w:val="21"/>
        <w:szCs w:val="21"/>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17</w:t>
    </w:r>
    <w:r>
      <w:rPr>
        <w:rStyle w:val="PageNumber"/>
        <w:sz w:val="21"/>
        <w:szCs w:val="21"/>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19</w:t>
    </w:r>
    <w:r>
      <w:rPr>
        <w:rStyle w:val="PageNumber"/>
        <w:sz w:val="21"/>
        <w:szCs w:val="21"/>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19</w:t>
    </w:r>
    <w:r>
      <w:rPr>
        <w:rStyle w:val="PageNumber"/>
        <w:sz w:val="21"/>
        <w:szCs w:val="21"/>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21</w:t>
    </w:r>
    <w:r>
      <w:rPr>
        <w:rStyle w:val="PageNumber"/>
        <w:sz w:val="21"/>
        <w:szCs w:val="21"/>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21</w:t>
    </w:r>
    <w:r>
      <w:rPr>
        <w:rStyle w:val="PageNumber"/>
        <w:sz w:val="21"/>
        <w:szCs w:val="21"/>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22</w:t>
    </w:r>
    <w:r>
      <w:rPr>
        <w:rStyle w:val="PageNumber"/>
        <w:sz w:val="21"/>
        <w:szCs w:val="21"/>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24</w:t>
    </w:r>
    <w:r>
      <w:rPr>
        <w:rStyle w:val="PageNumber"/>
        <w:sz w:val="21"/>
        <w:szCs w:val="21"/>
      </w:rPr>
      <w:fldChar w:fldCharType="end"/>
    </w:r>
  </w:p>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rStyle w:val="PageNumber"/>
        <w:sz w:val="21"/>
        <w:szCs w:val="21"/>
      </w:rPr>
      <w:fldChar w:fldCharType="begin"/>
    </w:r>
    <w:r>
      <w:rPr>
        <w:rStyle w:val="PageNumber"/>
        <w:sz w:val="21"/>
        <w:szCs w:val="21"/>
      </w:rPr>
      <w:instrText xml:space="preserve">PAGE  </w:instrText>
    </w:r>
    <w:r>
      <w:rPr>
        <w:rStyle w:val="PageNumber"/>
        <w:sz w:val="21"/>
        <w:szCs w:val="21"/>
      </w:rPr>
      <w:fldChar w:fldCharType="separate"/>
    </w:r>
    <w:r>
      <w:rPr>
        <w:rStyle w:val="PageNumber"/>
        <w:sz w:val="21"/>
        <w:szCs w:val="21"/>
      </w:rPr>
      <w:t>24</w:t>
    </w:r>
    <w:r>
      <w:rPr>
        <w:rStyle w:val="PageNumber"/>
        <w:sz w:val="21"/>
        <w:szCs w:val="21"/>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BreakWrappedTables/>
    <w:doNotSnapToGridInCell/>
    <w:selectFldWithFirstOrLastChar/>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285"/>
    <w:rsid w:val="000017E4"/>
    <w:rsid w:val="000025A4"/>
    <w:rsid w:val="000148B0"/>
    <w:rsid w:val="00014B8B"/>
    <w:rsid w:val="00020AF1"/>
    <w:rsid w:val="00045650"/>
    <w:rsid w:val="00046941"/>
    <w:rsid w:val="00057C76"/>
    <w:rsid w:val="00060551"/>
    <w:rsid w:val="00062259"/>
    <w:rsid w:val="0006528A"/>
    <w:rsid w:val="000855B4"/>
    <w:rsid w:val="000A086F"/>
    <w:rsid w:val="000D74CD"/>
    <w:rsid w:val="000E5FD6"/>
    <w:rsid w:val="000F5715"/>
    <w:rsid w:val="00100CD9"/>
    <w:rsid w:val="0012641F"/>
    <w:rsid w:val="00130AAF"/>
    <w:rsid w:val="00136BDB"/>
    <w:rsid w:val="001400DE"/>
    <w:rsid w:val="00141442"/>
    <w:rsid w:val="00145B51"/>
    <w:rsid w:val="00152D49"/>
    <w:rsid w:val="00172A73"/>
    <w:rsid w:val="00177279"/>
    <w:rsid w:val="00177667"/>
    <w:rsid w:val="00190C35"/>
    <w:rsid w:val="00192FF2"/>
    <w:rsid w:val="00193C86"/>
    <w:rsid w:val="00194776"/>
    <w:rsid w:val="001949DA"/>
    <w:rsid w:val="001A2ECD"/>
    <w:rsid w:val="001A6281"/>
    <w:rsid w:val="001B633F"/>
    <w:rsid w:val="001C3DE2"/>
    <w:rsid w:val="001D5C0A"/>
    <w:rsid w:val="001E2105"/>
    <w:rsid w:val="001E2DD6"/>
    <w:rsid w:val="001E7C46"/>
    <w:rsid w:val="00205D01"/>
    <w:rsid w:val="00207FEB"/>
    <w:rsid w:val="002147B6"/>
    <w:rsid w:val="00217B7C"/>
    <w:rsid w:val="00222CD6"/>
    <w:rsid w:val="00225533"/>
    <w:rsid w:val="00233FB4"/>
    <w:rsid w:val="00236DC8"/>
    <w:rsid w:val="00246470"/>
    <w:rsid w:val="0025261F"/>
    <w:rsid w:val="00252EDF"/>
    <w:rsid w:val="00253406"/>
    <w:rsid w:val="002600E7"/>
    <w:rsid w:val="0027686E"/>
    <w:rsid w:val="00280314"/>
    <w:rsid w:val="0028411D"/>
    <w:rsid w:val="002A1FA0"/>
    <w:rsid w:val="002B4F28"/>
    <w:rsid w:val="002C5370"/>
    <w:rsid w:val="002D3EBA"/>
    <w:rsid w:val="0030636A"/>
    <w:rsid w:val="00332205"/>
    <w:rsid w:val="003371DE"/>
    <w:rsid w:val="0035195E"/>
    <w:rsid w:val="00357DE9"/>
    <w:rsid w:val="00362787"/>
    <w:rsid w:val="003708A2"/>
    <w:rsid w:val="00371477"/>
    <w:rsid w:val="00393528"/>
    <w:rsid w:val="00397522"/>
    <w:rsid w:val="003975D5"/>
    <w:rsid w:val="003A71DD"/>
    <w:rsid w:val="003B6865"/>
    <w:rsid w:val="003C0E08"/>
    <w:rsid w:val="003C107F"/>
    <w:rsid w:val="003D3B02"/>
    <w:rsid w:val="003E6237"/>
    <w:rsid w:val="003E7652"/>
    <w:rsid w:val="003F12D0"/>
    <w:rsid w:val="0040203F"/>
    <w:rsid w:val="00410AB3"/>
    <w:rsid w:val="00415177"/>
    <w:rsid w:val="00421F86"/>
    <w:rsid w:val="0045046C"/>
    <w:rsid w:val="004525C9"/>
    <w:rsid w:val="00454121"/>
    <w:rsid w:val="00456531"/>
    <w:rsid w:val="00471AD0"/>
    <w:rsid w:val="004A05C3"/>
    <w:rsid w:val="004A178F"/>
    <w:rsid w:val="004B585B"/>
    <w:rsid w:val="004B68A7"/>
    <w:rsid w:val="004D4541"/>
    <w:rsid w:val="004E73E4"/>
    <w:rsid w:val="00512298"/>
    <w:rsid w:val="0051250E"/>
    <w:rsid w:val="0053314F"/>
    <w:rsid w:val="0053427A"/>
    <w:rsid w:val="00543378"/>
    <w:rsid w:val="00543820"/>
    <w:rsid w:val="00543F10"/>
    <w:rsid w:val="00550F0B"/>
    <w:rsid w:val="005523E2"/>
    <w:rsid w:val="005535B1"/>
    <w:rsid w:val="00556ED3"/>
    <w:rsid w:val="00565ECF"/>
    <w:rsid w:val="005713D5"/>
    <w:rsid w:val="0058268B"/>
    <w:rsid w:val="00590F62"/>
    <w:rsid w:val="005911CF"/>
    <w:rsid w:val="005A605E"/>
    <w:rsid w:val="005B021A"/>
    <w:rsid w:val="005B7649"/>
    <w:rsid w:val="005C35C7"/>
    <w:rsid w:val="005C66F2"/>
    <w:rsid w:val="005E0A62"/>
    <w:rsid w:val="005E2413"/>
    <w:rsid w:val="00602140"/>
    <w:rsid w:val="0060317D"/>
    <w:rsid w:val="00607846"/>
    <w:rsid w:val="0061188C"/>
    <w:rsid w:val="006173DE"/>
    <w:rsid w:val="00623653"/>
    <w:rsid w:val="00633D0E"/>
    <w:rsid w:val="00641586"/>
    <w:rsid w:val="00651605"/>
    <w:rsid w:val="00652E6B"/>
    <w:rsid w:val="006635CB"/>
    <w:rsid w:val="00680F27"/>
    <w:rsid w:val="00685347"/>
    <w:rsid w:val="00691CB7"/>
    <w:rsid w:val="006A0D53"/>
    <w:rsid w:val="006A1016"/>
    <w:rsid w:val="006A3A8F"/>
    <w:rsid w:val="006A5C80"/>
    <w:rsid w:val="006B4066"/>
    <w:rsid w:val="006C03BE"/>
    <w:rsid w:val="006C4A69"/>
    <w:rsid w:val="006C4B29"/>
    <w:rsid w:val="006C617C"/>
    <w:rsid w:val="006D3C5C"/>
    <w:rsid w:val="006D3ED4"/>
    <w:rsid w:val="006D696C"/>
    <w:rsid w:val="006E1115"/>
    <w:rsid w:val="006E613F"/>
    <w:rsid w:val="006E7C8D"/>
    <w:rsid w:val="006F22CE"/>
    <w:rsid w:val="006F551A"/>
    <w:rsid w:val="006F5A13"/>
    <w:rsid w:val="007013CD"/>
    <w:rsid w:val="00716433"/>
    <w:rsid w:val="00717B10"/>
    <w:rsid w:val="00721B49"/>
    <w:rsid w:val="00725722"/>
    <w:rsid w:val="007373EB"/>
    <w:rsid w:val="00737CBB"/>
    <w:rsid w:val="00740912"/>
    <w:rsid w:val="007451EC"/>
    <w:rsid w:val="0075135C"/>
    <w:rsid w:val="00752375"/>
    <w:rsid w:val="007608CF"/>
    <w:rsid w:val="0076096A"/>
    <w:rsid w:val="0076506C"/>
    <w:rsid w:val="00772624"/>
    <w:rsid w:val="00782814"/>
    <w:rsid w:val="00787180"/>
    <w:rsid w:val="0079215B"/>
    <w:rsid w:val="007972FF"/>
    <w:rsid w:val="007A0BF2"/>
    <w:rsid w:val="007A500D"/>
    <w:rsid w:val="007A773B"/>
    <w:rsid w:val="007B6BB2"/>
    <w:rsid w:val="007F2B74"/>
    <w:rsid w:val="007F657B"/>
    <w:rsid w:val="008034EF"/>
    <w:rsid w:val="00805B9D"/>
    <w:rsid w:val="00816C31"/>
    <w:rsid w:val="008509D8"/>
    <w:rsid w:val="00854503"/>
    <w:rsid w:val="00857601"/>
    <w:rsid w:val="008618B0"/>
    <w:rsid w:val="00865109"/>
    <w:rsid w:val="00874456"/>
    <w:rsid w:val="00877187"/>
    <w:rsid w:val="008834BB"/>
    <w:rsid w:val="008A1D6B"/>
    <w:rsid w:val="008A3D88"/>
    <w:rsid w:val="008B12CE"/>
    <w:rsid w:val="008B3F5A"/>
    <w:rsid w:val="008B450D"/>
    <w:rsid w:val="008B62DB"/>
    <w:rsid w:val="008D5F37"/>
    <w:rsid w:val="008E34D4"/>
    <w:rsid w:val="009135A7"/>
    <w:rsid w:val="00922905"/>
    <w:rsid w:val="0095435B"/>
    <w:rsid w:val="009628AE"/>
    <w:rsid w:val="00975C48"/>
    <w:rsid w:val="009808B9"/>
    <w:rsid w:val="009B2440"/>
    <w:rsid w:val="009D4079"/>
    <w:rsid w:val="009F1A72"/>
    <w:rsid w:val="009F41AF"/>
    <w:rsid w:val="009F4799"/>
    <w:rsid w:val="00A028E4"/>
    <w:rsid w:val="00A03241"/>
    <w:rsid w:val="00A049A2"/>
    <w:rsid w:val="00A11EF9"/>
    <w:rsid w:val="00A14A34"/>
    <w:rsid w:val="00A23114"/>
    <w:rsid w:val="00A31142"/>
    <w:rsid w:val="00A31EA5"/>
    <w:rsid w:val="00A33916"/>
    <w:rsid w:val="00A61B42"/>
    <w:rsid w:val="00A63EEA"/>
    <w:rsid w:val="00A66F0B"/>
    <w:rsid w:val="00A67A18"/>
    <w:rsid w:val="00A839B1"/>
    <w:rsid w:val="00A90281"/>
    <w:rsid w:val="00A9391D"/>
    <w:rsid w:val="00A969CB"/>
    <w:rsid w:val="00A96D4B"/>
    <w:rsid w:val="00AA3221"/>
    <w:rsid w:val="00AA5D6E"/>
    <w:rsid w:val="00AC7A9B"/>
    <w:rsid w:val="00AD200E"/>
    <w:rsid w:val="00AE0EE2"/>
    <w:rsid w:val="00AE1C8D"/>
    <w:rsid w:val="00AE533F"/>
    <w:rsid w:val="00AF6464"/>
    <w:rsid w:val="00B03517"/>
    <w:rsid w:val="00B039C8"/>
    <w:rsid w:val="00B03AC8"/>
    <w:rsid w:val="00B10888"/>
    <w:rsid w:val="00B21794"/>
    <w:rsid w:val="00B22BF7"/>
    <w:rsid w:val="00B2318E"/>
    <w:rsid w:val="00B2374F"/>
    <w:rsid w:val="00B341E1"/>
    <w:rsid w:val="00B34279"/>
    <w:rsid w:val="00B53A38"/>
    <w:rsid w:val="00B568E1"/>
    <w:rsid w:val="00B57828"/>
    <w:rsid w:val="00B716A5"/>
    <w:rsid w:val="00B72968"/>
    <w:rsid w:val="00B84AAE"/>
    <w:rsid w:val="00B91BCA"/>
    <w:rsid w:val="00B97178"/>
    <w:rsid w:val="00BB4FA0"/>
    <w:rsid w:val="00BC3D63"/>
    <w:rsid w:val="00BC78D5"/>
    <w:rsid w:val="00BC7D6A"/>
    <w:rsid w:val="00BD1351"/>
    <w:rsid w:val="00BE2F50"/>
    <w:rsid w:val="00BF0122"/>
    <w:rsid w:val="00BF08D4"/>
    <w:rsid w:val="00C02697"/>
    <w:rsid w:val="00C03472"/>
    <w:rsid w:val="00C10C19"/>
    <w:rsid w:val="00C24E6E"/>
    <w:rsid w:val="00C30F23"/>
    <w:rsid w:val="00C32D35"/>
    <w:rsid w:val="00C3378E"/>
    <w:rsid w:val="00C458A4"/>
    <w:rsid w:val="00C462AF"/>
    <w:rsid w:val="00C54699"/>
    <w:rsid w:val="00C6090B"/>
    <w:rsid w:val="00C61293"/>
    <w:rsid w:val="00C6454B"/>
    <w:rsid w:val="00C83C7C"/>
    <w:rsid w:val="00CB00AA"/>
    <w:rsid w:val="00CB0309"/>
    <w:rsid w:val="00CB08AE"/>
    <w:rsid w:val="00CB40BD"/>
    <w:rsid w:val="00CB733E"/>
    <w:rsid w:val="00CC0388"/>
    <w:rsid w:val="00CD3422"/>
    <w:rsid w:val="00CD47A5"/>
    <w:rsid w:val="00CF2402"/>
    <w:rsid w:val="00D00224"/>
    <w:rsid w:val="00D0493A"/>
    <w:rsid w:val="00D0632E"/>
    <w:rsid w:val="00D15776"/>
    <w:rsid w:val="00D17148"/>
    <w:rsid w:val="00D325D3"/>
    <w:rsid w:val="00D32901"/>
    <w:rsid w:val="00D500BF"/>
    <w:rsid w:val="00D5268C"/>
    <w:rsid w:val="00D56FA1"/>
    <w:rsid w:val="00D6781F"/>
    <w:rsid w:val="00D67DE7"/>
    <w:rsid w:val="00D75919"/>
    <w:rsid w:val="00D84BBA"/>
    <w:rsid w:val="00DA35E4"/>
    <w:rsid w:val="00DA7029"/>
    <w:rsid w:val="00DB1CF0"/>
    <w:rsid w:val="00DB5376"/>
    <w:rsid w:val="00DC65F6"/>
    <w:rsid w:val="00DD7CC5"/>
    <w:rsid w:val="00DE16EB"/>
    <w:rsid w:val="00DF3F5D"/>
    <w:rsid w:val="00E00F06"/>
    <w:rsid w:val="00E01067"/>
    <w:rsid w:val="00E0248A"/>
    <w:rsid w:val="00E04532"/>
    <w:rsid w:val="00E1493C"/>
    <w:rsid w:val="00E1592A"/>
    <w:rsid w:val="00E15AFB"/>
    <w:rsid w:val="00E31F3D"/>
    <w:rsid w:val="00E33F4E"/>
    <w:rsid w:val="00E41EA4"/>
    <w:rsid w:val="00E43CAF"/>
    <w:rsid w:val="00E47795"/>
    <w:rsid w:val="00E547E3"/>
    <w:rsid w:val="00E6297C"/>
    <w:rsid w:val="00E63808"/>
    <w:rsid w:val="00EA3172"/>
    <w:rsid w:val="00EB3F3B"/>
    <w:rsid w:val="00EB5258"/>
    <w:rsid w:val="00EC374F"/>
    <w:rsid w:val="00ED3639"/>
    <w:rsid w:val="00EF5285"/>
    <w:rsid w:val="00F066D8"/>
    <w:rsid w:val="00F1745C"/>
    <w:rsid w:val="00F262C9"/>
    <w:rsid w:val="00F26FE4"/>
    <w:rsid w:val="00F34FEF"/>
    <w:rsid w:val="00F50F7E"/>
    <w:rsid w:val="00F56AC0"/>
    <w:rsid w:val="00F578B0"/>
    <w:rsid w:val="00F61CBF"/>
    <w:rsid w:val="00F61E8E"/>
    <w:rsid w:val="00F646B8"/>
    <w:rsid w:val="00F66723"/>
    <w:rsid w:val="00F707D0"/>
    <w:rsid w:val="00F71307"/>
    <w:rsid w:val="00F77322"/>
    <w:rsid w:val="00F909CD"/>
    <w:rsid w:val="00F97D7E"/>
    <w:rsid w:val="00FA49AC"/>
    <w:rsid w:val="00FB0869"/>
    <w:rsid w:val="00FB1BC2"/>
    <w:rsid w:val="00FB228A"/>
    <w:rsid w:val="00FB7F51"/>
    <w:rsid w:val="00FC2446"/>
    <w:rsid w:val="00FC5D2D"/>
    <w:rsid w:val="00FE260B"/>
    <w:rsid w:val="00FF46EE"/>
    <w:rsid w:val="491E376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BodyTextIndent2">
    <w:name w:val="Body Text Indent 2"/>
    <w:basedOn w:val="Normal"/>
    <w:pPr>
      <w:spacing w:after="120" w:line="480" w:lineRule="auto"/>
      <w:ind w:left="420"/>
    </w:p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BodyTextIndent3">
    <w:name w:val="Body Text Indent 3"/>
    <w:basedOn w:val="Normal"/>
    <w:pPr>
      <w:ind w:firstLine="720" w:firstLineChars="225"/>
    </w:pPr>
    <w:rPr>
      <w:rFonts w:ascii="宋体" w:hAnsi="宋体"/>
      <w:sz w:val="32"/>
    </w:rPr>
  </w:style>
  <w:style w:type="table" w:styleId="TableGrid">
    <w:name w:val="Table Grid"/>
    <w:basedOn w:val="TableNormal"/>
    <w:pPr>
      <w:widowControl w:val="0"/>
      <w:jc w:val="both"/>
    </w:pPr>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eader" Target="header4.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header" Target="header5.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header" Target="header7.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header" Target="header8.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header" Target="header9.xml"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header" Target="header10.xm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header" Target="header11.xml" /><Relationship Id="rId35" Type="http://schemas.openxmlformats.org/officeDocument/2006/relationships/footer" Target="footer21.xml" /><Relationship Id="rId36" Type="http://schemas.openxmlformats.org/officeDocument/2006/relationships/footer" Target="footer22.xml" /><Relationship Id="rId37" Type="http://schemas.openxmlformats.org/officeDocument/2006/relationships/header" Target="header12.xml" /><Relationship Id="rId38" Type="http://schemas.openxmlformats.org/officeDocument/2006/relationships/footer" Target="footer23.xml" /><Relationship Id="rId39" Type="http://schemas.openxmlformats.org/officeDocument/2006/relationships/footer" Target="footer24.xml" /><Relationship Id="rId4" Type="http://schemas.openxmlformats.org/officeDocument/2006/relationships/header" Target="header1.xml" /><Relationship Id="rId40" Type="http://schemas.openxmlformats.org/officeDocument/2006/relationships/header" Target="header13.xml" /><Relationship Id="rId41" Type="http://schemas.openxmlformats.org/officeDocument/2006/relationships/footer" Target="footer25.xml" /><Relationship Id="rId42" Type="http://schemas.openxmlformats.org/officeDocument/2006/relationships/footer" Target="footer26.xml" /><Relationship Id="rId43" Type="http://schemas.openxmlformats.org/officeDocument/2006/relationships/header" Target="header14.xml" /><Relationship Id="rId44" Type="http://schemas.openxmlformats.org/officeDocument/2006/relationships/footer" Target="footer27.xml" /><Relationship Id="rId45" Type="http://schemas.openxmlformats.org/officeDocument/2006/relationships/footer" Target="footer28.xml" /><Relationship Id="rId46" Type="http://schemas.openxmlformats.org/officeDocument/2006/relationships/header" Target="header15.xml" /><Relationship Id="rId47" Type="http://schemas.openxmlformats.org/officeDocument/2006/relationships/footer" Target="footer29.xml" /><Relationship Id="rId48" Type="http://schemas.openxmlformats.org/officeDocument/2006/relationships/footer" Target="footer30.xml" /><Relationship Id="rId49" Type="http://schemas.openxmlformats.org/officeDocument/2006/relationships/header" Target="header16.xml" /><Relationship Id="rId5" Type="http://schemas.openxmlformats.org/officeDocument/2006/relationships/footer" Target="footer1.xml" /><Relationship Id="rId50" Type="http://schemas.openxmlformats.org/officeDocument/2006/relationships/footer" Target="footer31.xml" /><Relationship Id="rId51" Type="http://schemas.openxmlformats.org/officeDocument/2006/relationships/footer" Target="footer32.xml" /><Relationship Id="rId52" Type="http://schemas.openxmlformats.org/officeDocument/2006/relationships/header" Target="header17.xml" /><Relationship Id="rId53" Type="http://schemas.openxmlformats.org/officeDocument/2006/relationships/footer" Target="footer33.xml" /><Relationship Id="rId54" Type="http://schemas.openxmlformats.org/officeDocument/2006/relationships/footer" Target="footer34.xml" /><Relationship Id="rId55" Type="http://schemas.openxmlformats.org/officeDocument/2006/relationships/header" Target="header18.xml" /><Relationship Id="rId56" Type="http://schemas.openxmlformats.org/officeDocument/2006/relationships/footer" Target="footer35.xml" /><Relationship Id="rId57" Type="http://schemas.openxmlformats.org/officeDocument/2006/relationships/footer" Target="footer36.xml" /><Relationship Id="rId58" Type="http://schemas.openxmlformats.org/officeDocument/2006/relationships/header" Target="header19.xml" /><Relationship Id="rId59" Type="http://schemas.openxmlformats.org/officeDocument/2006/relationships/footer" Target="footer37.xml" /><Relationship Id="rId6" Type="http://schemas.openxmlformats.org/officeDocument/2006/relationships/footer" Target="footer2.xml" /><Relationship Id="rId60" Type="http://schemas.openxmlformats.org/officeDocument/2006/relationships/footer" Target="footer38.xml" /><Relationship Id="rId61" Type="http://schemas.openxmlformats.org/officeDocument/2006/relationships/header" Target="header20.xml" /><Relationship Id="rId62" Type="http://schemas.openxmlformats.org/officeDocument/2006/relationships/footer" Target="footer39.xml" /><Relationship Id="rId63" Type="http://schemas.openxmlformats.org/officeDocument/2006/relationships/footer" Target="footer40.xml" /><Relationship Id="rId64" Type="http://schemas.openxmlformats.org/officeDocument/2006/relationships/header" Target="header21.xml" /><Relationship Id="rId65" Type="http://schemas.openxmlformats.org/officeDocument/2006/relationships/footer" Target="footer41.xml" /><Relationship Id="rId66" Type="http://schemas.openxmlformats.org/officeDocument/2006/relationships/footer" Target="footer42.xml" /><Relationship Id="rId67" Type="http://schemas.openxmlformats.org/officeDocument/2006/relationships/header" Target="header22.xml" /><Relationship Id="rId68" Type="http://schemas.openxmlformats.org/officeDocument/2006/relationships/footer" Target="footer43.xml" /><Relationship Id="rId69" Type="http://schemas.openxmlformats.org/officeDocument/2006/relationships/footer" Target="footer44.xml" /><Relationship Id="rId7" Type="http://schemas.openxmlformats.org/officeDocument/2006/relationships/header" Target="header2.xml" /><Relationship Id="rId70" Type="http://schemas.openxmlformats.org/officeDocument/2006/relationships/header" Target="header23.xml" /><Relationship Id="rId71" Type="http://schemas.openxmlformats.org/officeDocument/2006/relationships/footer" Target="footer45.xml" /><Relationship Id="rId72" Type="http://schemas.openxmlformats.org/officeDocument/2006/relationships/footer" Target="footer46.xml" /><Relationship Id="rId73" Type="http://schemas.openxmlformats.org/officeDocument/2006/relationships/hyperlink" Target="https://d.book118.com/958102126116006026" TargetMode="External" /><Relationship Id="rId74" Type="http://schemas.openxmlformats.org/officeDocument/2006/relationships/header" Target="header24.xml" /><Relationship Id="rId75" Type="http://schemas.openxmlformats.org/officeDocument/2006/relationships/footer" Target="footer47.xml" /><Relationship Id="rId76" Type="http://schemas.openxmlformats.org/officeDocument/2006/relationships/footer" Target="footer48.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33</Pages>
  <Words>4075</Words>
  <Characters>23234</Characters>
  <Application>Microsoft Office Word</Application>
  <DocSecurity>0</DocSecurity>
  <Lines>193</Lines>
  <Paragraphs>54</Paragraphs>
  <ScaleCrop>false</ScaleCrop>
  <Company>您的单位名</Company>
  <LinksUpToDate>false</LinksUpToDate>
  <CharactersWithSpaces>27255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一、施工组织设计</dc:title>
  <dc:creator>您的用户名</dc:creator>
  <cp:lastModifiedBy>小海豹</cp:lastModifiedBy>
  <cp:revision>2</cp:revision>
  <cp:lastPrinted>2004-11-05T10:06:00Z</cp:lastPrinted>
  <dcterms:created xsi:type="dcterms:W3CDTF">2005-04-22T00:49:00Z</dcterms:created>
  <dcterms:modified xsi:type="dcterms:W3CDTF">2023-11-26T18:37:25Z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CCEACFE9746C4D0C957603C782E1E23E_13</vt:lpwstr>
  </property>
  <property fmtid="{D5CDD505-2E9C-101B-9397-08002B2CF9AE}" pid="3" name="KSOProductBuildVer">
    <vt:lpwstr>2052-12.1.0.15990</vt:lpwstr>
  </property>
</Properties>
</file>