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2024年带鱼养殖行业分析报告及未来五到十年行业发展趋势报告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6502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_Toc6502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276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_Toc22769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6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_Toc24763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2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_Toc12427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3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_Toc7235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0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_Toc21900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9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_Toc19092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09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_Toc1609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5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_Toc19054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4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_Toc22746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5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_Toc3754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84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_Toc25846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8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_Toc11980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1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_Toc3913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_Toc1864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29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_Toc6296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53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_Toc26539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75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_Toc25753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58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_Toc5581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87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82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_Toc28482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4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_Toc17746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50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_Toc3950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51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_Toc20451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9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_Toc26394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6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_Toc14562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65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_Toc22965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42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_Toc24426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3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_Toc21933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8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_Toc23788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6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_Toc18564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0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_Toc880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5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_Toc5255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098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_Toc10980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1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_Toc7511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9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_Toc11790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4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_Toc27045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21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_Toc15321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17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_Toc3017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_Toc2052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1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_Toc20513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401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_Toc32401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58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_Toc26458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63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_Toc30563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29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_Toc13329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083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_Toc5083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7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_Toc24175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9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_Toc32393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4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_Toc9644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697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_Toc17697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6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_Toc26266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74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_Toc1874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350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_Toc18350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_Toc18749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90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_Toc15900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301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_Toc28301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98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_Toc31998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4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_Toc19341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96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_Toc9896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17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_Toc25517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42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_Toc6542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954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_Toc26954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22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带鱼养殖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_Toc15722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65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带鱼养殖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_Toc28865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787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_Toc6787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421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_Toc6421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192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_Toc5192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39" w:history="1">
        <w:r>
          <w:rPr>
            <w:rFonts w:eastAsia="微软雅黑" w:hint="eastAsia"/>
            <w:snapToGrid/>
            <w:lang w:val="en-US" w:eastAsia="zh-CN"/>
          </w:rPr>
          <w:t>(三)、创新力求突破</w:t>
        </w:r>
        <w:r>
          <w:tab/>
        </w:r>
        <w:r>
          <w:fldChar w:fldCharType="begin"/>
        </w:r>
        <w:r>
          <w:instrText xml:space="preserve"> PAGEREF _Toc16039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647" w:history="1">
        <w:r>
          <w:rPr>
            <w:rFonts w:eastAsia="微软雅黑" w:hint="eastAsia"/>
            <w:snapToGrid/>
            <w:lang w:val="en-US" w:eastAsia="zh-CN"/>
          </w:rPr>
          <w:t>1、基于消费升级的技术创新模型</w:t>
        </w:r>
        <w:r>
          <w:tab/>
        </w:r>
        <w:r>
          <w:fldChar w:fldCharType="begin"/>
        </w:r>
        <w:r>
          <w:instrText xml:space="preserve"> PAGEREF _Toc10647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https://d.book118.com/958102132066006024</w:t>
        </w:r>
      </w:hyperlink>
    </w:p>
    <w:p>
      <w:pPr>
        <w:pStyle w:val="TOC3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58102132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