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i w:val="0"/>
          <w:sz w:val="20"/>
        </w:rPr>
      </w:pPr>
    </w:p>
    <w:p>
      <w:pPr>
        <w:pStyle w:val="BodyText"/>
        <w:ind w:left="0"/>
        <w:rPr>
          <w:rFonts w:ascii="Times New Roman"/>
          <w:i w:val="0"/>
          <w:sz w:val="20"/>
        </w:rPr>
      </w:pPr>
    </w:p>
    <w:p>
      <w:pPr>
        <w:pStyle w:val="BodyText"/>
        <w:ind w:left="0"/>
        <w:rPr>
          <w:rFonts w:ascii="Times New Roman"/>
          <w:i w:val="0"/>
          <w:sz w:val="20"/>
        </w:rPr>
      </w:pPr>
    </w:p>
    <w:p>
      <w:pPr>
        <w:pStyle w:val="BodyText"/>
        <w:ind w:left="0"/>
        <w:rPr>
          <w:rFonts w:ascii="Times New Roman"/>
          <w:i w:val="0"/>
          <w:sz w:val="20"/>
        </w:rPr>
      </w:pPr>
    </w:p>
    <w:p>
      <w:pPr>
        <w:pStyle w:val="BodyText"/>
        <w:ind w:left="0"/>
        <w:rPr>
          <w:rFonts w:ascii="Times New Roman"/>
          <w:i w:val="0"/>
          <w:sz w:val="20"/>
        </w:rPr>
      </w:pPr>
    </w:p>
    <w:p>
      <w:pPr>
        <w:pStyle w:val="Title"/>
        <w:spacing w:line="938" w:lineRule="exact"/>
      </w:pPr>
      <w:r>
        <w:rPr>
          <w:spacing w:val="-16"/>
        </w:rPr>
        <w:t>广联置业</w:t>
      </w:r>
    </w:p>
    <w:p>
      <w:pPr>
        <w:pStyle w:val="Title"/>
        <w:spacing w:before="43" w:line="252" w:lineRule="auto"/>
        <w:ind w:left="3406"/>
      </w:pPr>
      <w:r>
        <w:rPr>
          <w:spacing w:val="-28"/>
        </w:rPr>
        <w:t>10</w:t>
      </w:r>
      <w:r>
        <w:rPr>
          <w:spacing w:val="-21"/>
        </w:rPr>
        <w:t xml:space="preserve"> 月至 </w:t>
      </w:r>
      <w:r>
        <w:rPr>
          <w:spacing w:val="-28"/>
        </w:rPr>
        <w:t>3</w:t>
      </w:r>
      <w:r>
        <w:rPr>
          <w:spacing w:val="-22"/>
        </w:rPr>
        <w:t xml:space="preserve"> 月份</w:t>
      </w:r>
      <w:r>
        <w:rPr>
          <w:spacing w:val="-2"/>
        </w:rPr>
        <w:t>营销推广计划</w:t>
      </w:r>
    </w:p>
    <w:p>
      <w:pPr>
        <w:pStyle w:val="BodyText"/>
        <w:ind w:left="0"/>
        <w:rPr>
          <w:rFonts w:ascii="Microsoft JhengHei"/>
          <w:b/>
          <w:i w:val="0"/>
          <w:sz w:val="52"/>
        </w:rPr>
      </w:pPr>
    </w:p>
    <w:p>
      <w:pPr>
        <w:pStyle w:val="BodyText"/>
        <w:ind w:left="0"/>
        <w:rPr>
          <w:rFonts w:ascii="Microsoft JhengHei"/>
          <w:b/>
          <w:i w:val="0"/>
          <w:sz w:val="52"/>
        </w:rPr>
      </w:pPr>
    </w:p>
    <w:p>
      <w:pPr>
        <w:pStyle w:val="BodyText"/>
        <w:ind w:left="0"/>
        <w:rPr>
          <w:rFonts w:ascii="Microsoft JhengHei"/>
          <w:b/>
          <w:i w:val="0"/>
          <w:sz w:val="52"/>
        </w:rPr>
      </w:pPr>
    </w:p>
    <w:p>
      <w:pPr>
        <w:pStyle w:val="BodyText"/>
        <w:ind w:left="0"/>
        <w:rPr>
          <w:rFonts w:ascii="Microsoft JhengHei"/>
          <w:b/>
          <w:i w:val="0"/>
          <w:sz w:val="52"/>
        </w:rPr>
      </w:pPr>
    </w:p>
    <w:p>
      <w:pPr>
        <w:pStyle w:val="BodyText"/>
        <w:ind w:left="0"/>
        <w:rPr>
          <w:rFonts w:ascii="Microsoft JhengHei"/>
          <w:b/>
          <w:i w:val="0"/>
          <w:sz w:val="52"/>
        </w:rPr>
      </w:pPr>
    </w:p>
    <w:p>
      <w:pPr>
        <w:pStyle w:val="BodyText"/>
        <w:ind w:left="0"/>
        <w:rPr>
          <w:rFonts w:ascii="Microsoft JhengHei"/>
          <w:b/>
          <w:i w:val="0"/>
          <w:sz w:val="52"/>
        </w:rPr>
      </w:pPr>
    </w:p>
    <w:p>
      <w:pPr>
        <w:pStyle w:val="BodyText"/>
        <w:ind w:left="0"/>
        <w:rPr>
          <w:rFonts w:ascii="Microsoft JhengHei"/>
          <w:b/>
          <w:i w:val="0"/>
          <w:sz w:val="52"/>
        </w:rPr>
      </w:pPr>
    </w:p>
    <w:p>
      <w:pPr>
        <w:pStyle w:val="BodyText"/>
        <w:ind w:left="0"/>
        <w:rPr>
          <w:rFonts w:ascii="Microsoft JhengHei"/>
          <w:b/>
          <w:i w:val="0"/>
          <w:sz w:val="55"/>
        </w:rPr>
      </w:pPr>
    </w:p>
    <w:p>
      <w:pPr>
        <w:spacing w:before="0" w:line="581" w:lineRule="exact"/>
        <w:ind w:left="3404" w:right="3389" w:firstLine="0"/>
        <w:jc w:val="center"/>
        <w:rPr>
          <w:rFonts w:ascii="Microsoft JhengHei" w:eastAsia="Microsoft JhengHei"/>
          <w:b/>
          <w:sz w:val="36"/>
        </w:rPr>
      </w:pPr>
      <w:r>
        <w:rPr>
          <w:rFonts w:ascii="Microsoft JhengHei" w:eastAsia="Microsoft JhengHei"/>
          <w:b/>
          <w:spacing w:val="-16"/>
          <w:sz w:val="36"/>
        </w:rPr>
        <w:t>广联置业营销中心</w:t>
      </w:r>
    </w:p>
    <w:p>
      <w:pPr>
        <w:spacing w:before="0" w:line="581" w:lineRule="exact"/>
        <w:ind w:left="3404" w:right="3389" w:firstLine="0"/>
        <w:jc w:val="center"/>
        <w:rPr>
          <w:rFonts w:ascii="Microsoft JhengHei" w:eastAsia="Microsoft JhengHei"/>
          <w:b/>
          <w:sz w:val="36"/>
        </w:rPr>
      </w:pPr>
      <w:r>
        <w:rPr>
          <w:rFonts w:ascii="Microsoft JhengHei" w:eastAsia="Microsoft JhengHei"/>
          <w:b/>
          <w:w w:val="90"/>
          <w:sz w:val="36"/>
        </w:rPr>
        <w:t>9</w:t>
      </w:r>
      <w:r>
        <w:rPr>
          <w:rFonts w:ascii="Microsoft JhengHei" w:eastAsia="Microsoft JhengHei"/>
          <w:b/>
          <w:spacing w:val="-6"/>
          <w:w w:val="90"/>
          <w:sz w:val="36"/>
        </w:rPr>
        <w:t xml:space="preserve"> 月 </w:t>
      </w:r>
      <w:r>
        <w:rPr>
          <w:rFonts w:ascii="Microsoft JhengHei" w:eastAsia="Microsoft JhengHei"/>
          <w:b/>
          <w:w w:val="90"/>
          <w:sz w:val="36"/>
        </w:rPr>
        <w:t>28</w:t>
      </w:r>
      <w:r>
        <w:rPr>
          <w:rFonts w:ascii="Microsoft JhengHei" w:eastAsia="Microsoft JhengHei"/>
          <w:b/>
          <w:spacing w:val="-7"/>
          <w:w w:val="90"/>
          <w:sz w:val="36"/>
        </w:rPr>
        <w:t xml:space="preserve"> 日</w:t>
      </w:r>
    </w:p>
    <w:p>
      <w:pPr>
        <w:spacing w:after="0" w:line="581" w:lineRule="exact"/>
        <w:jc w:val="center"/>
        <w:rPr>
          <w:rFonts w:ascii="Microsoft JhengHei" w:eastAsia="Microsoft JhengHei"/>
          <w:sz w:val="36"/>
        </w:rPr>
        <w:sectPr>
          <w:type w:val="continuous"/>
          <w:pgSz w:w="11910" w:h="16840"/>
          <w:pgMar w:top="1920" w:right="960" w:bottom="280" w:left="960" w:header="708" w:footer="708"/>
          <w:cols w:space="708"/>
        </w:sectPr>
      </w:pPr>
    </w:p>
    <w:p>
      <w:pPr>
        <w:pStyle w:val="Heading1"/>
        <w:spacing w:line="465" w:lineRule="exact"/>
        <w:ind w:left="3404" w:right="3389"/>
        <w:jc w:val="center"/>
      </w:pPr>
      <w:r>
        <w:rPr>
          <w:spacing w:val="12"/>
        </w:rPr>
        <w:t>目 录</w:t>
      </w:r>
    </w:p>
    <w:sdt>
      <w:sdtPr>
        <w:id w:val="95886411"/>
        <w:docPartObj>
          <w:docPartGallery w:val="Table of Contents"/>
          <w:docPartUnique/>
        </w:docPartObj>
      </w:sdtPr>
      <w:sdtContent>
        <w:p>
          <w:pPr>
            <w:pStyle w:val="TOC2"/>
            <w:tabs>
              <w:tab w:val="right" w:leader="dot" w:pos="9413"/>
            </w:tabs>
          </w:pPr>
          <w:hyperlink w:anchor="_TOC_250036" w:history="1">
            <w:r>
              <w:rPr>
                <w:spacing w:val="-18"/>
              </w:rPr>
              <w:t>一</w:t>
            </w:r>
            <w:r>
              <w:rPr>
                <w:spacing w:val="-18"/>
              </w:rPr>
              <w:t>、</w:t>
            </w:r>
            <w:r>
              <w:rPr>
                <w:spacing w:val="-18"/>
              </w:rPr>
              <w:t>前</w:t>
            </w:r>
            <w:r>
              <w:rPr>
                <w:spacing w:val="-18"/>
              </w:rPr>
              <w:t>言</w:t>
            </w:r>
            <w:r>
              <w:rPr>
                <w:rFonts w:ascii="Times New Roman" w:eastAsia="Times New Roman"/>
              </w:rPr>
              <w:tab/>
            </w:r>
            <w:r>
              <w:rPr>
                <w:spacing w:val="-10"/>
              </w:rPr>
              <w:t>2</w:t>
            </w:r>
          </w:hyperlink>
        </w:p>
        <w:p>
          <w:pPr>
            <w:pStyle w:val="TOC3"/>
            <w:tabs>
              <w:tab w:val="right" w:leader="dot" w:pos="9413"/>
            </w:tabs>
          </w:pPr>
          <w:hyperlink w:anchor="_TOC_250035" w:history="1">
            <w:r>
              <w:rPr>
                <w:spacing w:val="-18"/>
              </w:rPr>
              <w:t>二</w:t>
            </w:r>
            <w:r>
              <w:rPr>
                <w:spacing w:val="-18"/>
              </w:rPr>
              <w:t>、</w:t>
            </w:r>
            <w:r>
              <w:rPr>
                <w:spacing w:val="-18"/>
              </w:rPr>
              <w:t>市</w:t>
            </w:r>
            <w:r>
              <w:rPr>
                <w:spacing w:val="-18"/>
              </w:rPr>
              <w:t>场</w:t>
            </w:r>
            <w:r>
              <w:rPr>
                <w:spacing w:val="-18"/>
              </w:rPr>
              <w:t>分</w:t>
            </w:r>
            <w:r>
              <w:rPr>
                <w:spacing w:val="-18"/>
              </w:rPr>
              <w:t>析</w:t>
            </w:r>
            <w:r>
              <w:rPr>
                <w:rFonts w:ascii="Times New Roman" w:eastAsia="Times New Roman"/>
              </w:rPr>
              <w:tab/>
            </w:r>
            <w:r>
              <w:rPr>
                <w:spacing w:val="-10"/>
              </w:rPr>
              <w:t>2</w:t>
            </w:r>
          </w:hyperlink>
        </w:p>
        <w:p>
          <w:pPr>
            <w:pStyle w:val="TOC4"/>
            <w:tabs>
              <w:tab w:val="right" w:leader="dot" w:pos="9413"/>
            </w:tabs>
            <w:spacing w:before="69"/>
          </w:pPr>
          <w:hyperlink w:anchor="_TOC_250034" w:history="1">
            <w:r>
              <w:rPr>
                <w:spacing w:val="-18"/>
              </w:rPr>
              <w:t>（</w:t>
            </w:r>
            <w:r>
              <w:rPr>
                <w:spacing w:val="-18"/>
              </w:rPr>
              <w:t>一</w:t>
            </w:r>
            <w:r>
              <w:rPr>
                <w:spacing w:val="-117"/>
              </w:rPr>
              <w:t>）</w:t>
            </w:r>
            <w:r>
              <w:rPr>
                <w:spacing w:val="-18"/>
              </w:rPr>
              <w:t>、</w:t>
            </w:r>
            <w:r>
              <w:rPr>
                <w:spacing w:val="-18"/>
              </w:rPr>
              <w:t>整</w:t>
            </w:r>
            <w:r>
              <w:rPr>
                <w:spacing w:val="-18"/>
              </w:rPr>
              <w:t>体</w:t>
            </w:r>
            <w:r>
              <w:rPr>
                <w:spacing w:val="-18"/>
              </w:rPr>
              <w:t>环</w:t>
            </w:r>
            <w:r>
              <w:rPr>
                <w:spacing w:val="-18"/>
              </w:rPr>
              <w:t>境</w:t>
            </w:r>
            <w:r>
              <w:rPr>
                <w:rFonts w:ascii="Times New Roman" w:eastAsia="Times New Roman"/>
              </w:rPr>
              <w:tab/>
            </w:r>
            <w:r>
              <w:rPr>
                <w:spacing w:val="-10"/>
              </w:rPr>
              <w:t>2</w:t>
            </w:r>
          </w:hyperlink>
        </w:p>
        <w:p>
          <w:pPr>
            <w:pStyle w:val="TOC4"/>
            <w:tabs>
              <w:tab w:val="right" w:leader="dot" w:pos="9413"/>
            </w:tabs>
          </w:pPr>
          <w:hyperlink w:anchor="_TOC_250033" w:history="1">
            <w:r>
              <w:rPr>
                <w:spacing w:val="-18"/>
              </w:rPr>
              <w:t>（</w:t>
            </w:r>
            <w:r>
              <w:rPr>
                <w:spacing w:val="-18"/>
              </w:rPr>
              <w:t>二</w:t>
            </w:r>
            <w:r>
              <w:rPr>
                <w:spacing w:val="-117"/>
              </w:rPr>
              <w:t>）</w:t>
            </w:r>
            <w:r>
              <w:rPr>
                <w:spacing w:val="-18"/>
              </w:rPr>
              <w:t>、</w:t>
            </w:r>
            <w:r>
              <w:rPr>
                <w:spacing w:val="-18"/>
              </w:rPr>
              <w:t>区</w:t>
            </w:r>
            <w:r>
              <w:rPr>
                <w:spacing w:val="-18"/>
              </w:rPr>
              <w:t>位</w:t>
            </w:r>
            <w:r>
              <w:rPr>
                <w:spacing w:val="-18"/>
              </w:rPr>
              <w:t>市</w:t>
            </w:r>
            <w:r>
              <w:rPr>
                <w:spacing w:val="-18"/>
              </w:rPr>
              <w:t>场</w:t>
            </w:r>
            <w:r>
              <w:rPr>
                <w:spacing w:val="-18"/>
              </w:rPr>
              <w:t>分</w:t>
            </w:r>
            <w:r>
              <w:rPr>
                <w:spacing w:val="-18"/>
              </w:rPr>
              <w:t>析</w:t>
            </w:r>
            <w:r>
              <w:rPr>
                <w:rFonts w:ascii="Times New Roman" w:eastAsia="Times New Roman"/>
              </w:rPr>
              <w:tab/>
            </w:r>
            <w:r>
              <w:rPr>
                <w:spacing w:val="-10"/>
              </w:rPr>
              <w:t>2</w:t>
            </w:r>
          </w:hyperlink>
        </w:p>
        <w:p>
          <w:pPr>
            <w:pStyle w:val="TOC4"/>
            <w:tabs>
              <w:tab w:val="right" w:leader="dot" w:pos="9413"/>
            </w:tabs>
            <w:spacing w:before="55"/>
          </w:pPr>
          <w:hyperlink w:anchor="_TOC_250032" w:history="1">
            <w:r>
              <w:rPr>
                <w:spacing w:val="-18"/>
              </w:rPr>
              <w:t>（</w:t>
            </w:r>
            <w:r>
              <w:rPr>
                <w:spacing w:val="-18"/>
              </w:rPr>
              <w:t>三</w:t>
            </w:r>
            <w:r>
              <w:rPr>
                <w:spacing w:val="-117"/>
              </w:rPr>
              <w:t>）</w:t>
            </w:r>
            <w:r>
              <w:rPr>
                <w:spacing w:val="-18"/>
              </w:rPr>
              <w:t>、</w:t>
            </w:r>
            <w:r>
              <w:rPr>
                <w:spacing w:val="-18"/>
              </w:rPr>
              <w:t>区</w:t>
            </w:r>
            <w:r>
              <w:rPr>
                <w:spacing w:val="-18"/>
              </w:rPr>
              <w:t>位</w:t>
            </w:r>
            <w:r>
              <w:rPr>
                <w:spacing w:val="-18"/>
              </w:rPr>
              <w:t>竞</w:t>
            </w:r>
            <w:r>
              <w:rPr>
                <w:spacing w:val="-18"/>
              </w:rPr>
              <w:t>争</w:t>
            </w:r>
            <w:r>
              <w:rPr>
                <w:spacing w:val="-18"/>
              </w:rPr>
              <w:t>分</w:t>
            </w:r>
            <w:r>
              <w:rPr>
                <w:spacing w:val="-18"/>
              </w:rPr>
              <w:t>析</w:t>
            </w:r>
            <w:r>
              <w:rPr>
                <w:rFonts w:ascii="Times New Roman" w:eastAsia="Times New Roman"/>
              </w:rPr>
              <w:tab/>
            </w:r>
            <w:r>
              <w:rPr>
                <w:spacing w:val="-10"/>
              </w:rPr>
              <w:t>3</w:t>
            </w:r>
          </w:hyperlink>
        </w:p>
        <w:p>
          <w:pPr>
            <w:pStyle w:val="TOC5"/>
            <w:tabs>
              <w:tab w:val="right" w:leader="dot" w:pos="9413"/>
            </w:tabs>
            <w:rPr>
              <w:rFonts w:ascii="Times New Roman" w:eastAsia="Times New Roman"/>
              <w:i/>
            </w:rPr>
          </w:pPr>
          <w:r>
            <w:rPr>
              <w:spacing w:val="-18"/>
            </w:rPr>
            <w:t>1</w:t>
          </w:r>
          <w:r>
            <w:rPr>
              <w:spacing w:val="-18"/>
            </w:rPr>
            <w:t>、</w:t>
          </w:r>
          <w:r>
            <w:rPr>
              <w:spacing w:val="-18"/>
            </w:rPr>
            <w:t>竞</w:t>
          </w:r>
          <w:r>
            <w:rPr>
              <w:spacing w:val="-18"/>
            </w:rPr>
            <w:t>争</w:t>
          </w:r>
          <w:r>
            <w:rPr>
              <w:spacing w:val="-18"/>
            </w:rPr>
            <w:t>性</w:t>
          </w:r>
          <w:r>
            <w:rPr>
              <w:spacing w:val="-18"/>
            </w:rPr>
            <w:t>项</w:t>
          </w:r>
          <w:r>
            <w:rPr>
              <w:spacing w:val="-18"/>
            </w:rPr>
            <w:t>目</w:t>
          </w:r>
          <w:r>
            <w:rPr>
              <w:spacing w:val="-18"/>
            </w:rPr>
            <w:t>产</w:t>
          </w:r>
          <w:r>
            <w:rPr>
              <w:spacing w:val="-18"/>
            </w:rPr>
            <w:t>品</w:t>
          </w:r>
          <w:r>
            <w:rPr>
              <w:spacing w:val="-18"/>
            </w:rPr>
            <w:t>分</w:t>
          </w:r>
          <w:r>
            <w:rPr>
              <w:spacing w:val="-18"/>
            </w:rPr>
            <w:t>析</w:t>
          </w:r>
          <w:r>
            <w:rPr>
              <w:rFonts w:ascii="Times New Roman" w:eastAsia="Times New Roman"/>
            </w:rPr>
            <w:tab/>
          </w:r>
          <w:r>
            <w:rPr>
              <w:rFonts w:ascii="Times New Roman" w:eastAsia="Times New Roman"/>
              <w:i/>
              <w:spacing w:val="-10"/>
            </w:rPr>
            <w:t>3</w:t>
          </w:r>
        </w:p>
        <w:p>
          <w:pPr>
            <w:pStyle w:val="TOC5"/>
            <w:tabs>
              <w:tab w:val="right" w:leader="dot" w:pos="9413"/>
            </w:tabs>
            <w:rPr>
              <w:rFonts w:ascii="Times New Roman" w:eastAsia="Times New Roman"/>
              <w:i/>
            </w:rPr>
          </w:pPr>
          <w:hyperlink w:anchor="_TOC_250031" w:history="1">
            <w:r>
              <w:rPr>
                <w:spacing w:val="-18"/>
              </w:rPr>
              <w:t>2</w:t>
            </w:r>
            <w:r>
              <w:rPr>
                <w:spacing w:val="-18"/>
              </w:rPr>
              <w:t>、</w:t>
            </w:r>
            <w:r>
              <w:rPr>
                <w:spacing w:val="-18"/>
              </w:rPr>
              <w:t>竞</w:t>
            </w:r>
            <w:r>
              <w:rPr>
                <w:spacing w:val="-18"/>
              </w:rPr>
              <w:t>争</w:t>
            </w:r>
            <w:r>
              <w:rPr>
                <w:spacing w:val="-18"/>
              </w:rPr>
              <w:t>对</w:t>
            </w:r>
            <w:r>
              <w:rPr>
                <w:spacing w:val="-18"/>
              </w:rPr>
              <w:t>手</w:t>
            </w:r>
            <w:r>
              <w:rPr>
                <w:spacing w:val="-18"/>
              </w:rPr>
              <w:t>营</w:t>
            </w:r>
            <w:r>
              <w:rPr>
                <w:spacing w:val="-18"/>
              </w:rPr>
              <w:t>销</w:t>
            </w:r>
            <w:r>
              <w:rPr>
                <w:spacing w:val="-18"/>
              </w:rPr>
              <w:t>方</w:t>
            </w:r>
            <w:r>
              <w:rPr>
                <w:spacing w:val="-18"/>
              </w:rPr>
              <w:t>略</w:t>
            </w:r>
            <w:r>
              <w:rPr>
                <w:spacing w:val="-18"/>
              </w:rPr>
              <w:t>分</w:t>
            </w:r>
            <w:r>
              <w:rPr>
                <w:spacing w:val="-18"/>
              </w:rPr>
              <w:t>析</w:t>
            </w:r>
            <w:r>
              <w:rPr>
                <w:rFonts w:ascii="Times New Roman" w:eastAsia="Times New Roman"/>
              </w:rPr>
              <w:tab/>
            </w:r>
            <w:r>
              <w:rPr>
                <w:rFonts w:ascii="Times New Roman" w:eastAsia="Times New Roman"/>
                <w:i/>
                <w:spacing w:val="-10"/>
              </w:rPr>
              <w:t>3</w:t>
            </w:r>
          </w:hyperlink>
        </w:p>
        <w:p>
          <w:pPr>
            <w:pStyle w:val="TOC5"/>
            <w:tabs>
              <w:tab w:val="right" w:leader="dot" w:pos="9413"/>
            </w:tabs>
            <w:rPr>
              <w:rFonts w:ascii="Times New Roman" w:eastAsia="Times New Roman"/>
              <w:i/>
            </w:rPr>
          </w:pPr>
          <w:hyperlink w:anchor="_TOC_250030" w:history="1">
            <w:r>
              <w:rPr>
                <w:spacing w:val="-18"/>
              </w:rPr>
              <w:t>3</w:t>
            </w:r>
            <w:r>
              <w:rPr>
                <w:spacing w:val="-18"/>
              </w:rPr>
              <w:t>、</w:t>
            </w:r>
            <w:r>
              <w:rPr>
                <w:spacing w:val="-18"/>
              </w:rPr>
              <w:t>市</w:t>
            </w:r>
            <w:r>
              <w:rPr>
                <w:spacing w:val="-18"/>
              </w:rPr>
              <w:t>场</w:t>
            </w:r>
            <w:r>
              <w:rPr>
                <w:spacing w:val="-18"/>
              </w:rPr>
              <w:t>竞</w:t>
            </w:r>
            <w:r>
              <w:rPr>
                <w:spacing w:val="-18"/>
              </w:rPr>
              <w:t>争</w:t>
            </w:r>
            <w:r>
              <w:rPr>
                <w:spacing w:val="-18"/>
              </w:rPr>
              <w:t>态</w:t>
            </w:r>
            <w:r>
              <w:rPr>
                <w:spacing w:val="-18"/>
              </w:rPr>
              <w:t>势</w:t>
            </w:r>
            <w:r>
              <w:rPr>
                <w:spacing w:val="-18"/>
              </w:rPr>
              <w:t>分</w:t>
            </w:r>
            <w:r>
              <w:rPr>
                <w:spacing w:val="-18"/>
              </w:rPr>
              <w:t>析</w:t>
            </w:r>
            <w:r>
              <w:rPr>
                <w:rFonts w:ascii="Times New Roman" w:eastAsia="Times New Roman"/>
              </w:rPr>
              <w:tab/>
            </w:r>
            <w:r>
              <w:rPr>
                <w:rFonts w:ascii="Times New Roman" w:eastAsia="Times New Roman"/>
                <w:i/>
                <w:spacing w:val="-10"/>
              </w:rPr>
              <w:t>4</w:t>
            </w:r>
          </w:hyperlink>
        </w:p>
        <w:p>
          <w:pPr>
            <w:pStyle w:val="TOC4"/>
            <w:tabs>
              <w:tab w:val="right" w:leader="dot" w:pos="9413"/>
            </w:tabs>
            <w:spacing w:before="55"/>
          </w:pPr>
          <w:hyperlink w:anchor="_TOC_250029" w:history="1">
            <w:r>
              <w:rPr>
                <w:spacing w:val="-18"/>
              </w:rPr>
              <w:t>（</w:t>
            </w:r>
            <w:r>
              <w:rPr>
                <w:spacing w:val="-18"/>
              </w:rPr>
              <w:t>四</w:t>
            </w:r>
            <w:r>
              <w:rPr>
                <w:spacing w:val="-117"/>
              </w:rPr>
              <w:t>）</w:t>
            </w:r>
            <w:r>
              <w:rPr>
                <w:spacing w:val="-18"/>
              </w:rPr>
              <w:t>、</w:t>
            </w:r>
            <w:r>
              <w:rPr>
                <w:spacing w:val="-18"/>
              </w:rPr>
              <w:t>项</w:t>
            </w:r>
            <w:r>
              <w:rPr>
                <w:spacing w:val="-18"/>
              </w:rPr>
              <w:t>目</w:t>
            </w:r>
            <w:r>
              <w:rPr>
                <w:spacing w:val="-18"/>
              </w:rPr>
              <w:t>分</w:t>
            </w:r>
            <w:r>
              <w:rPr>
                <w:spacing w:val="-18"/>
              </w:rPr>
              <w:t>析</w:t>
            </w:r>
            <w:r>
              <w:rPr>
                <w:rFonts w:ascii="Times New Roman" w:eastAsia="Times New Roman"/>
              </w:rPr>
              <w:tab/>
            </w:r>
            <w:r>
              <w:rPr>
                <w:spacing w:val="-10"/>
              </w:rPr>
              <w:t>5</w:t>
            </w:r>
          </w:hyperlink>
        </w:p>
        <w:p>
          <w:pPr>
            <w:pStyle w:val="TOC5"/>
            <w:tabs>
              <w:tab w:val="right" w:leader="dot" w:pos="9413"/>
            </w:tabs>
            <w:rPr>
              <w:rFonts w:ascii="Times New Roman" w:eastAsia="Times New Roman"/>
              <w:i/>
            </w:rPr>
          </w:pPr>
          <w:hyperlink w:anchor="_TOC_250028" w:history="1">
            <w:r>
              <w:rPr>
                <w:spacing w:val="-16"/>
              </w:rPr>
              <w:t>1</w:t>
            </w:r>
            <w:r>
              <w:rPr>
                <w:spacing w:val="-16"/>
              </w:rPr>
              <w:t>、</w:t>
            </w:r>
            <w:r>
              <w:rPr>
                <w:spacing w:val="-16"/>
              </w:rPr>
              <w:t>项</w:t>
            </w:r>
            <w:r>
              <w:rPr>
                <w:spacing w:val="-16"/>
              </w:rPr>
              <w:t>目</w:t>
            </w:r>
            <w:r>
              <w:rPr>
                <w:spacing w:val="-16"/>
              </w:rPr>
              <w:t>地</w:t>
            </w:r>
            <w:r>
              <w:rPr>
                <w:spacing w:val="-16"/>
              </w:rPr>
              <w:t>块</w:t>
            </w:r>
            <w:r>
              <w:rPr>
                <w:spacing w:val="-16"/>
              </w:rPr>
              <w:t>分</w:t>
            </w:r>
            <w:r>
              <w:rPr>
                <w:spacing w:val="-16"/>
              </w:rPr>
              <w:t>析</w:t>
            </w:r>
            <w:r>
              <w:rPr>
                <w:rFonts w:ascii="Times New Roman" w:eastAsia="Times New Roman"/>
              </w:rPr>
              <w:tab/>
            </w:r>
            <w:r>
              <w:rPr>
                <w:rFonts w:ascii="Times New Roman" w:eastAsia="Times New Roman"/>
                <w:i/>
                <w:spacing w:val="-10"/>
              </w:rPr>
              <w:t>5</w:t>
            </w:r>
          </w:hyperlink>
        </w:p>
        <w:p>
          <w:pPr>
            <w:pStyle w:val="TOC5"/>
            <w:tabs>
              <w:tab w:val="right" w:leader="dot" w:pos="9413"/>
            </w:tabs>
            <w:rPr>
              <w:rFonts w:ascii="Times New Roman" w:eastAsia="Times New Roman"/>
              <w:i/>
            </w:rPr>
          </w:pPr>
          <w:hyperlink w:anchor="_TOC_250027" w:history="1">
            <w:r>
              <w:rPr>
                <w:spacing w:val="-16"/>
              </w:rPr>
              <w:t>2</w:t>
            </w:r>
            <w:r>
              <w:rPr>
                <w:spacing w:val="-16"/>
              </w:rPr>
              <w:t>、</w:t>
            </w:r>
            <w:r>
              <w:rPr>
                <w:spacing w:val="-16"/>
              </w:rPr>
              <w:t>项</w:t>
            </w:r>
            <w:r>
              <w:rPr>
                <w:spacing w:val="-16"/>
              </w:rPr>
              <w:t>目</w:t>
            </w:r>
            <w:r>
              <w:rPr>
                <w:spacing w:val="-16"/>
              </w:rPr>
              <w:t>资</w:t>
            </w:r>
            <w:r>
              <w:rPr>
                <w:spacing w:val="-16"/>
              </w:rPr>
              <w:t>源</w:t>
            </w:r>
            <w:r>
              <w:rPr>
                <w:spacing w:val="-16"/>
              </w:rPr>
              <w:t>分</w:t>
            </w:r>
            <w:r>
              <w:rPr>
                <w:spacing w:val="-16"/>
              </w:rPr>
              <w:t>析</w:t>
            </w:r>
            <w:r>
              <w:rPr>
                <w:rFonts w:ascii="Times New Roman" w:eastAsia="Times New Roman"/>
              </w:rPr>
              <w:tab/>
            </w:r>
            <w:r>
              <w:rPr>
                <w:rFonts w:ascii="Times New Roman" w:eastAsia="Times New Roman"/>
                <w:i/>
                <w:spacing w:val="-10"/>
              </w:rPr>
              <w:t>5</w:t>
            </w:r>
          </w:hyperlink>
        </w:p>
        <w:p>
          <w:pPr>
            <w:pStyle w:val="TOC5"/>
            <w:tabs>
              <w:tab w:val="right" w:leader="dot" w:pos="9413"/>
            </w:tabs>
            <w:rPr>
              <w:rFonts w:ascii="Times New Roman" w:eastAsia="Times New Roman"/>
              <w:i/>
            </w:rPr>
          </w:pPr>
          <w:hyperlink w:anchor="_TOC_250026" w:history="1">
            <w:r>
              <w:rPr>
                <w:spacing w:val="-6"/>
              </w:rPr>
              <w:t>3</w:t>
            </w:r>
            <w:r>
              <w:rPr>
                <w:spacing w:val="-6"/>
              </w:rPr>
              <w:t>、</w:t>
            </w:r>
            <w:r>
              <w:rPr>
                <w:spacing w:val="-6"/>
              </w:rPr>
              <w:t>项</w:t>
            </w:r>
            <w:r>
              <w:rPr>
                <w:spacing w:val="-6"/>
              </w:rPr>
              <w:t>目SWOT</w:t>
            </w:r>
            <w:r>
              <w:rPr>
                <w:spacing w:val="-59"/>
              </w:rPr>
              <w:t xml:space="preserve"> </w:t>
            </w:r>
            <w:r>
              <w:rPr>
                <w:spacing w:val="-6"/>
              </w:rPr>
              <w:t>分</w:t>
            </w:r>
            <w:r>
              <w:rPr>
                <w:spacing w:val="-10"/>
              </w:rPr>
              <w:t>析</w:t>
            </w:r>
            <w:r>
              <w:rPr>
                <w:rFonts w:ascii="Times New Roman" w:eastAsia="Times New Roman"/>
              </w:rPr>
              <w:tab/>
            </w:r>
            <w:r>
              <w:rPr>
                <w:rFonts w:ascii="Times New Roman" w:eastAsia="Times New Roman"/>
                <w:i/>
                <w:spacing w:val="-12"/>
              </w:rPr>
              <w:t>5</w:t>
            </w:r>
          </w:hyperlink>
        </w:p>
        <w:p>
          <w:pPr>
            <w:pStyle w:val="TOC4"/>
            <w:tabs>
              <w:tab w:val="right" w:leader="dot" w:pos="9413"/>
            </w:tabs>
            <w:spacing w:before="55"/>
          </w:pPr>
          <w:hyperlink w:anchor="_TOC_250025" w:history="1">
            <w:r>
              <w:rPr>
                <w:spacing w:val="-18"/>
              </w:rPr>
              <w:t>（</w:t>
            </w:r>
            <w:r>
              <w:rPr>
                <w:spacing w:val="-18"/>
              </w:rPr>
              <w:t>五</w:t>
            </w:r>
            <w:r>
              <w:rPr>
                <w:spacing w:val="-117"/>
              </w:rPr>
              <w:t>）</w:t>
            </w:r>
            <w:r>
              <w:rPr>
                <w:spacing w:val="-18"/>
              </w:rPr>
              <w:t>、</w:t>
            </w:r>
            <w:r>
              <w:rPr>
                <w:spacing w:val="-18"/>
              </w:rPr>
              <w:t>下</w:t>
            </w:r>
            <w:r>
              <w:rPr>
                <w:spacing w:val="-18"/>
              </w:rPr>
              <w:t>六</w:t>
            </w:r>
            <w:r>
              <w:rPr>
                <w:spacing w:val="-18"/>
              </w:rPr>
              <w:t>个</w:t>
            </w:r>
            <w:r>
              <w:rPr>
                <w:spacing w:val="-18"/>
              </w:rPr>
              <w:t>月</w:t>
            </w:r>
            <w:r>
              <w:rPr>
                <w:spacing w:val="-18"/>
              </w:rPr>
              <w:t>产</w:t>
            </w:r>
            <w:r>
              <w:rPr>
                <w:spacing w:val="-18"/>
              </w:rPr>
              <w:t>品</w:t>
            </w:r>
            <w:r>
              <w:rPr>
                <w:spacing w:val="-18"/>
              </w:rPr>
              <w:t>企</w:t>
            </w:r>
            <w:r>
              <w:rPr>
                <w:spacing w:val="-18"/>
              </w:rPr>
              <w:t>划</w:t>
            </w:r>
            <w:r>
              <w:rPr>
                <w:spacing w:val="-18"/>
              </w:rPr>
              <w:t>思</w:t>
            </w:r>
            <w:r>
              <w:rPr>
                <w:spacing w:val="-18"/>
              </w:rPr>
              <w:t>路</w:t>
            </w:r>
            <w:r>
              <w:rPr>
                <w:rFonts w:ascii="Times New Roman" w:eastAsia="Times New Roman"/>
              </w:rPr>
              <w:tab/>
            </w:r>
            <w:r>
              <w:rPr>
                <w:spacing w:val="-10"/>
              </w:rPr>
              <w:t>6</w:t>
            </w:r>
          </w:hyperlink>
        </w:p>
        <w:p>
          <w:pPr>
            <w:pStyle w:val="TOC5"/>
            <w:tabs>
              <w:tab w:val="right" w:leader="dot" w:pos="9413"/>
            </w:tabs>
            <w:rPr>
              <w:rFonts w:ascii="Times New Roman" w:eastAsia="Times New Roman"/>
              <w:i/>
            </w:rPr>
          </w:pPr>
          <w:hyperlink w:anchor="_TOC_250024" w:history="1">
            <w:r>
              <w:rPr>
                <w:spacing w:val="-16"/>
              </w:rPr>
              <w:t>1</w:t>
            </w:r>
            <w:r>
              <w:rPr>
                <w:spacing w:val="-16"/>
              </w:rPr>
              <w:t>、</w:t>
            </w:r>
            <w:r>
              <w:rPr>
                <w:spacing w:val="-16"/>
              </w:rPr>
              <w:t>优</w:t>
            </w:r>
            <w:r>
              <w:rPr>
                <w:spacing w:val="-16"/>
              </w:rPr>
              <w:t>势</w:t>
            </w:r>
            <w:r>
              <w:rPr>
                <w:spacing w:val="-16"/>
              </w:rPr>
              <w:t>和</w:t>
            </w:r>
            <w:r>
              <w:rPr>
                <w:spacing w:val="-16"/>
              </w:rPr>
              <w:t>机</w:t>
            </w:r>
            <w:r>
              <w:rPr>
                <w:spacing w:val="-16"/>
              </w:rPr>
              <w:t>会</w:t>
            </w:r>
            <w:r>
              <w:rPr>
                <w:rFonts w:ascii="Times New Roman" w:eastAsia="Times New Roman"/>
              </w:rPr>
              <w:tab/>
            </w:r>
            <w:r>
              <w:rPr>
                <w:rFonts w:ascii="Times New Roman" w:eastAsia="Times New Roman"/>
                <w:i/>
                <w:spacing w:val="-10"/>
              </w:rPr>
              <w:t>6</w:t>
            </w:r>
          </w:hyperlink>
        </w:p>
        <w:p>
          <w:pPr>
            <w:pStyle w:val="TOC5"/>
            <w:tabs>
              <w:tab w:val="right" w:leader="dot" w:pos="9413"/>
            </w:tabs>
            <w:rPr>
              <w:rFonts w:ascii="Times New Roman" w:eastAsia="Times New Roman"/>
              <w:i/>
            </w:rPr>
          </w:pPr>
          <w:hyperlink w:anchor="_TOC_250023" w:history="1">
            <w:r>
              <w:rPr>
                <w:spacing w:val="-16"/>
              </w:rPr>
              <w:t>2</w:t>
            </w:r>
            <w:r>
              <w:rPr>
                <w:spacing w:val="-16"/>
              </w:rPr>
              <w:t>、</w:t>
            </w:r>
            <w:r>
              <w:rPr>
                <w:spacing w:val="-16"/>
              </w:rPr>
              <w:t>劣</w:t>
            </w:r>
            <w:r>
              <w:rPr>
                <w:spacing w:val="-16"/>
              </w:rPr>
              <w:t>势</w:t>
            </w:r>
            <w:r>
              <w:rPr>
                <w:spacing w:val="-16"/>
              </w:rPr>
              <w:t>和</w:t>
            </w:r>
            <w:r>
              <w:rPr>
                <w:spacing w:val="-16"/>
              </w:rPr>
              <w:t>威</w:t>
            </w:r>
            <w:r>
              <w:rPr>
                <w:spacing w:val="-16"/>
              </w:rPr>
              <w:t>胁</w:t>
            </w:r>
            <w:r>
              <w:rPr>
                <w:rFonts w:ascii="Times New Roman" w:eastAsia="Times New Roman"/>
              </w:rPr>
              <w:tab/>
            </w:r>
            <w:r>
              <w:rPr>
                <w:rFonts w:ascii="Times New Roman" w:eastAsia="Times New Roman"/>
                <w:i/>
                <w:spacing w:val="-10"/>
              </w:rPr>
              <w:t>7</w:t>
            </w:r>
          </w:hyperlink>
        </w:p>
        <w:p>
          <w:pPr>
            <w:pStyle w:val="TOC1"/>
          </w:pPr>
          <w:hyperlink w:anchor="_TOC_250022" w:history="1">
            <w:r>
              <w:rPr>
                <w:spacing w:val="-18"/>
              </w:rPr>
              <w:t>三、营销定位</w:t>
            </w:r>
          </w:hyperlink>
        </w:p>
        <w:p>
          <w:pPr>
            <w:pStyle w:val="TOC4"/>
            <w:tabs>
              <w:tab w:val="right" w:leader="dot" w:pos="9413"/>
            </w:tabs>
            <w:spacing w:before="49"/>
          </w:pPr>
          <w:hyperlink w:anchor="_TOC_250021" w:history="1">
            <w:r>
              <w:rPr>
                <w:spacing w:val="-18"/>
              </w:rPr>
              <w:t>（</w:t>
            </w:r>
            <w:r>
              <w:rPr>
                <w:spacing w:val="-18"/>
              </w:rPr>
              <w:t>一</w:t>
            </w:r>
            <w:r>
              <w:rPr>
                <w:spacing w:val="-117"/>
              </w:rPr>
              <w:t>）</w:t>
            </w:r>
            <w:r>
              <w:rPr>
                <w:spacing w:val="-18"/>
              </w:rPr>
              <w:t>、</w:t>
            </w:r>
            <w:r>
              <w:rPr>
                <w:spacing w:val="-18"/>
              </w:rPr>
              <w:t>发</w:t>
            </w:r>
            <w:r>
              <w:rPr>
                <w:spacing w:val="-18"/>
              </w:rPr>
              <w:t>展</w:t>
            </w:r>
            <w:r>
              <w:rPr>
                <w:spacing w:val="-18"/>
              </w:rPr>
              <w:t>商</w:t>
            </w:r>
            <w:r>
              <w:rPr>
                <w:spacing w:val="-18"/>
              </w:rPr>
              <w:t>定</w:t>
            </w:r>
            <w:r>
              <w:rPr>
                <w:spacing w:val="-18"/>
              </w:rPr>
              <w:t>位</w:t>
            </w:r>
            <w:r>
              <w:rPr>
                <w:rFonts w:ascii="Times New Roman" w:eastAsia="Times New Roman"/>
              </w:rPr>
              <w:tab/>
            </w:r>
            <w:r>
              <w:rPr>
                <w:spacing w:val="-10"/>
              </w:rPr>
              <w:t>8</w:t>
            </w:r>
          </w:hyperlink>
        </w:p>
        <w:p>
          <w:pPr>
            <w:pStyle w:val="TOC4"/>
            <w:tabs>
              <w:tab w:val="right" w:leader="dot" w:pos="9413"/>
            </w:tabs>
          </w:pPr>
          <w:hyperlink w:anchor="_TOC_250020" w:history="1">
            <w:r>
              <w:rPr>
                <w:spacing w:val="-18"/>
              </w:rPr>
              <w:t>（</w:t>
            </w:r>
            <w:r>
              <w:rPr>
                <w:spacing w:val="-18"/>
              </w:rPr>
              <w:t>二</w:t>
            </w:r>
            <w:r>
              <w:rPr>
                <w:spacing w:val="-117"/>
              </w:rPr>
              <w:t>）</w:t>
            </w:r>
            <w:r>
              <w:rPr>
                <w:spacing w:val="-18"/>
              </w:rPr>
              <w:t>、</w:t>
            </w:r>
            <w:r>
              <w:rPr>
                <w:spacing w:val="-18"/>
              </w:rPr>
              <w:t>市</w:t>
            </w:r>
            <w:r>
              <w:rPr>
                <w:spacing w:val="-18"/>
              </w:rPr>
              <w:t>场</w:t>
            </w:r>
            <w:r>
              <w:rPr>
                <w:spacing w:val="-18"/>
              </w:rPr>
              <w:t>定</w:t>
            </w:r>
            <w:r>
              <w:rPr>
                <w:spacing w:val="-18"/>
              </w:rPr>
              <w:t>位</w:t>
            </w:r>
            <w:r>
              <w:rPr>
                <w:rFonts w:ascii="Times New Roman" w:eastAsia="Times New Roman"/>
              </w:rPr>
              <w:tab/>
            </w:r>
            <w:r>
              <w:rPr>
                <w:spacing w:val="-10"/>
              </w:rPr>
              <w:t>8</w:t>
            </w:r>
          </w:hyperlink>
        </w:p>
        <w:p>
          <w:pPr>
            <w:pStyle w:val="TOC5"/>
            <w:tabs>
              <w:tab w:val="right" w:leader="dot" w:pos="9413"/>
            </w:tabs>
            <w:rPr>
              <w:rFonts w:ascii="Times New Roman" w:eastAsia="Times New Roman"/>
              <w:i/>
            </w:rPr>
          </w:pPr>
          <w:hyperlink w:anchor="_TOC_250019" w:history="1">
            <w:r>
              <w:rPr>
                <w:spacing w:val="-16"/>
              </w:rPr>
              <w:t>1</w:t>
            </w:r>
            <w:r>
              <w:rPr>
                <w:spacing w:val="-16"/>
              </w:rPr>
              <w:t>、</w:t>
            </w:r>
            <w:r>
              <w:rPr>
                <w:spacing w:val="-16"/>
              </w:rPr>
              <w:t>项</w:t>
            </w:r>
            <w:r>
              <w:rPr>
                <w:spacing w:val="-16"/>
              </w:rPr>
              <w:t>目</w:t>
            </w:r>
            <w:r>
              <w:rPr>
                <w:spacing w:val="-16"/>
              </w:rPr>
              <w:t>主</w:t>
            </w:r>
            <w:r>
              <w:rPr>
                <w:spacing w:val="-16"/>
              </w:rPr>
              <w:t>题</w:t>
            </w:r>
            <w:r>
              <w:rPr>
                <w:spacing w:val="-16"/>
              </w:rPr>
              <w:t>定</w:t>
            </w:r>
            <w:r>
              <w:rPr>
                <w:spacing w:val="-16"/>
              </w:rPr>
              <w:t>位</w:t>
            </w:r>
            <w:r>
              <w:rPr>
                <w:rFonts w:ascii="Times New Roman" w:eastAsia="Times New Roman"/>
              </w:rPr>
              <w:tab/>
            </w:r>
            <w:r>
              <w:rPr>
                <w:rFonts w:ascii="Times New Roman" w:eastAsia="Times New Roman"/>
                <w:i/>
                <w:spacing w:val="-10"/>
              </w:rPr>
              <w:t>9</w:t>
            </w:r>
          </w:hyperlink>
        </w:p>
        <w:p>
          <w:pPr>
            <w:pStyle w:val="TOC5"/>
            <w:tabs>
              <w:tab w:val="right" w:leader="dot" w:pos="9413"/>
            </w:tabs>
            <w:rPr>
              <w:rFonts w:ascii="Times New Roman" w:eastAsia="Times New Roman"/>
              <w:i/>
            </w:rPr>
          </w:pPr>
          <w:r>
            <w:rPr>
              <w:spacing w:val="-16"/>
            </w:rPr>
            <w:t>2</w:t>
          </w:r>
          <w:r>
            <w:rPr>
              <w:spacing w:val="-16"/>
            </w:rPr>
            <w:t>、</w:t>
          </w:r>
          <w:r>
            <w:rPr>
              <w:spacing w:val="-16"/>
            </w:rPr>
            <w:t>项</w:t>
          </w:r>
          <w:r>
            <w:rPr>
              <w:spacing w:val="-16"/>
            </w:rPr>
            <w:t>目</w:t>
          </w:r>
          <w:r>
            <w:rPr>
              <w:spacing w:val="-16"/>
            </w:rPr>
            <w:t>形</w:t>
          </w:r>
          <w:r>
            <w:rPr>
              <w:spacing w:val="-16"/>
            </w:rPr>
            <w:t>象</w:t>
          </w:r>
          <w:r>
            <w:rPr>
              <w:spacing w:val="-16"/>
            </w:rPr>
            <w:t>定</w:t>
          </w:r>
          <w:r>
            <w:rPr>
              <w:spacing w:val="-16"/>
            </w:rPr>
            <w:t>位</w:t>
          </w:r>
          <w:r>
            <w:rPr>
              <w:rFonts w:ascii="Times New Roman" w:eastAsia="Times New Roman"/>
            </w:rPr>
            <w:tab/>
          </w:r>
          <w:r>
            <w:rPr>
              <w:rFonts w:ascii="Times New Roman" w:eastAsia="Times New Roman"/>
              <w:i/>
              <w:spacing w:val="-10"/>
            </w:rPr>
            <w:t>9</w:t>
          </w:r>
        </w:p>
        <w:p>
          <w:pPr>
            <w:pStyle w:val="TOC5"/>
            <w:tabs>
              <w:tab w:val="right" w:leader="dot" w:pos="9413"/>
            </w:tabs>
            <w:spacing w:before="55"/>
            <w:rPr>
              <w:rFonts w:ascii="Times New Roman" w:eastAsia="Times New Roman"/>
              <w:i/>
            </w:rPr>
          </w:pPr>
          <w:hyperlink w:anchor="_TOC_250018" w:history="1">
            <w:r>
              <w:rPr>
                <w:spacing w:val="-16"/>
              </w:rPr>
              <w:t>3</w:t>
            </w:r>
            <w:r>
              <w:rPr>
                <w:spacing w:val="-16"/>
              </w:rPr>
              <w:t>、</w:t>
            </w:r>
            <w:r>
              <w:rPr>
                <w:spacing w:val="-16"/>
              </w:rPr>
              <w:t>客</w:t>
            </w:r>
            <w:r>
              <w:rPr>
                <w:spacing w:val="-16"/>
              </w:rPr>
              <w:t>户</w:t>
            </w:r>
            <w:r>
              <w:rPr>
                <w:spacing w:val="-16"/>
              </w:rPr>
              <w:t>群</w:t>
            </w:r>
            <w:r>
              <w:rPr>
                <w:spacing w:val="-16"/>
              </w:rPr>
              <w:t>体</w:t>
            </w:r>
            <w:r>
              <w:rPr>
                <w:spacing w:val="-16"/>
              </w:rPr>
              <w:t>定</w:t>
            </w:r>
            <w:r>
              <w:rPr>
                <w:spacing w:val="-16"/>
              </w:rPr>
              <w:t>位</w:t>
            </w:r>
            <w:r>
              <w:rPr>
                <w:rFonts w:ascii="Times New Roman" w:eastAsia="Times New Roman"/>
              </w:rPr>
              <w:tab/>
            </w:r>
            <w:r>
              <w:rPr>
                <w:rFonts w:ascii="Times New Roman" w:eastAsia="Times New Roman"/>
                <w:i/>
                <w:spacing w:val="-5"/>
              </w:rPr>
              <w:t>10</w:t>
            </w:r>
          </w:hyperlink>
        </w:p>
        <w:p>
          <w:pPr>
            <w:pStyle w:val="TOC4"/>
            <w:tabs>
              <w:tab w:val="right" w:leader="dot" w:pos="9413"/>
            </w:tabs>
          </w:pPr>
          <w:hyperlink w:anchor="_TOC_250017" w:history="1">
            <w:r>
              <w:rPr>
                <w:spacing w:val="-18"/>
              </w:rPr>
              <w:t>（</w:t>
            </w:r>
            <w:r>
              <w:rPr>
                <w:spacing w:val="-18"/>
              </w:rPr>
              <w:t>三</w:t>
            </w:r>
            <w:r>
              <w:rPr>
                <w:spacing w:val="-117"/>
              </w:rPr>
              <w:t>）</w:t>
            </w:r>
            <w:r>
              <w:rPr>
                <w:spacing w:val="-18"/>
              </w:rPr>
              <w:t>、</w:t>
            </w:r>
            <w:r>
              <w:rPr>
                <w:spacing w:val="-18"/>
              </w:rPr>
              <w:t>产</w:t>
            </w:r>
            <w:r>
              <w:rPr>
                <w:spacing w:val="-18"/>
              </w:rPr>
              <w:t>品</w:t>
            </w:r>
            <w:r>
              <w:rPr>
                <w:spacing w:val="-18"/>
              </w:rPr>
              <w:t>定</w:t>
            </w:r>
            <w:r>
              <w:rPr>
                <w:spacing w:val="-18"/>
              </w:rPr>
              <w:t>位</w:t>
            </w:r>
            <w:r>
              <w:rPr>
                <w:rFonts w:ascii="Times New Roman" w:eastAsia="Times New Roman"/>
              </w:rPr>
              <w:tab/>
            </w:r>
            <w:r>
              <w:rPr>
                <w:spacing w:val="-5"/>
              </w:rPr>
              <w:t>12</w:t>
            </w:r>
          </w:hyperlink>
        </w:p>
        <w:p>
          <w:pPr>
            <w:pStyle w:val="TOC4"/>
            <w:tabs>
              <w:tab w:val="right" w:leader="dot" w:pos="9413"/>
            </w:tabs>
          </w:pPr>
          <w:hyperlink w:anchor="_TOC_250016" w:history="1">
            <w:r>
              <w:rPr>
                <w:spacing w:val="-18"/>
              </w:rPr>
              <w:t>（</w:t>
            </w:r>
            <w:r>
              <w:rPr>
                <w:spacing w:val="-18"/>
              </w:rPr>
              <w:t>四</w:t>
            </w:r>
            <w:r>
              <w:rPr>
                <w:spacing w:val="-117"/>
              </w:rPr>
              <w:t>）</w:t>
            </w:r>
            <w:r>
              <w:rPr>
                <w:spacing w:val="-18"/>
              </w:rPr>
              <w:t>、</w:t>
            </w:r>
            <w:r>
              <w:rPr>
                <w:spacing w:val="-18"/>
              </w:rPr>
              <w:t>价</w:t>
            </w:r>
            <w:r>
              <w:rPr>
                <w:spacing w:val="-18"/>
              </w:rPr>
              <w:t>格</w:t>
            </w:r>
            <w:r>
              <w:rPr>
                <w:spacing w:val="-18"/>
              </w:rPr>
              <w:t>定</w:t>
            </w:r>
            <w:r>
              <w:rPr>
                <w:spacing w:val="-18"/>
              </w:rPr>
              <w:t>位</w:t>
            </w:r>
            <w:r>
              <w:rPr>
                <w:rFonts w:ascii="Times New Roman" w:eastAsia="Times New Roman"/>
              </w:rPr>
              <w:tab/>
            </w:r>
            <w:r>
              <w:rPr>
                <w:spacing w:val="-5"/>
              </w:rPr>
              <w:t>13</w:t>
            </w:r>
          </w:hyperlink>
        </w:p>
        <w:p>
          <w:pPr>
            <w:pStyle w:val="TOC4"/>
            <w:tabs>
              <w:tab w:val="right" w:leader="dot" w:pos="9413"/>
            </w:tabs>
          </w:pPr>
          <w:r>
            <w:rPr>
              <w:spacing w:val="-18"/>
            </w:rPr>
            <w:t>下</w:t>
          </w:r>
          <w:r>
            <w:rPr>
              <w:spacing w:val="-18"/>
            </w:rPr>
            <w:t>六</w:t>
          </w:r>
          <w:r>
            <w:rPr>
              <w:spacing w:val="-18"/>
            </w:rPr>
            <w:t>个</w:t>
          </w:r>
          <w:r>
            <w:rPr>
              <w:spacing w:val="-18"/>
            </w:rPr>
            <w:t>月</w:t>
          </w:r>
          <w:r>
            <w:rPr>
              <w:spacing w:val="-18"/>
            </w:rPr>
            <w:t>营</w:t>
          </w:r>
          <w:r>
            <w:rPr>
              <w:spacing w:val="-18"/>
            </w:rPr>
            <w:t>销</w:t>
          </w:r>
          <w:r>
            <w:rPr>
              <w:spacing w:val="-18"/>
            </w:rPr>
            <w:t>价</w:t>
          </w:r>
          <w:r>
            <w:rPr>
              <w:spacing w:val="-18"/>
            </w:rPr>
            <w:t>格</w:t>
          </w:r>
          <w:r>
            <w:rPr>
              <w:spacing w:val="-18"/>
            </w:rPr>
            <w:t>目</w:t>
          </w:r>
          <w:r>
            <w:rPr>
              <w:spacing w:val="-18"/>
            </w:rPr>
            <w:t>的</w:t>
          </w:r>
          <w:r>
            <w:rPr>
              <w:rFonts w:ascii="Times New Roman" w:eastAsia="Times New Roman"/>
            </w:rPr>
            <w:tab/>
          </w:r>
          <w:r>
            <w:rPr>
              <w:spacing w:val="-5"/>
            </w:rPr>
            <w:t>13</w:t>
          </w:r>
        </w:p>
        <w:p>
          <w:pPr>
            <w:pStyle w:val="TOC1"/>
          </w:pPr>
          <w:hyperlink w:anchor="_TOC_250015" w:history="1">
            <w:r>
              <w:rPr>
                <w:spacing w:val="-18"/>
              </w:rPr>
              <w:t>四、项目的营销推广</w:t>
            </w:r>
          </w:hyperlink>
        </w:p>
        <w:p>
          <w:pPr>
            <w:pStyle w:val="TOC4"/>
            <w:tabs>
              <w:tab w:val="right" w:leader="dot" w:pos="9413"/>
            </w:tabs>
            <w:spacing w:before="49"/>
          </w:pPr>
          <w:hyperlink w:anchor="_TOC_250014" w:history="1">
            <w:r>
              <w:rPr>
                <w:spacing w:val="-18"/>
              </w:rPr>
              <w:t>（</w:t>
            </w:r>
            <w:r>
              <w:rPr>
                <w:spacing w:val="-18"/>
              </w:rPr>
              <w:t>一</w:t>
            </w:r>
            <w:r>
              <w:rPr>
                <w:spacing w:val="-117"/>
              </w:rPr>
              <w:t>）</w:t>
            </w:r>
            <w:r>
              <w:rPr>
                <w:spacing w:val="-18"/>
              </w:rPr>
              <w:t>、</w:t>
            </w:r>
            <w:r>
              <w:rPr>
                <w:spacing w:val="-18"/>
              </w:rPr>
              <w:t>项</w:t>
            </w:r>
            <w:r>
              <w:rPr>
                <w:spacing w:val="-18"/>
              </w:rPr>
              <w:t>目</w:t>
            </w:r>
            <w:r>
              <w:rPr>
                <w:spacing w:val="-18"/>
              </w:rPr>
              <w:t>营</w:t>
            </w:r>
            <w:r>
              <w:rPr>
                <w:spacing w:val="-18"/>
              </w:rPr>
              <w:t>销</w:t>
            </w:r>
            <w:r>
              <w:rPr>
                <w:spacing w:val="-18"/>
              </w:rPr>
              <w:t>推</w:t>
            </w:r>
            <w:r>
              <w:rPr>
                <w:spacing w:val="-18"/>
              </w:rPr>
              <w:t>广</w:t>
            </w:r>
            <w:r>
              <w:rPr>
                <w:spacing w:val="-18"/>
              </w:rPr>
              <w:t>体</w:t>
            </w:r>
            <w:r>
              <w:rPr>
                <w:spacing w:val="-18"/>
              </w:rPr>
              <w:t>系</w:t>
            </w:r>
            <w:r>
              <w:rPr>
                <w:rFonts w:ascii="Times New Roman" w:eastAsia="Times New Roman"/>
              </w:rPr>
              <w:tab/>
            </w:r>
            <w:r>
              <w:rPr>
                <w:spacing w:val="-5"/>
              </w:rPr>
              <w:t>13</w:t>
            </w:r>
          </w:hyperlink>
        </w:p>
        <w:p>
          <w:pPr>
            <w:pStyle w:val="TOC4"/>
            <w:tabs>
              <w:tab w:val="right" w:leader="dot" w:pos="9413"/>
            </w:tabs>
          </w:pPr>
          <w:hyperlink w:anchor="_TOC_250013" w:history="1">
            <w:r>
              <w:rPr>
                <w:spacing w:val="-16"/>
              </w:rPr>
              <w:t>1</w:t>
            </w:r>
            <w:r>
              <w:rPr>
                <w:spacing w:val="-16"/>
              </w:rPr>
              <w:t>、</w:t>
            </w:r>
            <w:r>
              <w:rPr>
                <w:spacing w:val="-16"/>
              </w:rPr>
              <w:t>推</w:t>
            </w:r>
            <w:r>
              <w:rPr>
                <w:spacing w:val="-16"/>
              </w:rPr>
              <w:t>广</w:t>
            </w:r>
            <w:r>
              <w:rPr>
                <w:spacing w:val="-16"/>
              </w:rPr>
              <w:t>原</w:t>
            </w:r>
            <w:r>
              <w:rPr>
                <w:spacing w:val="-16"/>
              </w:rPr>
              <w:t>则</w:t>
            </w:r>
            <w:r>
              <w:rPr>
                <w:rFonts w:ascii="Times New Roman" w:eastAsia="Times New Roman"/>
              </w:rPr>
              <w:tab/>
            </w:r>
            <w:r>
              <w:rPr>
                <w:spacing w:val="-5"/>
              </w:rPr>
              <w:t>14</w:t>
            </w:r>
          </w:hyperlink>
        </w:p>
        <w:p>
          <w:pPr>
            <w:pStyle w:val="TOC4"/>
            <w:tabs>
              <w:tab w:val="right" w:leader="dot" w:pos="9413"/>
            </w:tabs>
          </w:pPr>
          <w:hyperlink w:anchor="_TOC_250012" w:history="1">
            <w:r>
              <w:rPr>
                <w:spacing w:val="-16"/>
              </w:rPr>
              <w:t>2</w:t>
            </w:r>
            <w:r>
              <w:rPr>
                <w:spacing w:val="-16"/>
              </w:rPr>
              <w:t>、</w:t>
            </w:r>
            <w:r>
              <w:rPr>
                <w:spacing w:val="-16"/>
              </w:rPr>
              <w:t>推</w:t>
            </w:r>
            <w:r>
              <w:rPr>
                <w:spacing w:val="-16"/>
              </w:rPr>
              <w:t>广</w:t>
            </w:r>
            <w:r>
              <w:rPr>
                <w:spacing w:val="-16"/>
              </w:rPr>
              <w:t>要</w:t>
            </w:r>
            <w:r>
              <w:rPr>
                <w:spacing w:val="-16"/>
              </w:rPr>
              <w:t>素</w:t>
            </w:r>
            <w:r>
              <w:rPr>
                <w:rFonts w:ascii="Times New Roman" w:eastAsia="Times New Roman"/>
              </w:rPr>
              <w:tab/>
            </w:r>
            <w:r>
              <w:rPr>
                <w:spacing w:val="-5"/>
              </w:rPr>
              <w:t>14</w:t>
            </w:r>
          </w:hyperlink>
        </w:p>
        <w:p>
          <w:pPr>
            <w:pStyle w:val="TOC4"/>
            <w:tabs>
              <w:tab w:val="right" w:leader="dot" w:pos="9413"/>
            </w:tabs>
          </w:pPr>
          <w:hyperlink w:anchor="_TOC_250011" w:history="1">
            <w:r>
              <w:rPr>
                <w:spacing w:val="-18"/>
              </w:rPr>
              <w:t>（</w:t>
            </w:r>
            <w:r>
              <w:rPr>
                <w:spacing w:val="-18"/>
              </w:rPr>
              <w:t>二</w:t>
            </w:r>
            <w:r>
              <w:rPr>
                <w:spacing w:val="-117"/>
              </w:rPr>
              <w:t>）</w:t>
            </w:r>
            <w:r>
              <w:rPr>
                <w:spacing w:val="-18"/>
              </w:rPr>
              <w:t>、</w:t>
            </w:r>
            <w:r>
              <w:rPr>
                <w:spacing w:val="-18"/>
              </w:rPr>
              <w:t>营</w:t>
            </w:r>
            <w:r>
              <w:rPr>
                <w:spacing w:val="-18"/>
              </w:rPr>
              <w:t>销</w:t>
            </w:r>
            <w:r>
              <w:rPr>
                <w:spacing w:val="-18"/>
              </w:rPr>
              <w:t>推</w:t>
            </w:r>
            <w:r>
              <w:rPr>
                <w:spacing w:val="-18"/>
              </w:rPr>
              <w:t>广</w:t>
            </w:r>
            <w:r>
              <w:rPr>
                <w:spacing w:val="-18"/>
              </w:rPr>
              <w:t>计</w:t>
            </w:r>
            <w:r>
              <w:rPr>
                <w:spacing w:val="-18"/>
              </w:rPr>
              <w:t>划</w:t>
            </w:r>
            <w:r>
              <w:rPr>
                <w:rFonts w:ascii="Times New Roman" w:eastAsia="Times New Roman"/>
              </w:rPr>
              <w:tab/>
            </w:r>
            <w:r>
              <w:rPr>
                <w:spacing w:val="-5"/>
              </w:rPr>
              <w:t>17</w:t>
            </w:r>
          </w:hyperlink>
        </w:p>
        <w:p>
          <w:pPr>
            <w:pStyle w:val="TOC5"/>
            <w:tabs>
              <w:tab w:val="right" w:leader="dot" w:pos="9413"/>
            </w:tabs>
            <w:spacing w:before="55"/>
            <w:rPr>
              <w:rFonts w:ascii="Times New Roman" w:eastAsia="Times New Roman"/>
              <w:i/>
            </w:rPr>
          </w:pPr>
          <w:hyperlink w:anchor="_TOC_250010" w:history="1">
            <w:r>
              <w:rPr>
                <w:spacing w:val="-16"/>
              </w:rPr>
              <w:t>1</w:t>
            </w:r>
            <w:r>
              <w:rPr>
                <w:spacing w:val="-16"/>
              </w:rPr>
              <w:t>、</w:t>
            </w:r>
            <w:r>
              <w:rPr>
                <w:spacing w:val="-16"/>
              </w:rPr>
              <w:t>前</w:t>
            </w:r>
            <w:r>
              <w:rPr>
                <w:spacing w:val="-16"/>
              </w:rPr>
              <w:t>期</w:t>
            </w:r>
            <w:r>
              <w:rPr>
                <w:spacing w:val="-16"/>
              </w:rPr>
              <w:t>铺</w:t>
            </w:r>
            <w:r>
              <w:rPr>
                <w:spacing w:val="-16"/>
              </w:rPr>
              <w:t>垫</w:t>
            </w:r>
            <w:r>
              <w:rPr>
                <w:spacing w:val="-16"/>
              </w:rPr>
              <w:t>期</w:t>
            </w:r>
            <w:r>
              <w:rPr>
                <w:rFonts w:ascii="Times New Roman" w:eastAsia="Times New Roman"/>
              </w:rPr>
              <w:tab/>
            </w:r>
            <w:r>
              <w:rPr>
                <w:rFonts w:ascii="Times New Roman" w:eastAsia="Times New Roman"/>
                <w:i/>
                <w:spacing w:val="-5"/>
              </w:rPr>
              <w:t>17</w:t>
            </w:r>
          </w:hyperlink>
        </w:p>
        <w:p>
          <w:pPr>
            <w:pStyle w:val="TOC5"/>
            <w:tabs>
              <w:tab w:val="right" w:leader="dot" w:pos="9413"/>
            </w:tabs>
            <w:rPr>
              <w:rFonts w:ascii="Times New Roman" w:eastAsia="Times New Roman"/>
              <w:i/>
            </w:rPr>
          </w:pPr>
          <w:hyperlink w:anchor="_TOC_250009" w:history="1">
            <w:r>
              <w:rPr>
                <w:spacing w:val="-18"/>
              </w:rPr>
              <w:t>2</w:t>
            </w:r>
            <w:r>
              <w:rPr>
                <w:spacing w:val="-18"/>
              </w:rPr>
              <w:t>、</w:t>
            </w:r>
            <w:r>
              <w:rPr>
                <w:spacing w:val="-18"/>
              </w:rPr>
              <w:t>逐</w:t>
            </w:r>
            <w:r>
              <w:rPr>
                <w:spacing w:val="-18"/>
              </w:rPr>
              <w:t>步</w:t>
            </w:r>
            <w:r>
              <w:rPr>
                <w:spacing w:val="-18"/>
              </w:rPr>
              <w:t>导</w:t>
            </w:r>
            <w:r>
              <w:rPr>
                <w:spacing w:val="-18"/>
              </w:rPr>
              <w:t>入</w:t>
            </w:r>
            <w:r>
              <w:rPr>
                <w:spacing w:val="-18"/>
              </w:rPr>
              <w:t>期</w:t>
            </w:r>
            <w:r>
              <w:rPr>
                <w:spacing w:val="-18"/>
              </w:rPr>
              <w:t>（</w:t>
            </w:r>
            <w:r>
              <w:rPr>
                <w:spacing w:val="-18"/>
              </w:rPr>
              <w:t>内</w:t>
            </w:r>
            <w:r>
              <w:rPr>
                <w:spacing w:val="-18"/>
              </w:rPr>
              <w:t>部</w:t>
            </w:r>
            <w:r>
              <w:rPr>
                <w:spacing w:val="-18"/>
              </w:rPr>
              <w:t>认</w:t>
            </w:r>
            <w:r>
              <w:rPr>
                <w:spacing w:val="-18"/>
              </w:rPr>
              <w:t>购</w:t>
            </w:r>
            <w:r>
              <w:rPr>
                <w:spacing w:val="-18"/>
              </w:rPr>
              <w:t>期</w:t>
            </w:r>
            <w:r>
              <w:rPr>
                <w:spacing w:val="-18"/>
              </w:rPr>
              <w:t>）</w:t>
            </w:r>
            <w:r>
              <w:rPr>
                <w:rFonts w:ascii="Times New Roman" w:eastAsia="Times New Roman"/>
              </w:rPr>
              <w:tab/>
            </w:r>
            <w:r>
              <w:rPr>
                <w:rFonts w:ascii="Times New Roman" w:eastAsia="Times New Roman"/>
                <w:i/>
                <w:spacing w:val="-5"/>
              </w:rPr>
              <w:t>18</w:t>
            </w:r>
          </w:hyperlink>
        </w:p>
        <w:p>
          <w:pPr>
            <w:pStyle w:val="TOC5"/>
            <w:tabs>
              <w:tab w:val="right" w:leader="dot" w:pos="9413"/>
            </w:tabs>
            <w:rPr>
              <w:rFonts w:ascii="Times New Roman" w:eastAsia="Times New Roman"/>
              <w:i/>
            </w:rPr>
          </w:pPr>
          <w:hyperlink w:anchor="_TOC_250008" w:history="1">
            <w:r>
              <w:rPr>
                <w:spacing w:val="-16"/>
              </w:rPr>
              <w:t>3</w:t>
            </w:r>
            <w:r>
              <w:rPr>
                <w:spacing w:val="-16"/>
              </w:rPr>
              <w:t>、</w:t>
            </w:r>
            <w:r>
              <w:rPr>
                <w:spacing w:val="-16"/>
              </w:rPr>
              <w:t>项</w:t>
            </w:r>
            <w:r>
              <w:rPr>
                <w:spacing w:val="-16"/>
              </w:rPr>
              <w:t>目</w:t>
            </w:r>
            <w:r>
              <w:rPr>
                <w:spacing w:val="-16"/>
              </w:rPr>
              <w:t>公</w:t>
            </w:r>
            <w:r>
              <w:rPr>
                <w:spacing w:val="-16"/>
              </w:rPr>
              <w:t>开</w:t>
            </w:r>
            <w:r>
              <w:rPr>
                <w:spacing w:val="-16"/>
              </w:rPr>
              <w:t>期</w:t>
            </w:r>
            <w:r>
              <w:rPr>
                <w:rFonts w:ascii="Times New Roman" w:eastAsia="Times New Roman"/>
              </w:rPr>
              <w:tab/>
            </w:r>
            <w:r>
              <w:rPr>
                <w:rFonts w:ascii="Times New Roman" w:eastAsia="Times New Roman"/>
                <w:i/>
                <w:spacing w:val="-5"/>
              </w:rPr>
              <w:t>19</w:t>
            </w:r>
          </w:hyperlink>
        </w:p>
        <w:p>
          <w:pPr>
            <w:pStyle w:val="TOC5"/>
            <w:tabs>
              <w:tab w:val="right" w:leader="dot" w:pos="9413"/>
            </w:tabs>
            <w:rPr>
              <w:rFonts w:ascii="Times New Roman" w:eastAsia="Times New Roman"/>
              <w:i/>
            </w:rPr>
          </w:pPr>
          <w:hyperlink w:anchor="_TOC_250007" w:history="1">
            <w:r>
              <w:rPr>
                <w:spacing w:val="-16"/>
              </w:rPr>
              <w:t>4</w:t>
            </w:r>
            <w:r>
              <w:rPr>
                <w:spacing w:val="-16"/>
              </w:rPr>
              <w:t>、</w:t>
            </w:r>
            <w:r>
              <w:rPr>
                <w:spacing w:val="-16"/>
              </w:rPr>
              <w:t>开</w:t>
            </w:r>
            <w:r>
              <w:rPr>
                <w:spacing w:val="-16"/>
              </w:rPr>
              <w:t>盘</w:t>
            </w:r>
            <w:r>
              <w:rPr>
                <w:spacing w:val="-16"/>
              </w:rPr>
              <w:t>销</w:t>
            </w:r>
            <w:r>
              <w:rPr>
                <w:spacing w:val="-16"/>
              </w:rPr>
              <w:t>售</w:t>
            </w:r>
            <w:r>
              <w:rPr>
                <w:spacing w:val="-16"/>
              </w:rPr>
              <w:t>期</w:t>
            </w:r>
            <w:r>
              <w:rPr>
                <w:rFonts w:ascii="Times New Roman" w:eastAsia="Times New Roman"/>
              </w:rPr>
              <w:tab/>
            </w:r>
            <w:r>
              <w:rPr>
                <w:rFonts w:ascii="Times New Roman" w:eastAsia="Times New Roman"/>
                <w:i/>
                <w:spacing w:val="-5"/>
              </w:rPr>
              <w:t>20</w:t>
            </w:r>
          </w:hyperlink>
        </w:p>
        <w:p>
          <w:pPr>
            <w:pStyle w:val="TOC5"/>
            <w:tabs>
              <w:tab w:val="right" w:leader="dot" w:pos="9413"/>
            </w:tabs>
            <w:spacing w:before="55"/>
            <w:rPr>
              <w:rFonts w:ascii="Times New Roman" w:eastAsia="Times New Roman"/>
              <w:i/>
            </w:rPr>
          </w:pPr>
          <w:hyperlink w:anchor="_TOC_250006" w:history="1">
            <w:r>
              <w:rPr>
                <w:spacing w:val="-16"/>
              </w:rPr>
              <w:t>5</w:t>
            </w:r>
            <w:r>
              <w:rPr>
                <w:spacing w:val="-16"/>
              </w:rPr>
              <w:t>、</w:t>
            </w:r>
            <w:r>
              <w:rPr>
                <w:spacing w:val="-16"/>
              </w:rPr>
              <w:t>持</w:t>
            </w:r>
            <w:r>
              <w:rPr>
                <w:spacing w:val="-16"/>
              </w:rPr>
              <w:t>续</w:t>
            </w:r>
            <w:r>
              <w:rPr>
                <w:spacing w:val="-16"/>
              </w:rPr>
              <w:t>强</w:t>
            </w:r>
            <w:r>
              <w:rPr>
                <w:spacing w:val="-16"/>
              </w:rPr>
              <w:t>销</w:t>
            </w:r>
            <w:r>
              <w:rPr>
                <w:spacing w:val="-16"/>
              </w:rPr>
              <w:t>期</w:t>
            </w:r>
            <w:r>
              <w:rPr>
                <w:rFonts w:ascii="Times New Roman" w:eastAsia="Times New Roman"/>
              </w:rPr>
              <w:tab/>
            </w:r>
            <w:r>
              <w:rPr>
                <w:rFonts w:ascii="Times New Roman" w:eastAsia="Times New Roman"/>
                <w:i/>
                <w:spacing w:val="-5"/>
              </w:rPr>
              <w:t>21</w:t>
            </w:r>
          </w:hyperlink>
        </w:p>
        <w:p>
          <w:pPr>
            <w:pStyle w:val="TOC5"/>
            <w:tabs>
              <w:tab w:val="right" w:leader="dot" w:pos="9413"/>
            </w:tabs>
            <w:rPr>
              <w:rFonts w:ascii="Times New Roman" w:eastAsia="Times New Roman"/>
              <w:i/>
            </w:rPr>
          </w:pPr>
          <w:hyperlink w:anchor="_TOC_250005" w:history="1">
            <w:r>
              <w:rPr>
                <w:spacing w:val="-16"/>
              </w:rPr>
              <w:t>6</w:t>
            </w:r>
            <w:r>
              <w:rPr>
                <w:spacing w:val="-16"/>
              </w:rPr>
              <w:t>、</w:t>
            </w:r>
            <w:r>
              <w:rPr>
                <w:spacing w:val="-16"/>
              </w:rPr>
              <w:t>一</w:t>
            </w:r>
            <w:r>
              <w:rPr>
                <w:spacing w:val="-16"/>
              </w:rPr>
              <w:t>期</w:t>
            </w:r>
            <w:r>
              <w:rPr>
                <w:spacing w:val="-16"/>
              </w:rPr>
              <w:t>清</w:t>
            </w:r>
            <w:r>
              <w:rPr>
                <w:spacing w:val="-16"/>
              </w:rPr>
              <w:t>盘</w:t>
            </w:r>
            <w:r>
              <w:rPr>
                <w:spacing w:val="-16"/>
              </w:rPr>
              <w:t>销</w:t>
            </w:r>
            <w:r>
              <w:rPr>
                <w:spacing w:val="-16"/>
              </w:rPr>
              <w:t>售</w:t>
            </w:r>
            <w:r>
              <w:rPr>
                <w:spacing w:val="-16"/>
              </w:rPr>
              <w:t>期</w:t>
            </w:r>
            <w:r>
              <w:rPr>
                <w:rFonts w:ascii="Times New Roman" w:eastAsia="Times New Roman"/>
              </w:rPr>
              <w:tab/>
            </w:r>
            <w:r>
              <w:rPr>
                <w:rFonts w:ascii="Times New Roman" w:eastAsia="Times New Roman"/>
                <w:i/>
                <w:spacing w:val="-7"/>
              </w:rPr>
              <w:t>22</w:t>
            </w:r>
          </w:hyperlink>
        </w:p>
        <w:p>
          <w:pPr>
            <w:pStyle w:val="TOC4"/>
            <w:tabs>
              <w:tab w:val="right" w:leader="dot" w:pos="9413"/>
            </w:tabs>
          </w:pPr>
          <w:hyperlink w:anchor="_TOC_250004" w:history="1">
            <w:r>
              <w:rPr>
                <w:spacing w:val="-18"/>
              </w:rPr>
              <w:t>（</w:t>
            </w:r>
            <w:r>
              <w:rPr>
                <w:spacing w:val="-18"/>
              </w:rPr>
              <w:t>三</w:t>
            </w:r>
            <w:r>
              <w:rPr>
                <w:spacing w:val="-117"/>
              </w:rPr>
              <w:t>）</w:t>
            </w:r>
            <w:r>
              <w:rPr>
                <w:spacing w:val="-18"/>
              </w:rPr>
              <w:t>、</w:t>
            </w:r>
            <w:r>
              <w:rPr>
                <w:spacing w:val="-18"/>
              </w:rPr>
              <w:t>项</w:t>
            </w:r>
            <w:r>
              <w:rPr>
                <w:spacing w:val="-18"/>
              </w:rPr>
              <w:t>目</w:t>
            </w:r>
            <w:r>
              <w:rPr>
                <w:spacing w:val="-18"/>
              </w:rPr>
              <w:t>推</w:t>
            </w:r>
            <w:r>
              <w:rPr>
                <w:spacing w:val="-18"/>
              </w:rPr>
              <w:t>盘</w:t>
            </w:r>
            <w:r>
              <w:rPr>
                <w:spacing w:val="-18"/>
              </w:rPr>
              <w:t>方</w:t>
            </w:r>
            <w:r>
              <w:rPr>
                <w:spacing w:val="-18"/>
              </w:rPr>
              <w:t>案</w:t>
            </w:r>
            <w:r>
              <w:rPr>
                <w:rFonts w:ascii="Times New Roman" w:eastAsia="Times New Roman"/>
              </w:rPr>
              <w:tab/>
            </w:r>
            <w:r>
              <w:rPr>
                <w:spacing w:val="-5"/>
              </w:rPr>
              <w:t>22</w:t>
            </w:r>
          </w:hyperlink>
        </w:p>
        <w:p>
          <w:pPr>
            <w:pStyle w:val="TOC4"/>
            <w:tabs>
              <w:tab w:val="right" w:leader="dot" w:pos="9413"/>
            </w:tabs>
          </w:pPr>
          <w:hyperlink w:anchor="_TOC_250003" w:history="1">
            <w:r>
              <w:rPr>
                <w:spacing w:val="-18"/>
              </w:rPr>
              <w:t>（</w:t>
            </w:r>
            <w:r>
              <w:rPr>
                <w:spacing w:val="-18"/>
              </w:rPr>
              <w:t>四</w:t>
            </w:r>
            <w:r>
              <w:rPr>
                <w:spacing w:val="-117"/>
              </w:rPr>
              <w:t>）</w:t>
            </w:r>
            <w:r>
              <w:rPr>
                <w:spacing w:val="-18"/>
              </w:rPr>
              <w:t>、</w:t>
            </w:r>
            <w:r>
              <w:rPr>
                <w:spacing w:val="-18"/>
              </w:rPr>
              <w:t>项</w:t>
            </w:r>
            <w:r>
              <w:rPr>
                <w:spacing w:val="-18"/>
              </w:rPr>
              <w:t>目</w:t>
            </w:r>
            <w:r>
              <w:rPr>
                <w:spacing w:val="-18"/>
              </w:rPr>
              <w:t>销</w:t>
            </w:r>
            <w:r>
              <w:rPr>
                <w:spacing w:val="-18"/>
              </w:rPr>
              <w:t>售</w:t>
            </w:r>
            <w:r>
              <w:rPr>
                <w:spacing w:val="-18"/>
              </w:rPr>
              <w:t>进</w:t>
            </w:r>
            <w:r>
              <w:rPr>
                <w:spacing w:val="-18"/>
              </w:rPr>
              <w:t>度</w:t>
            </w:r>
            <w:r>
              <w:rPr>
                <w:spacing w:val="-18"/>
              </w:rPr>
              <w:t>目</w:t>
            </w:r>
            <w:r>
              <w:rPr>
                <w:spacing w:val="-18"/>
              </w:rPr>
              <w:t>的</w:t>
            </w:r>
            <w:r>
              <w:rPr>
                <w:rFonts w:ascii="Times New Roman" w:eastAsia="Times New Roman"/>
              </w:rPr>
              <w:tab/>
            </w:r>
            <w:r>
              <w:rPr>
                <w:spacing w:val="-5"/>
              </w:rPr>
              <w:t>23</w:t>
            </w:r>
          </w:hyperlink>
        </w:p>
        <w:p>
          <w:pPr>
            <w:pStyle w:val="TOC4"/>
            <w:tabs>
              <w:tab w:val="right" w:leader="dot" w:pos="9413"/>
            </w:tabs>
            <w:spacing w:before="55"/>
          </w:pPr>
          <w:hyperlink w:anchor="_TOC_250002" w:history="1">
            <w:r>
              <w:rPr>
                <w:spacing w:val="-18"/>
              </w:rPr>
              <w:t>（</w:t>
            </w:r>
            <w:r>
              <w:rPr>
                <w:spacing w:val="-18"/>
              </w:rPr>
              <w:t>五</w:t>
            </w:r>
            <w:r>
              <w:rPr>
                <w:spacing w:val="-117"/>
              </w:rPr>
              <w:t>）</w:t>
            </w:r>
            <w:r>
              <w:rPr>
                <w:spacing w:val="-18"/>
              </w:rPr>
              <w:t>、</w:t>
            </w:r>
            <w:r>
              <w:rPr>
                <w:spacing w:val="-18"/>
              </w:rPr>
              <w:t>营</w:t>
            </w:r>
            <w:r>
              <w:rPr>
                <w:spacing w:val="-18"/>
              </w:rPr>
              <w:t>销</w:t>
            </w:r>
            <w:r>
              <w:rPr>
                <w:spacing w:val="-18"/>
              </w:rPr>
              <w:t>推</w:t>
            </w:r>
            <w:r>
              <w:rPr>
                <w:spacing w:val="-18"/>
              </w:rPr>
              <w:t>广</w:t>
            </w:r>
            <w:r>
              <w:rPr>
                <w:spacing w:val="-18"/>
              </w:rPr>
              <w:t>方</w:t>
            </w:r>
            <w:r>
              <w:rPr>
                <w:spacing w:val="-18"/>
              </w:rPr>
              <w:t>略</w:t>
            </w:r>
            <w:r>
              <w:rPr>
                <w:rFonts w:ascii="Times New Roman" w:eastAsia="Times New Roman"/>
              </w:rPr>
              <w:tab/>
            </w:r>
            <w:r>
              <w:rPr>
                <w:spacing w:val="-5"/>
              </w:rPr>
              <w:t>23</w:t>
            </w:r>
          </w:hyperlink>
        </w:p>
        <w:p>
          <w:pPr>
            <w:pStyle w:val="TOC5"/>
            <w:tabs>
              <w:tab w:val="right" w:leader="dot" w:pos="9413"/>
            </w:tabs>
            <w:rPr>
              <w:rFonts w:ascii="Times New Roman" w:eastAsia="Times New Roman"/>
              <w:i/>
            </w:rPr>
          </w:pPr>
          <w:hyperlink w:anchor="_TOC_250001" w:history="1">
            <w:r>
              <w:rPr>
                <w:spacing w:val="-16"/>
              </w:rPr>
              <w:t>1</w:t>
            </w:r>
            <w:r>
              <w:rPr>
                <w:spacing w:val="-16"/>
              </w:rPr>
              <w:t>、</w:t>
            </w:r>
            <w:r>
              <w:rPr>
                <w:spacing w:val="-16"/>
              </w:rPr>
              <w:t>媒</w:t>
            </w:r>
            <w:r>
              <w:rPr>
                <w:spacing w:val="-16"/>
              </w:rPr>
              <w:t>体</w:t>
            </w:r>
            <w:r>
              <w:rPr>
                <w:spacing w:val="-16"/>
              </w:rPr>
              <w:t>宣</w:t>
            </w:r>
            <w:r>
              <w:rPr>
                <w:spacing w:val="-16"/>
              </w:rPr>
              <w:t>传</w:t>
            </w:r>
            <w:r>
              <w:rPr>
                <w:spacing w:val="-16"/>
              </w:rPr>
              <w:t>方</w:t>
            </w:r>
            <w:r>
              <w:rPr>
                <w:spacing w:val="-16"/>
              </w:rPr>
              <w:t>略</w:t>
            </w:r>
            <w:r>
              <w:rPr>
                <w:rFonts w:ascii="Times New Roman" w:eastAsia="Times New Roman"/>
              </w:rPr>
              <w:tab/>
            </w:r>
            <w:r>
              <w:rPr>
                <w:rFonts w:ascii="Times New Roman" w:eastAsia="Times New Roman"/>
                <w:i/>
                <w:spacing w:val="-5"/>
              </w:rPr>
              <w:t>23</w:t>
            </w:r>
          </w:hyperlink>
        </w:p>
        <w:p>
          <w:pPr>
            <w:pStyle w:val="TOC5"/>
            <w:tabs>
              <w:tab w:val="right" w:leader="dot" w:pos="9413"/>
            </w:tabs>
            <w:rPr>
              <w:rFonts w:ascii="Times New Roman" w:eastAsia="Times New Roman"/>
              <w:i/>
            </w:rPr>
          </w:pPr>
          <w:hyperlink w:anchor="_TOC_250000" w:history="1">
            <w:r>
              <w:rPr>
                <w:spacing w:val="-16"/>
              </w:rPr>
              <w:t>2</w:t>
            </w:r>
            <w:r>
              <w:rPr>
                <w:spacing w:val="-16"/>
              </w:rPr>
              <w:t>、</w:t>
            </w:r>
            <w:r>
              <w:rPr>
                <w:spacing w:val="-16"/>
              </w:rPr>
              <w:t>营</w:t>
            </w:r>
            <w:r>
              <w:rPr>
                <w:spacing w:val="-16"/>
              </w:rPr>
              <w:t>销</w:t>
            </w:r>
            <w:r>
              <w:rPr>
                <w:spacing w:val="-16"/>
              </w:rPr>
              <w:t>活</w:t>
            </w:r>
            <w:r>
              <w:rPr>
                <w:spacing w:val="-16"/>
              </w:rPr>
              <w:t>动</w:t>
            </w:r>
            <w:r>
              <w:rPr>
                <w:spacing w:val="-16"/>
              </w:rPr>
              <w:t>方</w:t>
            </w:r>
            <w:r>
              <w:rPr>
                <w:spacing w:val="-16"/>
              </w:rPr>
              <w:t>略</w:t>
            </w:r>
            <w:r>
              <w:rPr>
                <w:rFonts w:ascii="Times New Roman" w:eastAsia="Times New Roman"/>
              </w:rPr>
              <w:tab/>
            </w:r>
            <w:r>
              <w:rPr>
                <w:rFonts w:ascii="Times New Roman" w:eastAsia="Times New Roman"/>
                <w:i/>
                <w:spacing w:val="-5"/>
              </w:rPr>
              <w:t>29</w:t>
            </w:r>
          </w:hyperlink>
        </w:p>
      </w:sdtContent>
    </w:sdt>
    <w:p>
      <w:pPr>
        <w:spacing w:after="0"/>
        <w:rPr>
          <w:rFonts w:ascii="Times New Roman" w:eastAsia="Times New Roman"/>
        </w:rPr>
        <w:sectPr>
          <w:pgSz w:w="11910" w:h="16840"/>
          <w:pgMar w:top="1420" w:right="960" w:bottom="280" w:left="960" w:header="708" w:footer="708"/>
          <w:pgNumType w:start="2"/>
          <w:cols w:space="708"/>
        </w:sectPr>
      </w:pPr>
    </w:p>
    <w:p>
      <w:pPr>
        <w:pStyle w:val="Heading1"/>
        <w:spacing w:line="460" w:lineRule="exact"/>
      </w:pPr>
      <w:bookmarkStart w:id="0" w:name="_TOC_250036"/>
      <w:bookmarkEnd w:id="0"/>
      <w:r>
        <w:rPr>
          <w:spacing w:val="-16"/>
        </w:rPr>
        <w:t>一、前言</w:t>
      </w:r>
    </w:p>
    <w:p>
      <w:pPr>
        <w:pStyle w:val="BodyText"/>
        <w:spacing w:before="15"/>
        <w:ind w:left="0"/>
        <w:rPr>
          <w:rFonts w:ascii="Microsoft JhengHei"/>
          <w:b/>
          <w:i w:val="0"/>
          <w:sz w:val="18"/>
        </w:rPr>
      </w:pPr>
    </w:p>
    <w:p>
      <w:pPr>
        <w:spacing w:before="0" w:line="391" w:lineRule="auto"/>
        <w:ind w:left="571" w:right="552" w:firstLine="590"/>
        <w:jc w:val="both"/>
        <w:rPr>
          <w:sz w:val="24"/>
        </w:rPr>
      </w:pPr>
      <w:r>
        <w:rPr>
          <w:spacing w:val="-18"/>
          <w:sz w:val="24"/>
        </w:rPr>
        <w:t>根据市场现状及我项目实际状况，结公司实际状况，建议下六个月营销推广以一期多</w:t>
      </w:r>
      <w:r>
        <w:rPr>
          <w:spacing w:val="-14"/>
          <w:sz w:val="24"/>
        </w:rPr>
        <w:t>层实景呈现加之引进几百年金桂与华盛顿棕榈等作为制造热点销售事件营造良好销售氛围</w:t>
      </w:r>
      <w:r>
        <w:rPr>
          <w:spacing w:val="-20"/>
          <w:sz w:val="24"/>
        </w:rPr>
        <w:t>的市场切入点，热点事件主题以提高项目社会公开形象，树立本地行业品牌地位，展示公司</w:t>
      </w:r>
      <w:r>
        <w:rPr>
          <w:spacing w:val="-20"/>
          <w:sz w:val="24"/>
        </w:rPr>
        <w:t>高度的社会责任感，获得良好的大众口碑传输效应为根本，提高销售业绩为目的。并诉求项</w:t>
      </w:r>
      <w:r>
        <w:rPr>
          <w:spacing w:val="-12"/>
          <w:sz w:val="24"/>
        </w:rPr>
        <w:t>目高端豪宅的产品品质，体现业主住家于翠屿花园王者身份的象征。</w:t>
      </w:r>
    </w:p>
    <w:p>
      <w:pPr>
        <w:pStyle w:val="Heading2"/>
        <w:spacing w:line="356" w:lineRule="exact"/>
      </w:pPr>
      <w:r>
        <w:t>下六个月推广目的</w:t>
      </w:r>
      <w:r>
        <w:rPr>
          <w:spacing w:val="-7"/>
          <w:w w:val="77"/>
        </w:rPr>
        <w:t>（</w:t>
      </w:r>
      <w:r>
        <w:rPr>
          <w:spacing w:val="1"/>
          <w:w w:val="173"/>
        </w:rPr>
        <w:t>.</w:t>
      </w:r>
      <w:r>
        <w:rPr>
          <w:spacing w:val="1"/>
          <w:w w:val="60"/>
        </w:rPr>
        <w:t>10</w:t>
      </w:r>
      <w:r>
        <w:rPr>
          <w:spacing w:val="1"/>
          <w:w w:val="173"/>
        </w:rPr>
        <w:t>.</w:t>
      </w:r>
      <w:r>
        <w:rPr>
          <w:spacing w:val="1"/>
          <w:w w:val="60"/>
        </w:rPr>
        <w:t>1</w:t>
      </w:r>
      <w:r>
        <w:rPr>
          <w:spacing w:val="1"/>
          <w:w w:val="92"/>
        </w:rPr>
        <w:t>-</w:t>
      </w:r>
      <w:r>
        <w:t>---</w:t>
      </w:r>
      <w:r>
        <w:rPr>
          <w:spacing w:val="1"/>
          <w:w w:val="172"/>
        </w:rPr>
        <w:t>.</w:t>
      </w:r>
      <w:r>
        <w:rPr>
          <w:spacing w:val="1"/>
          <w:w w:val="59"/>
        </w:rPr>
        <w:t>3</w:t>
      </w:r>
      <w:r>
        <w:rPr>
          <w:spacing w:val="1"/>
          <w:w w:val="172"/>
        </w:rPr>
        <w:t>.</w:t>
      </w:r>
      <w:r>
        <w:rPr>
          <w:spacing w:val="1"/>
          <w:w w:val="59"/>
        </w:rPr>
        <w:t>31</w:t>
      </w:r>
      <w:r>
        <w:rPr>
          <w:spacing w:val="-7"/>
          <w:w w:val="76"/>
        </w:rPr>
        <w:t>）</w:t>
      </w:r>
      <w:r>
        <w:rPr>
          <w:spacing w:val="12"/>
        </w:rPr>
        <w:t xml:space="preserve">定为 </w:t>
      </w:r>
      <w:r>
        <w:t>6</w:t>
      </w:r>
      <w:r>
        <w:rPr>
          <w:spacing w:val="15"/>
        </w:rPr>
        <w:t xml:space="preserve"> 个月</w:t>
      </w:r>
    </w:p>
    <w:p>
      <w:pPr>
        <w:spacing w:before="59"/>
        <w:ind w:left="571" w:right="0" w:firstLine="0"/>
        <w:jc w:val="left"/>
        <w:rPr>
          <w:sz w:val="24"/>
        </w:rPr>
      </w:pPr>
      <w:r>
        <w:rPr>
          <w:rFonts w:ascii="Microsoft JhengHei" w:eastAsia="Microsoft JhengHei"/>
          <w:b/>
          <w:spacing w:val="-14"/>
          <w:sz w:val="24"/>
        </w:rPr>
        <w:t>主推二期：</w:t>
      </w:r>
      <w:r>
        <w:rPr>
          <w:spacing w:val="-14"/>
          <w:sz w:val="24"/>
        </w:rPr>
        <w:t>二期一标段（44#、48#、40#）8.28</w:t>
      </w:r>
      <w:r>
        <w:rPr>
          <w:spacing w:val="-26"/>
          <w:sz w:val="24"/>
        </w:rPr>
        <w:t xml:space="preserve"> 号开盘余下房源 </w:t>
      </w:r>
      <w:r>
        <w:rPr>
          <w:spacing w:val="-14"/>
          <w:sz w:val="24"/>
        </w:rPr>
        <w:t>43</w:t>
      </w:r>
      <w:r>
        <w:rPr>
          <w:spacing w:val="-23"/>
          <w:sz w:val="24"/>
        </w:rPr>
        <w:t xml:space="preserve"> 套消化；</w:t>
      </w:r>
    </w:p>
    <w:p>
      <w:pPr>
        <w:spacing w:before="138" w:line="391" w:lineRule="auto"/>
        <w:ind w:left="1763" w:right="552" w:firstLine="0"/>
        <w:jc w:val="left"/>
        <w:rPr>
          <w:sz w:val="24"/>
        </w:rPr>
      </w:pPr>
      <w:r>
        <w:rPr>
          <w:spacing w:val="-14"/>
          <w:sz w:val="24"/>
        </w:rPr>
        <w:t>对二期二标段推出房源进行储水(49#、45#、41#、36#、25#、21#、22#、23#叠</w:t>
      </w:r>
      <w:r>
        <w:rPr>
          <w:spacing w:val="-6"/>
          <w:sz w:val="24"/>
        </w:rPr>
        <w:t>院)</w:t>
      </w:r>
    </w:p>
    <w:p>
      <w:pPr>
        <w:spacing w:before="0" w:line="360" w:lineRule="exact"/>
        <w:ind w:left="571" w:right="0" w:firstLine="0"/>
        <w:jc w:val="left"/>
        <w:rPr>
          <w:sz w:val="24"/>
        </w:rPr>
      </w:pPr>
      <w:r>
        <w:rPr>
          <w:rFonts w:ascii="Microsoft JhengHei" w:eastAsia="Microsoft JhengHei"/>
          <w:b/>
          <w:spacing w:val="-14"/>
          <w:sz w:val="24"/>
        </w:rPr>
        <w:t>一期：</w:t>
      </w:r>
      <w:r>
        <w:rPr>
          <w:spacing w:val="-14"/>
          <w:sz w:val="24"/>
        </w:rPr>
        <w:t>情景叠院（11#、15#、19#），</w:t>
      </w:r>
      <w:r>
        <w:rPr>
          <w:spacing w:val="-30"/>
          <w:sz w:val="24"/>
        </w:rPr>
        <w:t xml:space="preserve">余下 </w:t>
      </w:r>
      <w:r>
        <w:rPr>
          <w:spacing w:val="-14"/>
          <w:sz w:val="24"/>
        </w:rPr>
        <w:t>15</w:t>
      </w:r>
      <w:r>
        <w:rPr>
          <w:spacing w:val="-23"/>
          <w:sz w:val="24"/>
        </w:rPr>
        <w:t xml:space="preserve"> 间商铺</w:t>
      </w:r>
    </w:p>
    <w:p>
      <w:pPr>
        <w:pStyle w:val="Heading2"/>
        <w:spacing w:before="59"/>
      </w:pPr>
      <w:r>
        <w:rPr>
          <w:spacing w:val="-16"/>
        </w:rPr>
        <w:t>目的销售额</w:t>
      </w:r>
    </w:p>
    <w:p>
      <w:pPr>
        <w:spacing w:before="138"/>
        <w:ind w:left="571" w:right="0" w:firstLine="0"/>
        <w:jc w:val="left"/>
        <w:rPr>
          <w:sz w:val="24"/>
        </w:rPr>
      </w:pPr>
      <w:r>
        <w:rPr>
          <w:spacing w:val="-23"/>
          <w:sz w:val="24"/>
        </w:rPr>
        <w:t xml:space="preserve">完毕二期多层 </w:t>
      </w:r>
      <w:r>
        <w:rPr>
          <w:spacing w:val="-14"/>
          <w:sz w:val="24"/>
        </w:rPr>
        <w:t>1.2</w:t>
      </w:r>
      <w:r>
        <w:rPr>
          <w:spacing w:val="-23"/>
          <w:sz w:val="24"/>
        </w:rPr>
        <w:t xml:space="preserve"> 亿元总销售额</w:t>
      </w:r>
      <w:r>
        <w:rPr>
          <w:spacing w:val="-14"/>
          <w:sz w:val="24"/>
        </w:rPr>
        <w:t>（6</w:t>
      </w:r>
      <w:r>
        <w:rPr>
          <w:spacing w:val="-32"/>
          <w:sz w:val="24"/>
        </w:rPr>
        <w:t xml:space="preserve"> 个月</w:t>
      </w:r>
      <w:r>
        <w:rPr>
          <w:spacing w:val="-14"/>
          <w:sz w:val="24"/>
        </w:rPr>
        <w:t>）</w:t>
      </w:r>
    </w:p>
    <w:p>
      <w:pPr>
        <w:pStyle w:val="Heading2"/>
        <w:spacing w:before="113"/>
      </w:pPr>
      <w:r>
        <w:rPr>
          <w:spacing w:val="-16"/>
        </w:rPr>
        <w:t>推广节点</w:t>
      </w:r>
    </w:p>
    <w:p>
      <w:pPr>
        <w:spacing w:before="138"/>
        <w:ind w:left="571" w:right="0" w:firstLine="0"/>
        <w:jc w:val="left"/>
        <w:rPr>
          <w:sz w:val="24"/>
        </w:rPr>
      </w:pPr>
      <w:r>
        <w:rPr>
          <w:spacing w:val="-12"/>
          <w:sz w:val="24"/>
        </w:rPr>
        <w:t>多层二标段</w:t>
      </w:r>
      <w:r>
        <w:rPr>
          <w:spacing w:val="-12"/>
          <w:sz w:val="24"/>
          <w:u w:val="single"/>
        </w:rPr>
        <w:t>暂定</w:t>
      </w:r>
      <w:r>
        <w:rPr>
          <w:spacing w:val="-78"/>
          <w:sz w:val="24"/>
        </w:rPr>
        <w:t xml:space="preserve"> </w:t>
      </w:r>
      <w:r>
        <w:rPr>
          <w:spacing w:val="-12"/>
          <w:sz w:val="24"/>
          <w:u w:val="single"/>
        </w:rPr>
        <w:t>2</w:t>
      </w:r>
      <w:r>
        <w:rPr>
          <w:spacing w:val="-40"/>
          <w:sz w:val="24"/>
          <w:u w:val="single"/>
        </w:rPr>
        <w:t xml:space="preserve"> 月</w:t>
      </w:r>
      <w:r>
        <w:rPr>
          <w:spacing w:val="-76"/>
          <w:sz w:val="24"/>
        </w:rPr>
        <w:t xml:space="preserve"> </w:t>
      </w:r>
      <w:r>
        <w:rPr>
          <w:spacing w:val="-12"/>
          <w:sz w:val="24"/>
          <w:u w:val="single"/>
        </w:rPr>
        <w:t>18</w:t>
      </w:r>
      <w:r>
        <w:rPr>
          <w:spacing w:val="-40"/>
          <w:sz w:val="24"/>
          <w:u w:val="single"/>
        </w:rPr>
        <w:t xml:space="preserve"> 日</w:t>
      </w:r>
      <w:r>
        <w:rPr>
          <w:spacing w:val="-12"/>
          <w:sz w:val="24"/>
        </w:rPr>
        <w:t>开盘。</w:t>
      </w:r>
    </w:p>
    <w:p>
      <w:pPr>
        <w:pStyle w:val="Heading1"/>
        <w:spacing w:before="60"/>
      </w:pPr>
      <w:bookmarkStart w:id="1" w:name="_TOC_250035"/>
      <w:bookmarkEnd w:id="1"/>
      <w:r>
        <w:rPr>
          <w:spacing w:val="-16"/>
        </w:rPr>
        <w:t>二、市场分析</w:t>
      </w:r>
    </w:p>
    <w:p>
      <w:pPr>
        <w:pStyle w:val="Heading2"/>
        <w:spacing w:before="38"/>
      </w:pPr>
      <w:bookmarkStart w:id="2" w:name="_TOC_250034"/>
      <w:r>
        <w:rPr>
          <w:spacing w:val="-16"/>
        </w:rPr>
        <w:t>（一</w:t>
      </w:r>
      <w:r>
        <w:rPr>
          <w:spacing w:val="-136"/>
        </w:rPr>
        <w:t>）</w:t>
      </w:r>
      <w:bookmarkEnd w:id="2"/>
      <w:r>
        <w:rPr>
          <w:spacing w:val="-16"/>
        </w:rPr>
        <w:t>、整体环境</w:t>
      </w:r>
    </w:p>
    <w:p>
      <w:pPr>
        <w:spacing w:before="138" w:line="391" w:lineRule="auto"/>
        <w:ind w:left="571" w:right="552" w:firstLine="590"/>
        <w:jc w:val="both"/>
        <w:rPr>
          <w:sz w:val="24"/>
        </w:rPr>
      </w:pPr>
      <w:r>
        <w:rPr>
          <w:spacing w:val="-20"/>
          <w:sz w:val="24"/>
        </w:rPr>
        <w:t>池州市现在重要楼盘按都市规划发展方向，多数分布在城西和城南 2 大片区，以新兴</w:t>
      </w:r>
      <w:r>
        <w:rPr>
          <w:spacing w:val="-23"/>
          <w:sz w:val="24"/>
        </w:rPr>
        <w:t>商业项目和品质较高的住宅项目开发为主体。城西片区以秋浦河周边开发为主，几大项目依</w:t>
      </w:r>
      <w:r>
        <w:rPr>
          <w:spacing w:val="-20"/>
          <w:sz w:val="24"/>
        </w:rPr>
        <w:t>河而建，都是含有高品质高居住舒适度的住家楼盘（万成、三江明珠、华邦阳光城、维多利</w:t>
      </w:r>
      <w:r>
        <w:rPr>
          <w:spacing w:val="-20"/>
          <w:sz w:val="24"/>
        </w:rPr>
        <w:t>亚花园、等）。都市中心老城区以旧城改建供应商业项目和高层建筑为主（、等）。城南片</w:t>
      </w:r>
      <w:r>
        <w:rPr>
          <w:spacing w:val="-12"/>
          <w:sz w:val="24"/>
        </w:rPr>
        <w:t>区以站前区为主商业带动住宅的楼盘（高速地产、英伦城邦、大佳置业）。</w:t>
      </w:r>
    </w:p>
    <w:p>
      <w:pPr>
        <w:pStyle w:val="Heading2"/>
        <w:spacing w:line="356" w:lineRule="exact"/>
      </w:pPr>
      <w:bookmarkStart w:id="3" w:name="_TOC_250033"/>
      <w:r>
        <w:rPr>
          <w:spacing w:val="-16"/>
        </w:rPr>
        <w:t>（二</w:t>
      </w:r>
      <w:r>
        <w:rPr>
          <w:spacing w:val="-136"/>
        </w:rPr>
        <w:t>）</w:t>
      </w:r>
      <w:bookmarkEnd w:id="3"/>
      <w:r>
        <w:rPr>
          <w:spacing w:val="-16"/>
        </w:rPr>
        <w:t>、区位市场分析</w:t>
      </w:r>
    </w:p>
    <w:p>
      <w:pPr>
        <w:spacing w:before="138" w:line="391" w:lineRule="auto"/>
        <w:ind w:left="571" w:right="543" w:firstLine="590"/>
        <w:jc w:val="both"/>
        <w:rPr>
          <w:sz w:val="24"/>
        </w:rPr>
      </w:pPr>
      <w:r>
        <w:rPr>
          <w:spacing w:val="-18"/>
          <w:sz w:val="24"/>
        </w:rPr>
        <w:t>中天世纪位于文山市城北卧龙新城发展区，近年来按都市总体规划实施“南提北扩”</w:t>
      </w:r>
      <w:r>
        <w:rPr>
          <w:spacing w:val="-27"/>
          <w:sz w:val="24"/>
        </w:rPr>
        <w:t>的开发政策，区域房地产项目是文山住宅商品房供应的重要开发区，集中了市内今年的住宅</w:t>
      </w:r>
      <w:r>
        <w:rPr>
          <w:spacing w:val="-21"/>
          <w:sz w:val="24"/>
        </w:rPr>
        <w:t xml:space="preserve">大项目，如水岸 </w:t>
      </w:r>
      <w:r>
        <w:rPr>
          <w:spacing w:val="-22"/>
          <w:sz w:val="24"/>
        </w:rPr>
        <w:t>2 期、华宇印象、明德郡园、天俊丽园、枫林溪谷、丽水湖畔以及即将启动</w:t>
      </w:r>
      <w:r>
        <w:rPr>
          <w:spacing w:val="-18"/>
          <w:sz w:val="24"/>
        </w:rPr>
        <w:t>的光大山水人家、温商地产大概 60 亩地的开发项目，各项目均以环境、景观和高品质住宅</w:t>
      </w:r>
      <w:r>
        <w:rPr>
          <w:spacing w:val="-23"/>
          <w:sz w:val="24"/>
        </w:rPr>
        <w:t xml:space="preserve">为重要市场推广卖点。预计将来 </w:t>
      </w:r>
      <w:r>
        <w:rPr>
          <w:spacing w:val="-20"/>
          <w:sz w:val="24"/>
        </w:rPr>
        <w:t>1</w:t>
      </w:r>
      <w:r>
        <w:rPr>
          <w:spacing w:val="-25"/>
          <w:sz w:val="24"/>
        </w:rPr>
        <w:t xml:space="preserve"> 年内，该片区入销售市面积将占市场的二分之一左右，总</w:t>
      </w:r>
    </w:p>
    <w:p>
      <w:pPr>
        <w:spacing w:after="0" w:line="391" w:lineRule="auto"/>
        <w:jc w:val="both"/>
        <w:rPr>
          <w:sz w:val="24"/>
        </w:rPr>
        <w:sectPr>
          <w:pgSz w:w="11910" w:h="16840"/>
          <w:pgMar w:top="1440" w:right="960" w:bottom="280" w:left="960" w:header="708" w:footer="708"/>
          <w:pgNumType w:start="3"/>
          <w:cols w:space="708"/>
        </w:sectPr>
      </w:pPr>
    </w:p>
    <w:p>
      <w:pPr>
        <w:spacing w:before="43"/>
        <w:ind w:left="571" w:right="0" w:firstLine="0"/>
        <w:jc w:val="left"/>
        <w:rPr>
          <w:i/>
          <w:sz w:val="24"/>
        </w:rPr>
      </w:pPr>
      <w:r>
        <w:rPr>
          <w:i/>
          <w:spacing w:val="-26"/>
          <w:sz w:val="24"/>
        </w:rPr>
        <w:t xml:space="preserve">户数超高 </w:t>
      </w:r>
      <w:r>
        <w:rPr>
          <w:spacing w:val="-12"/>
          <w:sz w:val="24"/>
        </w:rPr>
        <w:t>3000</w:t>
      </w:r>
      <w:r>
        <w:rPr>
          <w:spacing w:val="-67"/>
          <w:sz w:val="24"/>
        </w:rPr>
        <w:t xml:space="preserve"> </w:t>
      </w:r>
      <w:r>
        <w:rPr>
          <w:i/>
          <w:spacing w:val="-12"/>
          <w:sz w:val="24"/>
        </w:rPr>
        <w:t>户以上。</w:t>
      </w:r>
    </w:p>
    <w:p>
      <w:pPr>
        <w:pStyle w:val="BodyText"/>
        <w:spacing w:before="192" w:line="391" w:lineRule="auto"/>
        <w:ind w:right="360" w:firstLine="590"/>
      </w:pPr>
      <w:r>
        <w:rPr>
          <w:spacing w:val="-12"/>
        </w:rPr>
        <w:t>随着新州政府落成及人工湖的启用，将很大程度的提高新区的人群流动量，环境景观</w:t>
      </w:r>
      <w:r>
        <w:rPr>
          <w:spacing w:val="-28"/>
        </w:rPr>
        <w:t>的大众承认度也快速提高，将会成为吸引大部分购房消费者选择该片区置业的重要亮点之一。</w:t>
      </w:r>
    </w:p>
    <w:p>
      <w:pPr>
        <w:pStyle w:val="BodyText"/>
        <w:spacing w:line="391" w:lineRule="auto"/>
        <w:ind w:right="552" w:firstLine="590"/>
        <w:jc w:val="both"/>
      </w:pPr>
      <w:r>
        <w:rPr>
          <w:spacing w:val="-18"/>
        </w:rPr>
        <w:t>由于国家政策方面的影响，很大程度限制了投机行为的炒房者，新楼盘的</w:t>
      </w:r>
      <w:r>
        <w:rPr>
          <w:i w:val="0"/>
          <w:spacing w:val="-18"/>
        </w:rPr>
        <w:t>“</w:t>
      </w:r>
      <w:r>
        <w:rPr>
          <w:spacing w:val="-18"/>
        </w:rPr>
        <w:t>房虫</w:t>
      </w:r>
      <w:r>
        <w:rPr>
          <w:i w:val="0"/>
          <w:spacing w:val="-18"/>
        </w:rPr>
        <w:t>”</w:t>
      </w:r>
      <w:r>
        <w:rPr>
          <w:spacing w:val="-18"/>
        </w:rPr>
        <w:t>为</w:t>
      </w:r>
      <w:r>
        <w:rPr>
          <w:spacing w:val="-27"/>
        </w:rPr>
        <w:t>数不多，但同时在卧龙新区购房的大部分业主是以改善居住为首要目的，购置新的住房便会</w:t>
      </w:r>
      <w:r>
        <w:rPr>
          <w:spacing w:val="-25"/>
        </w:rPr>
        <w:t>对原有物业进行出售，直接加大三级市场二手房供应量，对克制本地房价快速增加起到核心</w:t>
      </w:r>
      <w:r>
        <w:rPr>
          <w:spacing w:val="-2"/>
        </w:rPr>
        <w:t>性的作用。</w:t>
      </w:r>
    </w:p>
    <w:p>
      <w:pPr>
        <w:pStyle w:val="Heading2"/>
        <w:spacing w:line="357" w:lineRule="exact"/>
      </w:pPr>
      <w:bookmarkStart w:id="4" w:name="_TOC_250032"/>
      <w:r>
        <w:rPr>
          <w:spacing w:val="-16"/>
        </w:rPr>
        <w:t>（三</w:t>
      </w:r>
      <w:r>
        <w:rPr>
          <w:spacing w:val="-136"/>
        </w:rPr>
        <w:t>）</w:t>
      </w:r>
      <w:bookmarkEnd w:id="4"/>
      <w:r>
        <w:rPr>
          <w:spacing w:val="-16"/>
        </w:rPr>
        <w:t>、区位竞争分析</w:t>
      </w:r>
    </w:p>
    <w:p>
      <w:pPr>
        <w:pStyle w:val="BodyText"/>
        <w:spacing w:before="136" w:line="391" w:lineRule="auto"/>
        <w:ind w:left="361" w:right="552" w:firstLine="796"/>
        <w:jc w:val="both"/>
      </w:pPr>
      <w:r>
        <w:rPr>
          <w:spacing w:val="-18"/>
        </w:rPr>
        <w:t>卧龙片区重要供应高品质的住宅产品，面积数量多且各楼盘定位定价、目的客户群体</w:t>
      </w:r>
      <w:r>
        <w:rPr>
          <w:spacing w:val="-27"/>
        </w:rPr>
        <w:t>定位等大同小异，不同之处在于楼盘的规模形态和社区景观的规划设计，这也是作为客户竞争</w:t>
      </w:r>
      <w:r>
        <w:rPr>
          <w:spacing w:val="-27"/>
        </w:rPr>
        <w:t>的重要因素。但整体购房消费者对片区居住价值的承认，很大部分有购房打算的家庭，都将置</w:t>
      </w:r>
      <w:r>
        <w:rPr>
          <w:spacing w:val="-25"/>
        </w:rPr>
        <w:t>业区位锁定在卧龙新区，因此产品供应量大的同时也吸引着多数购房消费者，客户竞争将考验</w:t>
      </w:r>
      <w:r>
        <w:rPr>
          <w:spacing w:val="-4"/>
        </w:rPr>
        <w:t>着各楼盘的营销手段及价格体系。</w:t>
      </w:r>
    </w:p>
    <w:p>
      <w:pPr>
        <w:spacing w:before="0" w:line="356" w:lineRule="exact"/>
        <w:ind w:left="571" w:right="0" w:firstLine="0"/>
        <w:jc w:val="both"/>
        <w:rPr>
          <w:i/>
          <w:sz w:val="28"/>
        </w:rPr>
      </w:pPr>
      <w:r>
        <w:rPr>
          <w:rFonts w:ascii="Microsoft JhengHei" w:eastAsia="Microsoft JhengHei"/>
          <w:b/>
          <w:spacing w:val="-2"/>
          <w:sz w:val="24"/>
        </w:rPr>
        <w:t>1</w:t>
      </w:r>
      <w:r>
        <w:rPr>
          <w:rFonts w:ascii="Microsoft JhengHei" w:eastAsia="Microsoft JhengHei"/>
          <w:b/>
          <w:spacing w:val="122"/>
          <w:sz w:val="24"/>
        </w:rPr>
        <w:t xml:space="preserve">、 </w:t>
      </w:r>
      <w:r>
        <w:rPr>
          <w:i/>
          <w:spacing w:val="-3"/>
          <w:sz w:val="28"/>
        </w:rPr>
        <w:t>竞争性项目产品分析</w:t>
      </w:r>
    </w:p>
    <w:tbl>
      <w:tblPr>
        <w:tblStyle w:val="TableNormal0"/>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0"/>
        <w:gridCol w:w="1807"/>
        <w:gridCol w:w="1279"/>
        <w:gridCol w:w="1234"/>
        <w:gridCol w:w="1222"/>
        <w:gridCol w:w="1845"/>
        <w:gridCol w:w="964"/>
      </w:tblGrid>
      <w:tr>
        <w:tblPrEx>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18"/>
                <w:sz w:val="21"/>
              </w:rPr>
              <w:t>项目名称</w:t>
            </w:r>
          </w:p>
        </w:tc>
        <w:tc>
          <w:tcPr>
            <w:tcW w:w="1807" w:type="dxa"/>
          </w:tcPr>
          <w:p>
            <w:pPr>
              <w:pStyle w:val="TableParagraph"/>
              <w:spacing w:before="168"/>
              <w:ind w:left="108"/>
              <w:rPr>
                <w:i/>
                <w:sz w:val="21"/>
              </w:rPr>
            </w:pPr>
            <w:r>
              <w:rPr>
                <w:i/>
                <w:spacing w:val="-18"/>
                <w:sz w:val="21"/>
              </w:rPr>
              <w:t>产品类型</w:t>
            </w:r>
          </w:p>
        </w:tc>
        <w:tc>
          <w:tcPr>
            <w:tcW w:w="1279" w:type="dxa"/>
          </w:tcPr>
          <w:p>
            <w:pPr>
              <w:pStyle w:val="TableParagraph"/>
              <w:spacing w:before="168"/>
              <w:ind w:left="108"/>
              <w:rPr>
                <w:i/>
                <w:sz w:val="21"/>
              </w:rPr>
            </w:pPr>
            <w:r>
              <w:rPr>
                <w:i/>
                <w:spacing w:val="-18"/>
                <w:sz w:val="21"/>
              </w:rPr>
              <w:t>别墅面积㎡</w:t>
            </w:r>
          </w:p>
        </w:tc>
        <w:tc>
          <w:tcPr>
            <w:tcW w:w="1234" w:type="dxa"/>
          </w:tcPr>
          <w:p>
            <w:pPr>
              <w:pStyle w:val="TableParagraph"/>
              <w:spacing w:before="168"/>
              <w:ind w:left="108"/>
              <w:rPr>
                <w:i/>
                <w:sz w:val="21"/>
              </w:rPr>
            </w:pPr>
            <w:r>
              <w:rPr>
                <w:i/>
                <w:spacing w:val="-18"/>
                <w:sz w:val="21"/>
              </w:rPr>
              <w:t>套房面积㎡</w:t>
            </w:r>
          </w:p>
        </w:tc>
        <w:tc>
          <w:tcPr>
            <w:tcW w:w="1222" w:type="dxa"/>
          </w:tcPr>
          <w:p>
            <w:pPr>
              <w:pStyle w:val="TableParagraph"/>
              <w:spacing w:before="168"/>
              <w:ind w:left="108"/>
              <w:rPr>
                <w:i/>
                <w:sz w:val="21"/>
              </w:rPr>
            </w:pPr>
            <w:r>
              <w:rPr>
                <w:i/>
                <w:spacing w:val="-18"/>
                <w:sz w:val="21"/>
              </w:rPr>
              <w:t>商业面积㎡</w:t>
            </w:r>
          </w:p>
        </w:tc>
        <w:tc>
          <w:tcPr>
            <w:tcW w:w="1845" w:type="dxa"/>
          </w:tcPr>
          <w:p>
            <w:pPr>
              <w:pStyle w:val="TableParagraph"/>
              <w:spacing w:before="168"/>
              <w:ind w:left="108"/>
              <w:rPr>
                <w:i/>
                <w:sz w:val="21"/>
              </w:rPr>
            </w:pPr>
            <w:r>
              <w:rPr>
                <w:i/>
                <w:spacing w:val="-16"/>
                <w:sz w:val="21"/>
              </w:rPr>
              <w:t>占地</w:t>
            </w:r>
            <w:r>
              <w:rPr>
                <w:spacing w:val="-16"/>
                <w:sz w:val="21"/>
              </w:rPr>
              <w:t>/</w:t>
            </w:r>
            <w:r>
              <w:rPr>
                <w:i/>
                <w:spacing w:val="-16"/>
                <w:sz w:val="21"/>
              </w:rPr>
              <w:t>建面</w:t>
            </w:r>
          </w:p>
        </w:tc>
        <w:tc>
          <w:tcPr>
            <w:tcW w:w="964" w:type="dxa"/>
          </w:tcPr>
          <w:p>
            <w:pPr>
              <w:pStyle w:val="TableParagraph"/>
              <w:spacing w:before="168"/>
              <w:ind w:left="108"/>
              <w:rPr>
                <w:i/>
                <w:sz w:val="21"/>
              </w:rPr>
            </w:pPr>
            <w:r>
              <w:rPr>
                <w:i/>
                <w:spacing w:val="-18"/>
                <w:sz w:val="21"/>
              </w:rPr>
              <w:t>总户数</w:t>
            </w:r>
          </w:p>
        </w:tc>
      </w:tr>
      <w:tr>
        <w:tblPrEx>
          <w:tblW w:w="0" w:type="auto"/>
          <w:jc w:val="left"/>
          <w:tblInd w:w="117" w:type="dxa"/>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18"/>
                <w:sz w:val="21"/>
              </w:rPr>
              <w:t>明德郡园</w:t>
            </w:r>
          </w:p>
        </w:tc>
        <w:tc>
          <w:tcPr>
            <w:tcW w:w="1807" w:type="dxa"/>
          </w:tcPr>
          <w:p>
            <w:pPr>
              <w:pStyle w:val="TableParagraph"/>
              <w:spacing w:before="168"/>
              <w:ind w:left="108"/>
              <w:rPr>
                <w:i/>
                <w:sz w:val="21"/>
              </w:rPr>
            </w:pPr>
            <w:r>
              <w:rPr>
                <w:i/>
                <w:spacing w:val="-16"/>
                <w:sz w:val="21"/>
              </w:rPr>
              <w:t>多</w:t>
            </w:r>
            <w:r>
              <w:rPr>
                <w:spacing w:val="-16"/>
                <w:sz w:val="21"/>
              </w:rPr>
              <w:t>/</w:t>
            </w:r>
            <w:r>
              <w:rPr>
                <w:i/>
                <w:spacing w:val="-16"/>
                <w:sz w:val="21"/>
              </w:rPr>
              <w:t>高层套房</w:t>
            </w:r>
            <w:r>
              <w:rPr>
                <w:spacing w:val="-16"/>
                <w:sz w:val="21"/>
              </w:rPr>
              <w:t>/</w:t>
            </w:r>
            <w:r>
              <w:rPr>
                <w:i/>
                <w:spacing w:val="-16"/>
                <w:sz w:val="21"/>
              </w:rPr>
              <w:t>别墅</w:t>
            </w:r>
          </w:p>
        </w:tc>
        <w:tc>
          <w:tcPr>
            <w:tcW w:w="1279" w:type="dxa"/>
          </w:tcPr>
          <w:p>
            <w:pPr>
              <w:pStyle w:val="TableParagraph"/>
              <w:spacing w:before="168"/>
              <w:ind w:left="108"/>
              <w:rPr>
                <w:i/>
                <w:sz w:val="21"/>
              </w:rPr>
            </w:pPr>
            <w:r>
              <w:rPr>
                <w:spacing w:val="-10"/>
                <w:sz w:val="21"/>
              </w:rPr>
              <w:t>337--430</w:t>
            </w:r>
            <w:r>
              <w:rPr>
                <w:i/>
                <w:spacing w:val="-10"/>
                <w:sz w:val="21"/>
              </w:rPr>
              <w:t>㎡</w:t>
            </w:r>
          </w:p>
        </w:tc>
        <w:tc>
          <w:tcPr>
            <w:tcW w:w="1234" w:type="dxa"/>
          </w:tcPr>
          <w:p>
            <w:pPr>
              <w:pStyle w:val="TableParagraph"/>
              <w:spacing w:before="168"/>
              <w:ind w:left="108"/>
              <w:rPr>
                <w:i/>
                <w:sz w:val="21"/>
              </w:rPr>
            </w:pPr>
            <w:r>
              <w:rPr>
                <w:spacing w:val="-10"/>
                <w:sz w:val="21"/>
              </w:rPr>
              <w:t>90-146</w:t>
            </w:r>
            <w:r>
              <w:rPr>
                <w:i/>
                <w:spacing w:val="-12"/>
                <w:sz w:val="21"/>
              </w:rPr>
              <w:t>㎡</w:t>
            </w:r>
          </w:p>
        </w:tc>
        <w:tc>
          <w:tcPr>
            <w:tcW w:w="1222" w:type="dxa"/>
          </w:tcPr>
          <w:p>
            <w:pPr>
              <w:pStyle w:val="TableParagraph"/>
              <w:spacing w:before="168"/>
              <w:ind w:left="108"/>
              <w:rPr>
                <w:i/>
                <w:sz w:val="21"/>
              </w:rPr>
            </w:pPr>
            <w:r>
              <w:rPr>
                <w:spacing w:val="-10"/>
                <w:sz w:val="21"/>
              </w:rPr>
              <w:t>80-130</w:t>
            </w:r>
            <w:r>
              <w:rPr>
                <w:i/>
                <w:spacing w:val="-12"/>
                <w:sz w:val="21"/>
              </w:rPr>
              <w:t>㎡</w:t>
            </w:r>
          </w:p>
        </w:tc>
        <w:tc>
          <w:tcPr>
            <w:tcW w:w="1845" w:type="dxa"/>
          </w:tcPr>
          <w:p>
            <w:pPr>
              <w:pStyle w:val="TableParagraph"/>
              <w:spacing w:before="168"/>
              <w:ind w:left="108"/>
              <w:rPr>
                <w:sz w:val="21"/>
              </w:rPr>
            </w:pPr>
            <w:r>
              <w:rPr>
                <w:spacing w:val="-8"/>
                <w:sz w:val="21"/>
              </w:rPr>
              <w:t>39</w:t>
            </w:r>
            <w:r>
              <w:rPr>
                <w:spacing w:val="-58"/>
                <w:sz w:val="21"/>
              </w:rPr>
              <w:t xml:space="preserve"> </w:t>
            </w:r>
            <w:r>
              <w:rPr>
                <w:i/>
                <w:spacing w:val="-8"/>
                <w:sz w:val="21"/>
              </w:rPr>
              <w:t>亩</w:t>
            </w:r>
            <w:r>
              <w:rPr>
                <w:spacing w:val="-8"/>
                <w:sz w:val="21"/>
              </w:rPr>
              <w:t>/5.2</w:t>
            </w:r>
            <w:r>
              <w:rPr>
                <w:spacing w:val="-57"/>
                <w:sz w:val="21"/>
              </w:rPr>
              <w:t xml:space="preserve"> </w:t>
            </w:r>
            <w:r>
              <w:rPr>
                <w:i/>
                <w:spacing w:val="-37"/>
                <w:sz w:val="21"/>
              </w:rPr>
              <w:t xml:space="preserve">万 </w:t>
            </w:r>
            <w:r>
              <w:rPr>
                <w:spacing w:val="-8"/>
                <w:sz w:val="21"/>
              </w:rPr>
              <w:t>m</w:t>
            </w:r>
            <w:r>
              <w:rPr>
                <w:spacing w:val="-8"/>
                <w:sz w:val="21"/>
                <w:vertAlign w:val="superscript"/>
              </w:rPr>
              <w:t>2</w:t>
            </w:r>
          </w:p>
        </w:tc>
        <w:tc>
          <w:tcPr>
            <w:tcW w:w="964" w:type="dxa"/>
          </w:tcPr>
          <w:p>
            <w:pPr>
              <w:pStyle w:val="TableParagraph"/>
              <w:spacing w:before="168"/>
              <w:ind w:left="108"/>
              <w:rPr>
                <w:i/>
                <w:sz w:val="21"/>
              </w:rPr>
            </w:pPr>
            <w:r>
              <w:rPr>
                <w:spacing w:val="-6"/>
                <w:sz w:val="21"/>
              </w:rPr>
              <w:t>350</w:t>
            </w:r>
            <w:r>
              <w:rPr>
                <w:spacing w:val="-61"/>
                <w:sz w:val="21"/>
              </w:rPr>
              <w:t xml:space="preserve"> </w:t>
            </w:r>
            <w:r>
              <w:rPr>
                <w:i/>
                <w:spacing w:val="-10"/>
                <w:sz w:val="21"/>
              </w:rPr>
              <w:t>户</w:t>
            </w:r>
          </w:p>
        </w:tc>
      </w:tr>
      <w:tr>
        <w:tblPrEx>
          <w:tblW w:w="0" w:type="auto"/>
          <w:jc w:val="left"/>
          <w:tblInd w:w="117" w:type="dxa"/>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5"/>
                <w:sz w:val="21"/>
              </w:rPr>
              <w:t>加州花园</w:t>
            </w:r>
            <w:r>
              <w:rPr>
                <w:spacing w:val="-5"/>
                <w:sz w:val="21"/>
              </w:rPr>
              <w:t>2</w:t>
            </w:r>
            <w:r>
              <w:rPr>
                <w:spacing w:val="-52"/>
                <w:sz w:val="21"/>
              </w:rPr>
              <w:t xml:space="preserve"> </w:t>
            </w:r>
            <w:r>
              <w:rPr>
                <w:i/>
                <w:spacing w:val="-10"/>
                <w:sz w:val="21"/>
              </w:rPr>
              <w:t>期</w:t>
            </w:r>
          </w:p>
        </w:tc>
        <w:tc>
          <w:tcPr>
            <w:tcW w:w="1807" w:type="dxa"/>
          </w:tcPr>
          <w:p>
            <w:pPr>
              <w:pStyle w:val="TableParagraph"/>
              <w:spacing w:before="168"/>
              <w:ind w:left="108"/>
              <w:rPr>
                <w:i/>
                <w:sz w:val="21"/>
              </w:rPr>
            </w:pPr>
            <w:r>
              <w:rPr>
                <w:i/>
                <w:spacing w:val="-16"/>
                <w:sz w:val="21"/>
              </w:rPr>
              <w:t>多层套房</w:t>
            </w:r>
            <w:r>
              <w:rPr>
                <w:spacing w:val="-16"/>
                <w:sz w:val="21"/>
              </w:rPr>
              <w:t>/</w:t>
            </w:r>
            <w:r>
              <w:rPr>
                <w:i/>
                <w:spacing w:val="-16"/>
                <w:sz w:val="21"/>
              </w:rPr>
              <w:t>别墅</w:t>
            </w:r>
          </w:p>
        </w:tc>
        <w:tc>
          <w:tcPr>
            <w:tcW w:w="1279" w:type="dxa"/>
          </w:tcPr>
          <w:p>
            <w:pPr>
              <w:pStyle w:val="TableParagraph"/>
              <w:spacing w:before="168"/>
              <w:ind w:left="108"/>
              <w:rPr>
                <w:i/>
                <w:sz w:val="21"/>
              </w:rPr>
            </w:pPr>
            <w:r>
              <w:rPr>
                <w:spacing w:val="-18"/>
                <w:sz w:val="21"/>
              </w:rPr>
              <w:t>220—458</w:t>
            </w:r>
            <w:r>
              <w:rPr>
                <w:i/>
                <w:spacing w:val="-18"/>
                <w:sz w:val="21"/>
              </w:rPr>
              <w:t>㎡</w:t>
            </w:r>
          </w:p>
        </w:tc>
        <w:tc>
          <w:tcPr>
            <w:tcW w:w="1234" w:type="dxa"/>
          </w:tcPr>
          <w:p>
            <w:pPr>
              <w:pStyle w:val="TableParagraph"/>
              <w:spacing w:before="168"/>
              <w:ind w:left="108"/>
              <w:rPr>
                <w:i/>
                <w:sz w:val="21"/>
              </w:rPr>
            </w:pPr>
            <w:r>
              <w:rPr>
                <w:spacing w:val="-18"/>
                <w:sz w:val="21"/>
              </w:rPr>
              <w:t>128-191</w:t>
            </w:r>
            <w:r>
              <w:rPr>
                <w:i/>
                <w:spacing w:val="-18"/>
                <w:sz w:val="21"/>
              </w:rPr>
              <w:t>㎡</w:t>
            </w:r>
          </w:p>
        </w:tc>
        <w:tc>
          <w:tcPr>
            <w:tcW w:w="1222" w:type="dxa"/>
          </w:tcPr>
          <w:p>
            <w:pPr>
              <w:pStyle w:val="TableParagraph"/>
              <w:spacing w:before="168"/>
              <w:ind w:left="108"/>
              <w:rPr>
                <w:i/>
                <w:sz w:val="21"/>
              </w:rPr>
            </w:pPr>
            <w:r>
              <w:rPr>
                <w:spacing w:val="-18"/>
                <w:sz w:val="21"/>
              </w:rPr>
              <w:t>83--300</w:t>
            </w:r>
            <w:r>
              <w:rPr>
                <w:i/>
                <w:spacing w:val="-18"/>
                <w:sz w:val="21"/>
              </w:rPr>
              <w:t>㎡</w:t>
            </w:r>
          </w:p>
        </w:tc>
        <w:tc>
          <w:tcPr>
            <w:tcW w:w="1845" w:type="dxa"/>
          </w:tcPr>
          <w:p>
            <w:pPr>
              <w:pStyle w:val="TableParagraph"/>
              <w:spacing w:before="168"/>
              <w:ind w:left="108"/>
              <w:rPr>
                <w:sz w:val="21"/>
              </w:rPr>
            </w:pPr>
            <w:r>
              <w:rPr>
                <w:sz w:val="21"/>
              </w:rPr>
              <w:t>3</w:t>
            </w:r>
            <w:r>
              <w:rPr>
                <w:spacing w:val="-61"/>
                <w:sz w:val="21"/>
              </w:rPr>
              <w:t xml:space="preserve"> </w:t>
            </w:r>
            <w:r>
              <w:rPr>
                <w:i/>
                <w:spacing w:val="-35"/>
                <w:sz w:val="21"/>
              </w:rPr>
              <w:t xml:space="preserve">万 </w:t>
            </w:r>
            <w:r>
              <w:rPr>
                <w:sz w:val="21"/>
              </w:rPr>
              <w:t>m</w:t>
            </w:r>
            <w:r>
              <w:rPr>
                <w:sz w:val="21"/>
                <w:vertAlign w:val="superscript"/>
              </w:rPr>
              <w:t>2</w:t>
            </w:r>
            <w:r>
              <w:rPr>
                <w:spacing w:val="-26"/>
                <w:sz w:val="21"/>
                <w:vertAlign w:val="baseline"/>
              </w:rPr>
              <w:t xml:space="preserve"> </w:t>
            </w:r>
            <w:r>
              <w:rPr>
                <w:color w:val="333333"/>
                <w:spacing w:val="-11"/>
                <w:sz w:val="21"/>
                <w:vertAlign w:val="baseline"/>
              </w:rPr>
              <w:t xml:space="preserve">/ </w:t>
            </w:r>
            <w:r>
              <w:rPr>
                <w:sz w:val="21"/>
                <w:vertAlign w:val="baseline"/>
              </w:rPr>
              <w:t>4.5</w:t>
            </w:r>
            <w:r>
              <w:rPr>
                <w:spacing w:val="-61"/>
                <w:sz w:val="21"/>
                <w:vertAlign w:val="baseline"/>
              </w:rPr>
              <w:t xml:space="preserve"> </w:t>
            </w:r>
            <w:r>
              <w:rPr>
                <w:i/>
                <w:spacing w:val="35"/>
                <w:sz w:val="21"/>
                <w:vertAlign w:val="baseline"/>
              </w:rPr>
              <w:t>万</w:t>
            </w:r>
            <w:r>
              <w:rPr>
                <w:spacing w:val="-5"/>
                <w:sz w:val="21"/>
                <w:vertAlign w:val="baseline"/>
              </w:rPr>
              <w:t>m</w:t>
            </w:r>
            <w:r>
              <w:rPr>
                <w:spacing w:val="-5"/>
                <w:sz w:val="21"/>
                <w:vertAlign w:val="superscript"/>
              </w:rPr>
              <w:t>2</w:t>
            </w:r>
          </w:p>
        </w:tc>
        <w:tc>
          <w:tcPr>
            <w:tcW w:w="964" w:type="dxa"/>
          </w:tcPr>
          <w:p>
            <w:pPr>
              <w:pStyle w:val="TableParagraph"/>
              <w:spacing w:before="168"/>
              <w:ind w:left="108"/>
              <w:rPr>
                <w:i/>
                <w:sz w:val="21"/>
              </w:rPr>
            </w:pPr>
            <w:r>
              <w:rPr>
                <w:spacing w:val="-13"/>
                <w:sz w:val="21"/>
              </w:rPr>
              <w:t>200</w:t>
            </w:r>
            <w:r>
              <w:rPr>
                <w:spacing w:val="-68"/>
                <w:sz w:val="21"/>
              </w:rPr>
              <w:t xml:space="preserve"> </w:t>
            </w:r>
            <w:r>
              <w:rPr>
                <w:i/>
                <w:spacing w:val="-10"/>
                <w:sz w:val="21"/>
              </w:rPr>
              <w:t>户</w:t>
            </w:r>
          </w:p>
        </w:tc>
      </w:tr>
      <w:tr>
        <w:tblPrEx>
          <w:tblW w:w="0" w:type="auto"/>
          <w:jc w:val="left"/>
          <w:tblInd w:w="117" w:type="dxa"/>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18"/>
                <w:sz w:val="21"/>
              </w:rPr>
              <w:t>天俊丽园</w:t>
            </w:r>
          </w:p>
        </w:tc>
        <w:tc>
          <w:tcPr>
            <w:tcW w:w="1807" w:type="dxa"/>
          </w:tcPr>
          <w:p>
            <w:pPr>
              <w:pStyle w:val="TableParagraph"/>
              <w:spacing w:before="168"/>
              <w:ind w:left="108"/>
              <w:rPr>
                <w:i/>
                <w:sz w:val="21"/>
              </w:rPr>
            </w:pPr>
            <w:r>
              <w:rPr>
                <w:i/>
                <w:spacing w:val="-16"/>
                <w:sz w:val="21"/>
              </w:rPr>
              <w:t>多层套房</w:t>
            </w:r>
            <w:r>
              <w:rPr>
                <w:spacing w:val="-16"/>
                <w:sz w:val="21"/>
              </w:rPr>
              <w:t>/</w:t>
            </w:r>
            <w:r>
              <w:rPr>
                <w:i/>
                <w:spacing w:val="-16"/>
                <w:sz w:val="21"/>
              </w:rPr>
              <w:t>别墅</w:t>
            </w:r>
          </w:p>
        </w:tc>
        <w:tc>
          <w:tcPr>
            <w:tcW w:w="1279" w:type="dxa"/>
          </w:tcPr>
          <w:p>
            <w:pPr>
              <w:pStyle w:val="TableParagraph"/>
              <w:spacing w:before="168"/>
              <w:ind w:left="108"/>
              <w:rPr>
                <w:i/>
                <w:sz w:val="21"/>
              </w:rPr>
            </w:pPr>
            <w:r>
              <w:rPr>
                <w:spacing w:val="-9"/>
                <w:sz w:val="21"/>
              </w:rPr>
              <w:t>400</w:t>
            </w:r>
            <w:r>
              <w:rPr>
                <w:i/>
                <w:spacing w:val="-10"/>
                <w:sz w:val="21"/>
              </w:rPr>
              <w:t>㎡</w:t>
            </w:r>
          </w:p>
        </w:tc>
        <w:tc>
          <w:tcPr>
            <w:tcW w:w="1234" w:type="dxa"/>
          </w:tcPr>
          <w:p>
            <w:pPr>
              <w:pStyle w:val="TableParagraph"/>
              <w:spacing w:before="168"/>
              <w:ind w:left="108"/>
              <w:rPr>
                <w:i/>
                <w:sz w:val="21"/>
              </w:rPr>
            </w:pPr>
            <w:r>
              <w:rPr>
                <w:spacing w:val="-10"/>
                <w:sz w:val="21"/>
              </w:rPr>
              <w:t>85-160</w:t>
            </w:r>
            <w:r>
              <w:rPr>
                <w:i/>
                <w:spacing w:val="-12"/>
                <w:sz w:val="21"/>
              </w:rPr>
              <w:t>㎡</w:t>
            </w:r>
          </w:p>
        </w:tc>
        <w:tc>
          <w:tcPr>
            <w:tcW w:w="1222" w:type="dxa"/>
          </w:tcPr>
          <w:p>
            <w:pPr>
              <w:pStyle w:val="TableParagraph"/>
              <w:spacing w:before="168"/>
              <w:ind w:left="108"/>
              <w:rPr>
                <w:i/>
                <w:sz w:val="21"/>
              </w:rPr>
            </w:pPr>
            <w:r>
              <w:rPr>
                <w:spacing w:val="-10"/>
                <w:sz w:val="21"/>
              </w:rPr>
              <w:t>40-80</w:t>
            </w:r>
            <w:r>
              <w:rPr>
                <w:i/>
                <w:spacing w:val="-10"/>
                <w:sz w:val="21"/>
              </w:rPr>
              <w:t>㎡</w:t>
            </w:r>
          </w:p>
        </w:tc>
        <w:tc>
          <w:tcPr>
            <w:tcW w:w="1845" w:type="dxa"/>
          </w:tcPr>
          <w:p>
            <w:pPr>
              <w:pStyle w:val="TableParagraph"/>
              <w:spacing w:before="168"/>
              <w:ind w:left="108"/>
              <w:rPr>
                <w:sz w:val="21"/>
              </w:rPr>
            </w:pPr>
            <w:r>
              <w:rPr>
                <w:spacing w:val="-8"/>
                <w:sz w:val="21"/>
              </w:rPr>
              <w:t>70</w:t>
            </w:r>
            <w:r>
              <w:rPr>
                <w:spacing w:val="-60"/>
                <w:sz w:val="21"/>
              </w:rPr>
              <w:t xml:space="preserve"> </w:t>
            </w:r>
            <w:r>
              <w:rPr>
                <w:i/>
                <w:spacing w:val="-8"/>
                <w:sz w:val="21"/>
              </w:rPr>
              <w:t>多亩</w:t>
            </w:r>
            <w:r>
              <w:rPr>
                <w:spacing w:val="-8"/>
                <w:sz w:val="21"/>
              </w:rPr>
              <w:t>/7</w:t>
            </w:r>
            <w:r>
              <w:rPr>
                <w:spacing w:val="-60"/>
                <w:sz w:val="21"/>
              </w:rPr>
              <w:t xml:space="preserve"> </w:t>
            </w:r>
            <w:r>
              <w:rPr>
                <w:i/>
                <w:spacing w:val="-38"/>
                <w:sz w:val="21"/>
              </w:rPr>
              <w:t xml:space="preserve">万 </w:t>
            </w:r>
            <w:r>
              <w:rPr>
                <w:spacing w:val="-8"/>
                <w:sz w:val="21"/>
              </w:rPr>
              <w:t>m</w:t>
            </w:r>
            <w:r>
              <w:rPr>
                <w:spacing w:val="-8"/>
                <w:sz w:val="21"/>
                <w:vertAlign w:val="superscript"/>
              </w:rPr>
              <w:t>2</w:t>
            </w:r>
          </w:p>
        </w:tc>
        <w:tc>
          <w:tcPr>
            <w:tcW w:w="964" w:type="dxa"/>
          </w:tcPr>
          <w:p>
            <w:pPr>
              <w:pStyle w:val="TableParagraph"/>
              <w:spacing w:before="168"/>
              <w:ind w:left="108"/>
              <w:rPr>
                <w:i/>
                <w:sz w:val="21"/>
              </w:rPr>
            </w:pPr>
            <w:r>
              <w:rPr>
                <w:spacing w:val="-6"/>
                <w:sz w:val="21"/>
              </w:rPr>
              <w:t>400</w:t>
            </w:r>
            <w:r>
              <w:rPr>
                <w:spacing w:val="-61"/>
                <w:sz w:val="21"/>
              </w:rPr>
              <w:t xml:space="preserve"> </w:t>
            </w:r>
            <w:r>
              <w:rPr>
                <w:i/>
                <w:spacing w:val="-10"/>
                <w:sz w:val="21"/>
              </w:rPr>
              <w:t>户</w:t>
            </w:r>
          </w:p>
        </w:tc>
      </w:tr>
      <w:tr>
        <w:tblPrEx>
          <w:tblW w:w="0" w:type="auto"/>
          <w:jc w:val="left"/>
          <w:tblInd w:w="117" w:type="dxa"/>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18"/>
                <w:sz w:val="21"/>
              </w:rPr>
              <w:t>枫林溪谷</w:t>
            </w:r>
          </w:p>
        </w:tc>
        <w:tc>
          <w:tcPr>
            <w:tcW w:w="1807" w:type="dxa"/>
          </w:tcPr>
          <w:p>
            <w:pPr>
              <w:pStyle w:val="TableParagraph"/>
              <w:spacing w:before="168"/>
              <w:ind w:left="108"/>
              <w:rPr>
                <w:i/>
                <w:sz w:val="21"/>
              </w:rPr>
            </w:pPr>
            <w:r>
              <w:rPr>
                <w:i/>
                <w:spacing w:val="-14"/>
                <w:sz w:val="21"/>
              </w:rPr>
              <w:t>别墅</w:t>
            </w:r>
          </w:p>
        </w:tc>
        <w:tc>
          <w:tcPr>
            <w:tcW w:w="1279" w:type="dxa"/>
          </w:tcPr>
          <w:p>
            <w:pPr>
              <w:pStyle w:val="TableParagraph"/>
              <w:spacing w:before="168"/>
              <w:ind w:left="108"/>
              <w:rPr>
                <w:i/>
                <w:sz w:val="21"/>
              </w:rPr>
            </w:pPr>
            <w:r>
              <w:rPr>
                <w:spacing w:val="-10"/>
                <w:sz w:val="21"/>
              </w:rPr>
              <w:t>240-330</w:t>
            </w:r>
            <w:r>
              <w:rPr>
                <w:i/>
                <w:spacing w:val="-10"/>
                <w:sz w:val="21"/>
              </w:rPr>
              <w:t>㎡</w:t>
            </w:r>
          </w:p>
        </w:tc>
        <w:tc>
          <w:tcPr>
            <w:tcW w:w="1234" w:type="dxa"/>
          </w:tcPr>
          <w:p>
            <w:pPr>
              <w:pStyle w:val="TableParagraph"/>
              <w:spacing w:before="168"/>
              <w:ind w:left="108"/>
              <w:rPr>
                <w:i/>
                <w:sz w:val="21"/>
              </w:rPr>
            </w:pPr>
            <w:r>
              <w:rPr>
                <w:i/>
                <w:sz w:val="21"/>
              </w:rPr>
              <w:t>无</w:t>
            </w:r>
          </w:p>
        </w:tc>
        <w:tc>
          <w:tcPr>
            <w:tcW w:w="1222" w:type="dxa"/>
          </w:tcPr>
          <w:p>
            <w:pPr>
              <w:pStyle w:val="TableParagraph"/>
              <w:spacing w:before="168"/>
              <w:ind w:left="108"/>
              <w:rPr>
                <w:i/>
                <w:sz w:val="21"/>
              </w:rPr>
            </w:pPr>
            <w:r>
              <w:rPr>
                <w:spacing w:val="-10"/>
                <w:sz w:val="21"/>
              </w:rPr>
              <w:t>60-160</w:t>
            </w:r>
            <w:r>
              <w:rPr>
                <w:i/>
                <w:spacing w:val="-12"/>
                <w:sz w:val="21"/>
              </w:rPr>
              <w:t>㎡</w:t>
            </w:r>
          </w:p>
        </w:tc>
        <w:tc>
          <w:tcPr>
            <w:tcW w:w="1845" w:type="dxa"/>
          </w:tcPr>
          <w:p>
            <w:pPr>
              <w:pStyle w:val="TableParagraph"/>
              <w:spacing w:before="168"/>
              <w:ind w:left="108"/>
              <w:rPr>
                <w:sz w:val="21"/>
              </w:rPr>
            </w:pPr>
            <w:r>
              <w:rPr>
                <w:spacing w:val="-3"/>
                <w:sz w:val="21"/>
              </w:rPr>
              <w:t>5.5</w:t>
            </w:r>
            <w:r>
              <w:rPr>
                <w:spacing w:val="-59"/>
                <w:sz w:val="21"/>
              </w:rPr>
              <w:t xml:space="preserve"> </w:t>
            </w:r>
            <w:r>
              <w:rPr>
                <w:i/>
                <w:spacing w:val="-3"/>
                <w:sz w:val="21"/>
              </w:rPr>
              <w:t>万</w:t>
            </w:r>
            <w:r>
              <w:rPr>
                <w:spacing w:val="-8"/>
                <w:sz w:val="21"/>
              </w:rPr>
              <w:t xml:space="preserve">/ </w:t>
            </w:r>
            <w:r>
              <w:rPr>
                <w:spacing w:val="-3"/>
                <w:sz w:val="21"/>
              </w:rPr>
              <w:t>5.8</w:t>
            </w:r>
            <w:r>
              <w:rPr>
                <w:spacing w:val="-58"/>
                <w:sz w:val="21"/>
              </w:rPr>
              <w:t xml:space="preserve"> </w:t>
            </w:r>
            <w:r>
              <w:rPr>
                <w:i/>
                <w:spacing w:val="-3"/>
                <w:sz w:val="21"/>
              </w:rPr>
              <w:t>万</w:t>
            </w:r>
            <w:r>
              <w:rPr>
                <w:spacing w:val="-5"/>
                <w:sz w:val="21"/>
              </w:rPr>
              <w:t>m</w:t>
            </w:r>
            <w:r>
              <w:rPr>
                <w:spacing w:val="-5"/>
                <w:sz w:val="21"/>
                <w:vertAlign w:val="superscript"/>
              </w:rPr>
              <w:t>2</w:t>
            </w:r>
          </w:p>
        </w:tc>
        <w:tc>
          <w:tcPr>
            <w:tcW w:w="964" w:type="dxa"/>
          </w:tcPr>
          <w:p>
            <w:pPr>
              <w:pStyle w:val="TableParagraph"/>
              <w:spacing w:before="168"/>
              <w:ind w:left="108"/>
              <w:rPr>
                <w:i/>
                <w:sz w:val="21"/>
              </w:rPr>
            </w:pPr>
            <w:r>
              <w:rPr>
                <w:spacing w:val="-6"/>
                <w:sz w:val="21"/>
              </w:rPr>
              <w:t>150</w:t>
            </w:r>
            <w:r>
              <w:rPr>
                <w:spacing w:val="-61"/>
                <w:sz w:val="21"/>
              </w:rPr>
              <w:t xml:space="preserve"> </w:t>
            </w:r>
            <w:r>
              <w:rPr>
                <w:i/>
                <w:spacing w:val="-10"/>
                <w:sz w:val="21"/>
              </w:rPr>
              <w:t>户</w:t>
            </w:r>
          </w:p>
        </w:tc>
      </w:tr>
      <w:tr>
        <w:tblPrEx>
          <w:tblW w:w="0" w:type="auto"/>
          <w:jc w:val="left"/>
          <w:tblInd w:w="117" w:type="dxa"/>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18"/>
                <w:sz w:val="21"/>
              </w:rPr>
              <w:t>丽水湖畔</w:t>
            </w:r>
          </w:p>
        </w:tc>
        <w:tc>
          <w:tcPr>
            <w:tcW w:w="1807" w:type="dxa"/>
          </w:tcPr>
          <w:p>
            <w:pPr>
              <w:pStyle w:val="TableParagraph"/>
              <w:spacing w:before="168"/>
              <w:ind w:left="108"/>
              <w:rPr>
                <w:i/>
                <w:sz w:val="21"/>
              </w:rPr>
            </w:pPr>
            <w:r>
              <w:rPr>
                <w:i/>
                <w:spacing w:val="-14"/>
                <w:sz w:val="21"/>
              </w:rPr>
              <w:t>别墅</w:t>
            </w:r>
          </w:p>
        </w:tc>
        <w:tc>
          <w:tcPr>
            <w:tcW w:w="1279" w:type="dxa"/>
          </w:tcPr>
          <w:p>
            <w:pPr>
              <w:pStyle w:val="TableParagraph"/>
              <w:spacing w:before="168"/>
              <w:ind w:left="108"/>
              <w:rPr>
                <w:i/>
                <w:sz w:val="21"/>
              </w:rPr>
            </w:pPr>
            <w:r>
              <w:rPr>
                <w:spacing w:val="-14"/>
                <w:sz w:val="21"/>
              </w:rPr>
              <w:t>260-450</w:t>
            </w:r>
            <w:r>
              <w:rPr>
                <w:i/>
                <w:spacing w:val="-14"/>
                <w:sz w:val="21"/>
              </w:rPr>
              <w:t>㎡</w:t>
            </w:r>
          </w:p>
        </w:tc>
        <w:tc>
          <w:tcPr>
            <w:tcW w:w="1234" w:type="dxa"/>
          </w:tcPr>
          <w:p>
            <w:pPr>
              <w:pStyle w:val="TableParagraph"/>
              <w:spacing w:before="168"/>
              <w:ind w:left="108"/>
              <w:rPr>
                <w:i/>
                <w:sz w:val="21"/>
              </w:rPr>
            </w:pPr>
            <w:r>
              <w:rPr>
                <w:i/>
                <w:sz w:val="21"/>
              </w:rPr>
              <w:t>无</w:t>
            </w:r>
          </w:p>
        </w:tc>
        <w:tc>
          <w:tcPr>
            <w:tcW w:w="1222" w:type="dxa"/>
          </w:tcPr>
          <w:p>
            <w:pPr>
              <w:pStyle w:val="TableParagraph"/>
              <w:spacing w:before="168"/>
              <w:ind w:left="108"/>
              <w:rPr>
                <w:i/>
                <w:sz w:val="21"/>
              </w:rPr>
            </w:pPr>
            <w:r>
              <w:rPr>
                <w:spacing w:val="-10"/>
                <w:sz w:val="21"/>
              </w:rPr>
              <w:t>40-220</w:t>
            </w:r>
            <w:r>
              <w:rPr>
                <w:i/>
                <w:spacing w:val="-12"/>
                <w:sz w:val="21"/>
              </w:rPr>
              <w:t>㎡</w:t>
            </w:r>
          </w:p>
        </w:tc>
        <w:tc>
          <w:tcPr>
            <w:tcW w:w="1845" w:type="dxa"/>
          </w:tcPr>
          <w:p>
            <w:pPr>
              <w:pStyle w:val="TableParagraph"/>
              <w:spacing w:before="168"/>
              <w:ind w:left="108"/>
              <w:rPr>
                <w:sz w:val="21"/>
              </w:rPr>
            </w:pPr>
            <w:r>
              <w:rPr>
                <w:spacing w:val="-8"/>
                <w:sz w:val="21"/>
              </w:rPr>
              <w:t>200</w:t>
            </w:r>
            <w:r>
              <w:rPr>
                <w:spacing w:val="-58"/>
                <w:sz w:val="21"/>
              </w:rPr>
              <w:t xml:space="preserve"> </w:t>
            </w:r>
            <w:r>
              <w:rPr>
                <w:i/>
                <w:spacing w:val="-8"/>
                <w:sz w:val="21"/>
              </w:rPr>
              <w:t>亩</w:t>
            </w:r>
            <w:r>
              <w:rPr>
                <w:spacing w:val="-8"/>
                <w:sz w:val="21"/>
              </w:rPr>
              <w:t>/15</w:t>
            </w:r>
            <w:r>
              <w:rPr>
                <w:spacing w:val="-57"/>
                <w:sz w:val="21"/>
              </w:rPr>
              <w:t xml:space="preserve"> </w:t>
            </w:r>
            <w:r>
              <w:rPr>
                <w:i/>
                <w:spacing w:val="-37"/>
                <w:sz w:val="21"/>
              </w:rPr>
              <w:t xml:space="preserve">万 </w:t>
            </w:r>
            <w:r>
              <w:rPr>
                <w:spacing w:val="-8"/>
                <w:sz w:val="21"/>
              </w:rPr>
              <w:t>m</w:t>
            </w:r>
            <w:r>
              <w:rPr>
                <w:spacing w:val="-8"/>
                <w:sz w:val="21"/>
                <w:vertAlign w:val="superscript"/>
              </w:rPr>
              <w:t>2</w:t>
            </w:r>
          </w:p>
        </w:tc>
        <w:tc>
          <w:tcPr>
            <w:tcW w:w="964" w:type="dxa"/>
          </w:tcPr>
          <w:p>
            <w:pPr>
              <w:pStyle w:val="TableParagraph"/>
              <w:spacing w:before="168"/>
              <w:ind w:left="108"/>
              <w:rPr>
                <w:i/>
                <w:sz w:val="21"/>
              </w:rPr>
            </w:pPr>
            <w:r>
              <w:rPr>
                <w:spacing w:val="-6"/>
                <w:sz w:val="21"/>
              </w:rPr>
              <w:t>500</w:t>
            </w:r>
            <w:r>
              <w:rPr>
                <w:spacing w:val="-61"/>
                <w:sz w:val="21"/>
              </w:rPr>
              <w:t xml:space="preserve"> </w:t>
            </w:r>
            <w:r>
              <w:rPr>
                <w:i/>
                <w:spacing w:val="-10"/>
                <w:sz w:val="21"/>
              </w:rPr>
              <w:t>户</w:t>
            </w:r>
          </w:p>
        </w:tc>
      </w:tr>
      <w:tr>
        <w:tblPrEx>
          <w:tblW w:w="0" w:type="auto"/>
          <w:jc w:val="left"/>
          <w:tblInd w:w="117" w:type="dxa"/>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8"/>
                <w:sz w:val="21"/>
              </w:rPr>
              <w:t>水岸</w:t>
            </w:r>
            <w:r>
              <w:rPr>
                <w:sz w:val="21"/>
              </w:rPr>
              <w:t>2</w:t>
            </w:r>
            <w:r>
              <w:rPr>
                <w:spacing w:val="-60"/>
                <w:sz w:val="21"/>
              </w:rPr>
              <w:t xml:space="preserve"> </w:t>
            </w:r>
            <w:r>
              <w:rPr>
                <w:i/>
                <w:spacing w:val="-12"/>
                <w:sz w:val="21"/>
              </w:rPr>
              <w:t>期</w:t>
            </w:r>
          </w:p>
        </w:tc>
        <w:tc>
          <w:tcPr>
            <w:tcW w:w="1807" w:type="dxa"/>
          </w:tcPr>
          <w:p>
            <w:pPr>
              <w:pStyle w:val="TableParagraph"/>
              <w:spacing w:before="168"/>
              <w:ind w:left="108"/>
              <w:rPr>
                <w:i/>
                <w:sz w:val="21"/>
              </w:rPr>
            </w:pPr>
            <w:r>
              <w:rPr>
                <w:i/>
                <w:spacing w:val="-16"/>
                <w:sz w:val="21"/>
              </w:rPr>
              <w:t>多层套房</w:t>
            </w:r>
            <w:r>
              <w:rPr>
                <w:spacing w:val="-16"/>
                <w:sz w:val="21"/>
              </w:rPr>
              <w:t>/</w:t>
            </w:r>
            <w:r>
              <w:rPr>
                <w:i/>
                <w:spacing w:val="-16"/>
                <w:sz w:val="21"/>
              </w:rPr>
              <w:t>别墅</w:t>
            </w:r>
          </w:p>
        </w:tc>
        <w:tc>
          <w:tcPr>
            <w:tcW w:w="1279" w:type="dxa"/>
          </w:tcPr>
          <w:p>
            <w:pPr>
              <w:pStyle w:val="TableParagraph"/>
              <w:spacing w:before="168"/>
              <w:ind w:left="108"/>
              <w:rPr>
                <w:i/>
                <w:sz w:val="21"/>
              </w:rPr>
            </w:pPr>
            <w:r>
              <w:rPr>
                <w:spacing w:val="-10"/>
                <w:sz w:val="21"/>
              </w:rPr>
              <w:t>220-310</w:t>
            </w:r>
            <w:r>
              <w:rPr>
                <w:i/>
                <w:spacing w:val="-10"/>
                <w:sz w:val="21"/>
              </w:rPr>
              <w:t>㎡</w:t>
            </w:r>
          </w:p>
        </w:tc>
        <w:tc>
          <w:tcPr>
            <w:tcW w:w="1234" w:type="dxa"/>
          </w:tcPr>
          <w:p>
            <w:pPr>
              <w:pStyle w:val="TableParagraph"/>
              <w:spacing w:before="168"/>
              <w:ind w:left="108"/>
              <w:rPr>
                <w:i/>
                <w:sz w:val="21"/>
              </w:rPr>
            </w:pPr>
            <w:r>
              <w:rPr>
                <w:spacing w:val="-10"/>
                <w:sz w:val="21"/>
              </w:rPr>
              <w:t>80-200</w:t>
            </w:r>
            <w:r>
              <w:rPr>
                <w:i/>
                <w:spacing w:val="-12"/>
                <w:sz w:val="21"/>
              </w:rPr>
              <w:t>㎡</w:t>
            </w:r>
          </w:p>
        </w:tc>
        <w:tc>
          <w:tcPr>
            <w:tcW w:w="1222" w:type="dxa"/>
          </w:tcPr>
          <w:p>
            <w:pPr>
              <w:pStyle w:val="TableParagraph"/>
              <w:spacing w:before="168"/>
              <w:ind w:left="108"/>
              <w:rPr>
                <w:i/>
                <w:sz w:val="21"/>
              </w:rPr>
            </w:pPr>
            <w:r>
              <w:rPr>
                <w:spacing w:val="-10"/>
                <w:sz w:val="21"/>
              </w:rPr>
              <w:t>40-200</w:t>
            </w:r>
            <w:r>
              <w:rPr>
                <w:i/>
                <w:spacing w:val="-12"/>
                <w:sz w:val="21"/>
              </w:rPr>
              <w:t>㎡</w:t>
            </w:r>
          </w:p>
        </w:tc>
        <w:tc>
          <w:tcPr>
            <w:tcW w:w="1845" w:type="dxa"/>
          </w:tcPr>
          <w:p>
            <w:pPr>
              <w:pStyle w:val="TableParagraph"/>
              <w:spacing w:before="168"/>
              <w:ind w:left="108"/>
              <w:rPr>
                <w:sz w:val="21"/>
              </w:rPr>
            </w:pPr>
            <w:r>
              <w:rPr>
                <w:spacing w:val="-8"/>
                <w:sz w:val="21"/>
              </w:rPr>
              <w:t>270</w:t>
            </w:r>
            <w:r>
              <w:rPr>
                <w:spacing w:val="-58"/>
                <w:sz w:val="21"/>
              </w:rPr>
              <w:t xml:space="preserve"> </w:t>
            </w:r>
            <w:r>
              <w:rPr>
                <w:i/>
                <w:spacing w:val="-8"/>
                <w:sz w:val="21"/>
              </w:rPr>
              <w:t>亩</w:t>
            </w:r>
            <w:r>
              <w:rPr>
                <w:spacing w:val="-8"/>
                <w:sz w:val="21"/>
              </w:rPr>
              <w:t>/20</w:t>
            </w:r>
            <w:r>
              <w:rPr>
                <w:spacing w:val="-57"/>
                <w:sz w:val="21"/>
              </w:rPr>
              <w:t xml:space="preserve"> </w:t>
            </w:r>
            <w:r>
              <w:rPr>
                <w:i/>
                <w:spacing w:val="-37"/>
                <w:sz w:val="21"/>
              </w:rPr>
              <w:t xml:space="preserve">万 </w:t>
            </w:r>
            <w:r>
              <w:rPr>
                <w:spacing w:val="-8"/>
                <w:sz w:val="21"/>
              </w:rPr>
              <w:t>m</w:t>
            </w:r>
            <w:r>
              <w:rPr>
                <w:spacing w:val="-8"/>
                <w:sz w:val="21"/>
                <w:vertAlign w:val="superscript"/>
              </w:rPr>
              <w:t>2</w:t>
            </w:r>
          </w:p>
        </w:tc>
        <w:tc>
          <w:tcPr>
            <w:tcW w:w="964" w:type="dxa"/>
          </w:tcPr>
          <w:p>
            <w:pPr>
              <w:pStyle w:val="TableParagraph"/>
              <w:spacing w:before="168"/>
              <w:ind w:left="108"/>
              <w:rPr>
                <w:i/>
                <w:sz w:val="21"/>
              </w:rPr>
            </w:pPr>
            <w:r>
              <w:rPr>
                <w:spacing w:val="-8"/>
                <w:sz w:val="21"/>
              </w:rPr>
              <w:t>1000</w:t>
            </w:r>
            <w:r>
              <w:rPr>
                <w:spacing w:val="-56"/>
                <w:sz w:val="21"/>
              </w:rPr>
              <w:t xml:space="preserve"> </w:t>
            </w:r>
            <w:r>
              <w:rPr>
                <w:i/>
                <w:spacing w:val="-12"/>
                <w:sz w:val="21"/>
              </w:rPr>
              <w:t>户</w:t>
            </w:r>
          </w:p>
        </w:tc>
      </w:tr>
      <w:tr>
        <w:tblPrEx>
          <w:tblW w:w="0" w:type="auto"/>
          <w:jc w:val="left"/>
          <w:tblInd w:w="117" w:type="dxa"/>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18"/>
                <w:sz w:val="21"/>
              </w:rPr>
              <w:t>锦苑明都</w:t>
            </w:r>
          </w:p>
        </w:tc>
        <w:tc>
          <w:tcPr>
            <w:tcW w:w="1807" w:type="dxa"/>
          </w:tcPr>
          <w:p>
            <w:pPr>
              <w:pStyle w:val="TableParagraph"/>
              <w:spacing w:before="168"/>
              <w:ind w:left="108"/>
              <w:rPr>
                <w:i/>
                <w:sz w:val="21"/>
              </w:rPr>
            </w:pPr>
            <w:r>
              <w:rPr>
                <w:i/>
                <w:spacing w:val="-18"/>
                <w:sz w:val="21"/>
              </w:rPr>
              <w:t>高层套房</w:t>
            </w:r>
          </w:p>
        </w:tc>
        <w:tc>
          <w:tcPr>
            <w:tcW w:w="1279" w:type="dxa"/>
          </w:tcPr>
          <w:p>
            <w:pPr>
              <w:pStyle w:val="TableParagraph"/>
              <w:spacing w:before="168"/>
              <w:ind w:left="108"/>
              <w:rPr>
                <w:i/>
                <w:sz w:val="21"/>
              </w:rPr>
            </w:pPr>
            <w:r>
              <w:rPr>
                <w:i/>
                <w:sz w:val="21"/>
              </w:rPr>
              <w:t>无</w:t>
            </w:r>
          </w:p>
        </w:tc>
        <w:tc>
          <w:tcPr>
            <w:tcW w:w="1234" w:type="dxa"/>
          </w:tcPr>
          <w:p>
            <w:pPr>
              <w:pStyle w:val="TableParagraph"/>
              <w:spacing w:before="168"/>
              <w:ind w:left="108"/>
              <w:rPr>
                <w:i/>
                <w:sz w:val="21"/>
              </w:rPr>
            </w:pPr>
            <w:r>
              <w:rPr>
                <w:spacing w:val="-10"/>
                <w:sz w:val="21"/>
              </w:rPr>
              <w:t>96-290</w:t>
            </w:r>
            <w:r>
              <w:rPr>
                <w:i/>
                <w:spacing w:val="-12"/>
                <w:sz w:val="21"/>
              </w:rPr>
              <w:t>㎡</w:t>
            </w:r>
          </w:p>
        </w:tc>
        <w:tc>
          <w:tcPr>
            <w:tcW w:w="1222" w:type="dxa"/>
          </w:tcPr>
          <w:p>
            <w:pPr>
              <w:pStyle w:val="TableParagraph"/>
              <w:spacing w:before="168"/>
              <w:ind w:left="108"/>
              <w:rPr>
                <w:i/>
                <w:sz w:val="21"/>
              </w:rPr>
            </w:pPr>
            <w:r>
              <w:rPr>
                <w:spacing w:val="-10"/>
                <w:sz w:val="21"/>
              </w:rPr>
              <w:t>40-300</w:t>
            </w:r>
            <w:r>
              <w:rPr>
                <w:i/>
                <w:spacing w:val="-12"/>
                <w:sz w:val="21"/>
              </w:rPr>
              <w:t>㎡</w:t>
            </w:r>
          </w:p>
        </w:tc>
        <w:tc>
          <w:tcPr>
            <w:tcW w:w="1845" w:type="dxa"/>
          </w:tcPr>
          <w:p>
            <w:pPr>
              <w:pStyle w:val="TableParagraph"/>
              <w:spacing w:before="168"/>
              <w:ind w:left="108"/>
              <w:rPr>
                <w:i/>
                <w:sz w:val="21"/>
              </w:rPr>
            </w:pPr>
            <w:r>
              <w:rPr>
                <w:spacing w:val="-10"/>
                <w:sz w:val="21"/>
              </w:rPr>
              <w:t>4400</w:t>
            </w:r>
            <w:r>
              <w:rPr>
                <w:i/>
                <w:spacing w:val="-10"/>
                <w:sz w:val="21"/>
              </w:rPr>
              <w:t>㎡</w:t>
            </w:r>
            <w:r>
              <w:rPr>
                <w:spacing w:val="-10"/>
                <w:sz w:val="21"/>
              </w:rPr>
              <w:t>/3.2</w:t>
            </w:r>
            <w:r>
              <w:rPr>
                <w:spacing w:val="-58"/>
                <w:sz w:val="21"/>
              </w:rPr>
              <w:t xml:space="preserve"> </w:t>
            </w:r>
            <w:r>
              <w:rPr>
                <w:i/>
                <w:spacing w:val="-10"/>
                <w:sz w:val="21"/>
              </w:rPr>
              <w:t>万㎡</w:t>
            </w:r>
          </w:p>
        </w:tc>
        <w:tc>
          <w:tcPr>
            <w:tcW w:w="964" w:type="dxa"/>
          </w:tcPr>
          <w:p>
            <w:pPr>
              <w:pStyle w:val="TableParagraph"/>
              <w:spacing w:before="168"/>
              <w:ind w:left="108"/>
              <w:rPr>
                <w:i/>
                <w:sz w:val="21"/>
              </w:rPr>
            </w:pPr>
            <w:r>
              <w:rPr>
                <w:spacing w:val="-6"/>
                <w:sz w:val="21"/>
              </w:rPr>
              <w:t>130</w:t>
            </w:r>
            <w:r>
              <w:rPr>
                <w:spacing w:val="-61"/>
                <w:sz w:val="21"/>
              </w:rPr>
              <w:t xml:space="preserve"> </w:t>
            </w:r>
            <w:r>
              <w:rPr>
                <w:i/>
                <w:spacing w:val="-10"/>
                <w:sz w:val="21"/>
              </w:rPr>
              <w:t>户</w:t>
            </w:r>
          </w:p>
        </w:tc>
      </w:tr>
      <w:tr>
        <w:tblPrEx>
          <w:tblW w:w="0" w:type="auto"/>
          <w:jc w:val="left"/>
          <w:tblInd w:w="117" w:type="dxa"/>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18"/>
                <w:sz w:val="21"/>
              </w:rPr>
              <w:t>华龙苑</w:t>
            </w:r>
          </w:p>
        </w:tc>
        <w:tc>
          <w:tcPr>
            <w:tcW w:w="1807" w:type="dxa"/>
          </w:tcPr>
          <w:p>
            <w:pPr>
              <w:pStyle w:val="TableParagraph"/>
              <w:spacing w:before="168"/>
              <w:ind w:left="108"/>
              <w:rPr>
                <w:i/>
                <w:sz w:val="21"/>
              </w:rPr>
            </w:pPr>
            <w:r>
              <w:rPr>
                <w:i/>
                <w:spacing w:val="-18"/>
                <w:sz w:val="21"/>
              </w:rPr>
              <w:t>多层套房</w:t>
            </w:r>
          </w:p>
        </w:tc>
        <w:tc>
          <w:tcPr>
            <w:tcW w:w="1279" w:type="dxa"/>
          </w:tcPr>
          <w:p>
            <w:pPr>
              <w:pStyle w:val="TableParagraph"/>
              <w:spacing w:before="168"/>
              <w:ind w:left="108"/>
              <w:rPr>
                <w:i/>
                <w:sz w:val="21"/>
              </w:rPr>
            </w:pPr>
            <w:r>
              <w:rPr>
                <w:i/>
                <w:sz w:val="21"/>
              </w:rPr>
              <w:t>无</w:t>
            </w:r>
          </w:p>
        </w:tc>
        <w:tc>
          <w:tcPr>
            <w:tcW w:w="1234" w:type="dxa"/>
          </w:tcPr>
          <w:p>
            <w:pPr>
              <w:pStyle w:val="TableParagraph"/>
              <w:spacing w:before="168"/>
              <w:ind w:left="108"/>
              <w:rPr>
                <w:i/>
                <w:sz w:val="21"/>
              </w:rPr>
            </w:pPr>
            <w:r>
              <w:rPr>
                <w:spacing w:val="-10"/>
                <w:sz w:val="21"/>
              </w:rPr>
              <w:t>90-160</w:t>
            </w:r>
            <w:r>
              <w:rPr>
                <w:i/>
                <w:spacing w:val="-12"/>
                <w:sz w:val="21"/>
              </w:rPr>
              <w:t>㎡</w:t>
            </w:r>
          </w:p>
        </w:tc>
        <w:tc>
          <w:tcPr>
            <w:tcW w:w="1222" w:type="dxa"/>
          </w:tcPr>
          <w:p>
            <w:pPr>
              <w:pStyle w:val="TableParagraph"/>
              <w:spacing w:before="168"/>
              <w:ind w:left="108"/>
              <w:rPr>
                <w:i/>
                <w:sz w:val="21"/>
              </w:rPr>
            </w:pPr>
            <w:r>
              <w:rPr>
                <w:spacing w:val="-10"/>
                <w:sz w:val="21"/>
              </w:rPr>
              <w:t>60-120</w:t>
            </w:r>
            <w:r>
              <w:rPr>
                <w:i/>
                <w:spacing w:val="-12"/>
                <w:sz w:val="21"/>
              </w:rPr>
              <w:t>㎡</w:t>
            </w:r>
          </w:p>
        </w:tc>
        <w:tc>
          <w:tcPr>
            <w:tcW w:w="1845" w:type="dxa"/>
          </w:tcPr>
          <w:p>
            <w:pPr>
              <w:pStyle w:val="TableParagraph"/>
              <w:spacing w:before="168"/>
              <w:ind w:left="108"/>
              <w:rPr>
                <w:sz w:val="21"/>
              </w:rPr>
            </w:pPr>
            <w:r>
              <w:rPr>
                <w:i/>
                <w:spacing w:val="-40"/>
                <w:sz w:val="21"/>
              </w:rPr>
              <w:t xml:space="preserve">约 </w:t>
            </w:r>
            <w:r>
              <w:rPr>
                <w:spacing w:val="-8"/>
                <w:sz w:val="21"/>
              </w:rPr>
              <w:t>21</w:t>
            </w:r>
            <w:r>
              <w:rPr>
                <w:spacing w:val="-58"/>
                <w:sz w:val="21"/>
              </w:rPr>
              <w:t xml:space="preserve"> </w:t>
            </w:r>
            <w:r>
              <w:rPr>
                <w:i/>
                <w:spacing w:val="-8"/>
                <w:sz w:val="21"/>
              </w:rPr>
              <w:t>亩</w:t>
            </w:r>
            <w:r>
              <w:rPr>
                <w:spacing w:val="-8"/>
                <w:sz w:val="21"/>
              </w:rPr>
              <w:t>/31000</w:t>
            </w:r>
            <w:r>
              <w:rPr>
                <w:spacing w:val="-12"/>
                <w:sz w:val="21"/>
              </w:rPr>
              <w:t xml:space="preserve"> </w:t>
            </w:r>
            <w:r>
              <w:rPr>
                <w:spacing w:val="-8"/>
                <w:sz w:val="21"/>
              </w:rPr>
              <w:t>m</w:t>
            </w:r>
            <w:r>
              <w:rPr>
                <w:spacing w:val="-8"/>
                <w:sz w:val="21"/>
                <w:vertAlign w:val="superscript"/>
              </w:rPr>
              <w:t>2</w:t>
            </w:r>
          </w:p>
        </w:tc>
        <w:tc>
          <w:tcPr>
            <w:tcW w:w="964" w:type="dxa"/>
          </w:tcPr>
          <w:p>
            <w:pPr>
              <w:pStyle w:val="TableParagraph"/>
              <w:spacing w:before="168"/>
              <w:ind w:left="108"/>
              <w:rPr>
                <w:i/>
                <w:sz w:val="21"/>
              </w:rPr>
            </w:pPr>
            <w:r>
              <w:rPr>
                <w:spacing w:val="-6"/>
                <w:sz w:val="21"/>
              </w:rPr>
              <w:t>200</w:t>
            </w:r>
            <w:r>
              <w:rPr>
                <w:spacing w:val="-61"/>
                <w:sz w:val="21"/>
              </w:rPr>
              <w:t xml:space="preserve"> </w:t>
            </w:r>
            <w:r>
              <w:rPr>
                <w:i/>
                <w:spacing w:val="-10"/>
                <w:sz w:val="21"/>
              </w:rPr>
              <w:t>户</w:t>
            </w:r>
          </w:p>
        </w:tc>
      </w:tr>
      <w:tr>
        <w:tblPrEx>
          <w:tblW w:w="0" w:type="auto"/>
          <w:jc w:val="left"/>
          <w:tblInd w:w="117" w:type="dxa"/>
          <w:tblLayout w:type="fixed"/>
          <w:tblCellMar>
            <w:top w:w="0" w:type="dxa"/>
            <w:left w:w="0" w:type="dxa"/>
            <w:bottom w:w="0" w:type="dxa"/>
            <w:right w:w="0" w:type="dxa"/>
          </w:tblCellMar>
          <w:tblLook w:val="01E0"/>
        </w:tblPrEx>
        <w:trPr>
          <w:trHeight w:val="500"/>
          <w:jc w:val="left"/>
        </w:trPr>
        <w:tc>
          <w:tcPr>
            <w:tcW w:w="1410" w:type="dxa"/>
          </w:tcPr>
          <w:p>
            <w:pPr>
              <w:pStyle w:val="TableParagraph"/>
              <w:spacing w:before="168"/>
              <w:ind w:left="108"/>
              <w:rPr>
                <w:i/>
                <w:sz w:val="21"/>
              </w:rPr>
            </w:pPr>
            <w:r>
              <w:rPr>
                <w:i/>
                <w:spacing w:val="-18"/>
                <w:sz w:val="21"/>
              </w:rPr>
              <w:t>金光傲城</w:t>
            </w:r>
          </w:p>
        </w:tc>
        <w:tc>
          <w:tcPr>
            <w:tcW w:w="1807" w:type="dxa"/>
          </w:tcPr>
          <w:p>
            <w:pPr>
              <w:pStyle w:val="TableParagraph"/>
              <w:spacing w:before="168"/>
              <w:ind w:left="108"/>
              <w:rPr>
                <w:i/>
                <w:sz w:val="21"/>
              </w:rPr>
            </w:pPr>
            <w:r>
              <w:rPr>
                <w:i/>
                <w:spacing w:val="-18"/>
                <w:sz w:val="21"/>
              </w:rPr>
              <w:t>高层套房</w:t>
            </w:r>
          </w:p>
        </w:tc>
        <w:tc>
          <w:tcPr>
            <w:tcW w:w="1279" w:type="dxa"/>
          </w:tcPr>
          <w:p>
            <w:pPr>
              <w:pStyle w:val="TableParagraph"/>
              <w:spacing w:before="168"/>
              <w:ind w:left="108"/>
              <w:rPr>
                <w:i/>
                <w:sz w:val="21"/>
              </w:rPr>
            </w:pPr>
            <w:r>
              <w:rPr>
                <w:i/>
                <w:sz w:val="21"/>
              </w:rPr>
              <w:t>无</w:t>
            </w:r>
          </w:p>
        </w:tc>
        <w:tc>
          <w:tcPr>
            <w:tcW w:w="1234" w:type="dxa"/>
          </w:tcPr>
          <w:p>
            <w:pPr>
              <w:pStyle w:val="TableParagraph"/>
              <w:spacing w:before="168"/>
              <w:ind w:left="108"/>
              <w:rPr>
                <w:i/>
                <w:sz w:val="21"/>
              </w:rPr>
            </w:pPr>
            <w:r>
              <w:rPr>
                <w:spacing w:val="-10"/>
                <w:sz w:val="21"/>
              </w:rPr>
              <w:t>54-170</w:t>
            </w:r>
            <w:r>
              <w:rPr>
                <w:i/>
                <w:spacing w:val="-12"/>
                <w:sz w:val="21"/>
              </w:rPr>
              <w:t>㎡</w:t>
            </w:r>
          </w:p>
        </w:tc>
        <w:tc>
          <w:tcPr>
            <w:tcW w:w="1222" w:type="dxa"/>
          </w:tcPr>
          <w:p>
            <w:pPr>
              <w:pStyle w:val="TableParagraph"/>
              <w:spacing w:before="168"/>
              <w:ind w:left="108"/>
              <w:rPr>
                <w:i/>
                <w:sz w:val="21"/>
              </w:rPr>
            </w:pPr>
            <w:r>
              <w:rPr>
                <w:spacing w:val="-10"/>
                <w:sz w:val="21"/>
              </w:rPr>
              <w:t>20-1000</w:t>
            </w:r>
            <w:r>
              <w:rPr>
                <w:i/>
                <w:spacing w:val="-10"/>
                <w:sz w:val="21"/>
              </w:rPr>
              <w:t>㎡</w:t>
            </w:r>
          </w:p>
        </w:tc>
        <w:tc>
          <w:tcPr>
            <w:tcW w:w="1845" w:type="dxa"/>
          </w:tcPr>
          <w:p>
            <w:pPr>
              <w:pStyle w:val="TableParagraph"/>
              <w:spacing w:before="168"/>
              <w:ind w:left="108"/>
              <w:rPr>
                <w:sz w:val="21"/>
              </w:rPr>
            </w:pPr>
            <w:r>
              <w:rPr>
                <w:spacing w:val="-6"/>
                <w:sz w:val="21"/>
              </w:rPr>
              <w:t>1</w:t>
            </w:r>
            <w:r>
              <w:rPr>
                <w:spacing w:val="-60"/>
                <w:sz w:val="21"/>
              </w:rPr>
              <w:t xml:space="preserve"> </w:t>
            </w:r>
            <w:r>
              <w:rPr>
                <w:i/>
                <w:spacing w:val="-6"/>
                <w:sz w:val="21"/>
              </w:rPr>
              <w:t>万</w:t>
            </w:r>
            <w:r>
              <w:rPr>
                <w:spacing w:val="-6"/>
                <w:sz w:val="21"/>
              </w:rPr>
              <w:t>/8</w:t>
            </w:r>
            <w:r>
              <w:rPr>
                <w:spacing w:val="-60"/>
                <w:sz w:val="21"/>
              </w:rPr>
              <w:t xml:space="preserve"> </w:t>
            </w:r>
            <w:r>
              <w:rPr>
                <w:i/>
                <w:spacing w:val="-37"/>
                <w:sz w:val="21"/>
              </w:rPr>
              <w:t xml:space="preserve">万 </w:t>
            </w:r>
            <w:r>
              <w:rPr>
                <w:spacing w:val="-6"/>
                <w:sz w:val="21"/>
              </w:rPr>
              <w:t>m</w:t>
            </w:r>
            <w:r>
              <w:rPr>
                <w:spacing w:val="-6"/>
                <w:sz w:val="21"/>
                <w:vertAlign w:val="superscript"/>
              </w:rPr>
              <w:t>2</w:t>
            </w:r>
          </w:p>
        </w:tc>
        <w:tc>
          <w:tcPr>
            <w:tcW w:w="964" w:type="dxa"/>
          </w:tcPr>
          <w:p>
            <w:pPr>
              <w:pStyle w:val="TableParagraph"/>
              <w:spacing w:before="168"/>
              <w:ind w:left="108"/>
              <w:rPr>
                <w:i/>
                <w:sz w:val="21"/>
              </w:rPr>
            </w:pPr>
            <w:r>
              <w:rPr>
                <w:spacing w:val="-6"/>
                <w:sz w:val="21"/>
              </w:rPr>
              <w:t>300</w:t>
            </w:r>
            <w:r>
              <w:rPr>
                <w:spacing w:val="-61"/>
                <w:sz w:val="21"/>
              </w:rPr>
              <w:t xml:space="preserve"> </w:t>
            </w:r>
            <w:r>
              <w:rPr>
                <w:i/>
                <w:spacing w:val="-10"/>
                <w:sz w:val="21"/>
              </w:rPr>
              <w:t>户</w:t>
            </w:r>
          </w:p>
        </w:tc>
      </w:tr>
    </w:tbl>
    <w:p>
      <w:pPr>
        <w:pStyle w:val="Heading2"/>
        <w:spacing w:before="58"/>
      </w:pPr>
      <w:bookmarkStart w:id="5" w:name="_TOC_250031"/>
      <w:bookmarkEnd w:id="5"/>
      <w:r>
        <w:rPr>
          <w:spacing w:val="-14"/>
        </w:rPr>
        <w:t>2、竞争对手营销方略分析</w:t>
      </w:r>
    </w:p>
    <w:p>
      <w:pPr>
        <w:pStyle w:val="BodyText"/>
        <w:spacing w:before="138" w:line="391" w:lineRule="auto"/>
        <w:ind w:right="552" w:firstLine="590"/>
        <w:jc w:val="both"/>
      </w:pPr>
      <w:r>
        <w:rPr>
          <w:spacing w:val="-18"/>
        </w:rPr>
        <w:t xml:space="preserve">从今年 </w:t>
      </w:r>
      <w:r>
        <w:rPr>
          <w:i w:val="0"/>
          <w:spacing w:val="-20"/>
        </w:rPr>
        <w:t>5</w:t>
      </w:r>
      <w:r>
        <w:rPr>
          <w:i w:val="0"/>
          <w:spacing w:val="-10"/>
        </w:rPr>
        <w:t xml:space="preserve"> </w:t>
      </w:r>
      <w:r>
        <w:rPr>
          <w:spacing w:val="-20"/>
        </w:rPr>
        <w:t>月份起，各楼盘相继入市，多数采用前期报名认购方式进入市场，由于工程</w:t>
      </w:r>
      <w:r>
        <w:rPr>
          <w:spacing w:val="-16"/>
        </w:rPr>
        <w:t xml:space="preserve">进度限制，不含有强销条件，在广告宣传方面，投入较小，以 </w:t>
      </w:r>
      <w:r>
        <w:rPr>
          <w:i w:val="0"/>
          <w:spacing w:val="-16"/>
        </w:rPr>
        <w:t>DM</w:t>
      </w:r>
      <w:r>
        <w:rPr>
          <w:spacing w:val="-16"/>
        </w:rPr>
        <w:t>、短信、口径宣传等方式</w:t>
      </w:r>
      <w:r>
        <w:rPr>
          <w:spacing w:val="-26"/>
        </w:rPr>
        <w:t xml:space="preserve">来提高认购数量，除七乡农贸市场在 </w:t>
      </w:r>
      <w:r>
        <w:rPr>
          <w:i w:val="0"/>
          <w:spacing w:val="-18"/>
        </w:rPr>
        <w:t>5</w:t>
      </w:r>
      <w:r>
        <w:rPr>
          <w:i w:val="0"/>
          <w:spacing w:val="-30"/>
        </w:rPr>
        <w:t xml:space="preserve"> </w:t>
      </w:r>
      <w:r>
        <w:rPr>
          <w:spacing w:val="-23"/>
        </w:rPr>
        <w:t>月初中档规模开盘以外，其它项目均没有大的广告及</w:t>
      </w:r>
    </w:p>
    <w:p>
      <w:pPr>
        <w:spacing w:after="0" w:line="391" w:lineRule="auto"/>
        <w:jc w:val="both"/>
        <w:sectPr>
          <w:pgSz w:w="11910" w:h="16840"/>
          <w:pgMar w:top="1460" w:right="960" w:bottom="280" w:left="960" w:header="708" w:footer="708"/>
          <w:pgNumType w:start="4"/>
          <w:cols w:space="708"/>
        </w:sectPr>
      </w:pPr>
    </w:p>
    <w:p>
      <w:pPr>
        <w:pStyle w:val="BodyText"/>
        <w:spacing w:before="43" w:line="391" w:lineRule="auto"/>
        <w:ind w:right="498"/>
      </w:pPr>
      <w:r>
        <w:rPr>
          <w:spacing w:val="-20"/>
        </w:rPr>
        <w:t xml:space="preserve">活动策划。认购优惠点集中在 </w:t>
      </w:r>
      <w:r>
        <w:rPr>
          <w:i w:val="0"/>
          <w:spacing w:val="-16"/>
        </w:rPr>
        <w:t>3—6%</w:t>
      </w:r>
      <w:r>
        <w:rPr>
          <w:spacing w:val="-19"/>
        </w:rPr>
        <w:t xml:space="preserve">之间，且一次性抛出项目全部房源。预计 </w:t>
      </w:r>
      <w:r>
        <w:rPr>
          <w:i w:val="0"/>
          <w:spacing w:val="-16"/>
        </w:rPr>
        <w:t>8</w:t>
      </w:r>
      <w:r>
        <w:rPr>
          <w:i w:val="0"/>
          <w:spacing w:val="-55"/>
        </w:rPr>
        <w:t xml:space="preserve"> </w:t>
      </w:r>
      <w:r>
        <w:rPr>
          <w:spacing w:val="-16"/>
        </w:rPr>
        <w:t>月份后来，</w:t>
      </w:r>
      <w:r>
        <w:rPr>
          <w:spacing w:val="-8"/>
        </w:rPr>
        <w:t>各楼盘均会在广告和活动营销上，增加投入量。</w:t>
      </w:r>
    </w:p>
    <w:p>
      <w:pPr>
        <w:pStyle w:val="Heading2"/>
        <w:spacing w:line="360" w:lineRule="exact"/>
      </w:pPr>
      <w:bookmarkStart w:id="6" w:name="_TOC_250030"/>
      <w:bookmarkEnd w:id="6"/>
      <w:r>
        <w:rPr>
          <w:spacing w:val="-14"/>
        </w:rPr>
        <w:t>3、市场竞争态势分析</w:t>
      </w:r>
    </w:p>
    <w:p>
      <w:pPr>
        <w:pStyle w:val="ListParagraph"/>
        <w:numPr>
          <w:ilvl w:val="1"/>
          <w:numId w:val="18"/>
        </w:numPr>
        <w:tabs>
          <w:tab w:val="left" w:pos="1018"/>
        </w:tabs>
        <w:spacing w:before="138" w:after="0" w:line="240" w:lineRule="auto"/>
        <w:ind w:left="1017" w:right="0" w:hanging="447"/>
        <w:jc w:val="left"/>
        <w:rPr>
          <w:color w:val="333333"/>
          <w:sz w:val="24"/>
        </w:rPr>
      </w:pPr>
      <w:r>
        <w:rPr>
          <w:i/>
          <w:color w:val="333333"/>
          <w:spacing w:val="-18"/>
          <w:sz w:val="24"/>
        </w:rPr>
        <w:t>别墅市场的竞争态势</w:t>
      </w:r>
    </w:p>
    <w:p>
      <w:pPr>
        <w:pStyle w:val="BodyText"/>
        <w:spacing w:before="192" w:line="391" w:lineRule="auto"/>
        <w:ind w:right="432"/>
      </w:pPr>
      <w:r>
        <w:rPr>
          <w:spacing w:val="-16"/>
        </w:rPr>
        <w:t xml:space="preserve">别墅的单户面积大致在 </w:t>
      </w:r>
      <w:r>
        <w:rPr>
          <w:i w:val="0"/>
          <w:spacing w:val="-12"/>
        </w:rPr>
        <w:t>230--350</w:t>
      </w:r>
      <w:r>
        <w:rPr>
          <w:spacing w:val="-30"/>
        </w:rPr>
        <w:t xml:space="preserve">㎡之间，以 </w:t>
      </w:r>
      <w:r>
        <w:rPr>
          <w:i w:val="0"/>
          <w:spacing w:val="-12"/>
        </w:rPr>
        <w:t>230-280</w:t>
      </w:r>
      <w:r>
        <w:rPr>
          <w:spacing w:val="-19"/>
        </w:rPr>
        <w:t>㎡的户型居多。别墅单位建筑面积平均</w:t>
      </w:r>
      <w:r>
        <w:rPr>
          <w:spacing w:val="-34"/>
        </w:rPr>
        <w:t xml:space="preserve">价格 </w:t>
      </w:r>
      <w:r>
        <w:rPr>
          <w:i w:val="0"/>
          <w:spacing w:val="-14"/>
        </w:rPr>
        <w:t>2600</w:t>
      </w:r>
      <w:r>
        <w:rPr>
          <w:spacing w:val="-14"/>
        </w:rPr>
        <w:t>－</w:t>
      </w:r>
      <w:r>
        <w:rPr>
          <w:i w:val="0"/>
          <w:spacing w:val="-14"/>
        </w:rPr>
        <w:t>3800</w:t>
      </w:r>
      <w:r>
        <w:rPr>
          <w:i w:val="0"/>
          <w:spacing w:val="-64"/>
        </w:rPr>
        <w:t xml:space="preserve"> </w:t>
      </w:r>
      <w:r>
        <w:rPr>
          <w:spacing w:val="-33"/>
        </w:rPr>
        <w:t xml:space="preserve">元不等，地段、规划、绿化环境较好的住宅社区最高房价约为 </w:t>
      </w:r>
      <w:r>
        <w:rPr>
          <w:i w:val="0"/>
          <w:spacing w:val="-14"/>
        </w:rPr>
        <w:t>4100</w:t>
      </w:r>
      <w:r>
        <w:rPr>
          <w:i w:val="0"/>
          <w:spacing w:val="-64"/>
        </w:rPr>
        <w:t xml:space="preserve"> </w:t>
      </w:r>
      <w:r>
        <w:rPr>
          <w:spacing w:val="-14"/>
        </w:rPr>
        <w:t>元左右，</w:t>
      </w:r>
      <w:r>
        <w:rPr>
          <w:spacing w:val="-19"/>
        </w:rPr>
        <w:t xml:space="preserve">较下六个月增加 </w:t>
      </w:r>
      <w:r>
        <w:rPr>
          <w:i w:val="0"/>
          <w:spacing w:val="-10"/>
        </w:rPr>
        <w:t>10%</w:t>
      </w:r>
      <w:r>
        <w:rPr>
          <w:spacing w:val="-15"/>
        </w:rPr>
        <w:t xml:space="preserve">左右。从销售形势看，期房预售达 </w:t>
      </w:r>
      <w:r>
        <w:rPr>
          <w:i w:val="0"/>
          <w:spacing w:val="-10"/>
        </w:rPr>
        <w:t>80%</w:t>
      </w:r>
      <w:r>
        <w:rPr>
          <w:spacing w:val="-18"/>
        </w:rPr>
        <w:t xml:space="preserve">左右，现房销售在 </w:t>
      </w:r>
      <w:r>
        <w:rPr>
          <w:i w:val="0"/>
          <w:spacing w:val="-10"/>
        </w:rPr>
        <w:t>10%</w:t>
      </w:r>
      <w:r>
        <w:rPr>
          <w:spacing w:val="-10"/>
        </w:rPr>
        <w:t>左右。其</w:t>
      </w:r>
      <w:r>
        <w:rPr>
          <w:spacing w:val="-18"/>
        </w:rPr>
        <w:t>中位置较好、价位适中、面积小的楼盘销售快，每个项目中以双拼别墅房销售最佳；售价略</w:t>
      </w:r>
      <w:r>
        <w:rPr>
          <w:spacing w:val="-11"/>
        </w:rPr>
        <w:t xml:space="preserve">高位置较偏的楼盘销售较差，尾盘达 </w:t>
      </w:r>
      <w:r>
        <w:rPr>
          <w:i w:val="0"/>
          <w:spacing w:val="-6"/>
        </w:rPr>
        <w:t>10%</w:t>
      </w:r>
      <w:r>
        <w:rPr>
          <w:spacing w:val="-6"/>
        </w:rPr>
        <w:t>以上。</w:t>
      </w:r>
    </w:p>
    <w:p>
      <w:pPr>
        <w:pStyle w:val="ListParagraph"/>
        <w:numPr>
          <w:ilvl w:val="1"/>
          <w:numId w:val="18"/>
        </w:numPr>
        <w:tabs>
          <w:tab w:val="left" w:pos="967"/>
        </w:tabs>
        <w:spacing w:before="0" w:after="0" w:line="301" w:lineRule="exact"/>
        <w:ind w:left="966" w:right="0" w:hanging="396"/>
        <w:jc w:val="left"/>
        <w:rPr>
          <w:color w:val="333333"/>
          <w:sz w:val="24"/>
        </w:rPr>
      </w:pPr>
      <w:r>
        <w:rPr>
          <w:i/>
          <w:color w:val="333333"/>
          <w:spacing w:val="-18"/>
          <w:sz w:val="24"/>
        </w:rPr>
        <w:t>别墅市场的发展趋势</w:t>
      </w:r>
    </w:p>
    <w:p>
      <w:pPr>
        <w:pStyle w:val="BodyText"/>
        <w:spacing w:before="193"/>
      </w:pPr>
      <w:r>
        <w:rPr>
          <w:i w:val="0"/>
          <w:spacing w:val="-10"/>
        </w:rPr>
        <w:t>A</w:t>
      </w:r>
      <w:r>
        <w:rPr>
          <w:spacing w:val="-10"/>
        </w:rPr>
        <w:t>、短期内整个别墅市场将处在平稳销售状态。</w:t>
      </w:r>
    </w:p>
    <w:p>
      <w:pPr>
        <w:pStyle w:val="BodyText"/>
        <w:spacing w:before="192" w:line="391" w:lineRule="auto"/>
        <w:ind w:right="560"/>
      </w:pPr>
      <w:r>
        <w:rPr>
          <w:spacing w:val="-8"/>
        </w:rPr>
        <w:t>现在，现有上六个月的房源未消化完，将建成别墅交房的项目居多，但本地人群对别墅</w:t>
      </w:r>
      <w:r>
        <w:rPr>
          <w:spacing w:val="-2"/>
        </w:rPr>
        <w:t>等大房子的热情较高。因此别墅市场将平稳销售。</w:t>
      </w:r>
    </w:p>
    <w:p>
      <w:pPr>
        <w:pStyle w:val="BodyText"/>
        <w:spacing w:line="305" w:lineRule="exact"/>
      </w:pPr>
      <w:r>
        <w:rPr>
          <w:i w:val="0"/>
          <w:spacing w:val="-10"/>
        </w:rPr>
        <w:t>B</w:t>
      </w:r>
      <w:r>
        <w:rPr>
          <w:spacing w:val="-10"/>
        </w:rPr>
        <w:t>、销售价格有所上扬。</w:t>
      </w:r>
    </w:p>
    <w:p>
      <w:pPr>
        <w:pStyle w:val="BodyText"/>
        <w:spacing w:before="193" w:line="391" w:lineRule="auto"/>
        <w:ind w:right="440"/>
      </w:pPr>
      <w:r>
        <w:rPr>
          <w:spacing w:val="-14"/>
        </w:rPr>
        <w:t xml:space="preserve">今年住宅房平米均价大多上涨 </w:t>
      </w:r>
      <w:r>
        <w:rPr>
          <w:i w:val="0"/>
          <w:spacing w:val="-10"/>
        </w:rPr>
        <w:t>200-400</w:t>
      </w:r>
      <w:r>
        <w:rPr>
          <w:i w:val="0"/>
          <w:spacing w:val="-59"/>
        </w:rPr>
        <w:t xml:space="preserve"> </w:t>
      </w:r>
      <w:r>
        <w:rPr>
          <w:spacing w:val="-10"/>
        </w:rPr>
        <w:t>元，上涨因素为：土地价格上涨，材料价格上涨，</w:t>
      </w:r>
      <w:r>
        <w:rPr>
          <w:spacing w:val="-2"/>
        </w:rPr>
        <w:t>建筑质量、建筑档次的提高。</w:t>
      </w:r>
    </w:p>
    <w:p>
      <w:pPr>
        <w:pStyle w:val="BodyText"/>
        <w:spacing w:line="391" w:lineRule="auto"/>
        <w:ind w:right="560"/>
      </w:pPr>
      <w:r>
        <w:rPr>
          <w:i w:val="0"/>
          <w:spacing w:val="-12"/>
        </w:rPr>
        <w:t>C</w:t>
      </w:r>
      <w:r>
        <w:rPr>
          <w:spacing w:val="-12"/>
        </w:rPr>
        <w:t>、双拼别墅缺口较大，呈紧俏状态，为畅销热点。反之，长联排别墅市场供应加大成为</w:t>
      </w:r>
      <w:r>
        <w:rPr>
          <w:spacing w:val="-2"/>
        </w:rPr>
        <w:t>销售弱点。</w:t>
      </w:r>
    </w:p>
    <w:p>
      <w:pPr>
        <w:pStyle w:val="ListParagraph"/>
        <w:numPr>
          <w:ilvl w:val="1"/>
          <w:numId w:val="18"/>
        </w:numPr>
        <w:tabs>
          <w:tab w:val="left" w:pos="980"/>
        </w:tabs>
        <w:spacing w:before="0" w:after="0" w:line="305" w:lineRule="exact"/>
        <w:ind w:left="979" w:right="0" w:hanging="409"/>
        <w:jc w:val="left"/>
        <w:rPr>
          <w:sz w:val="24"/>
        </w:rPr>
      </w:pPr>
      <w:r>
        <w:rPr>
          <w:i/>
          <w:color w:val="333333"/>
          <w:spacing w:val="-18"/>
          <w:sz w:val="24"/>
        </w:rPr>
        <w:t>普通住宅市场的竞争态势及发展趋势</w:t>
      </w:r>
    </w:p>
    <w:p>
      <w:pPr>
        <w:pStyle w:val="BodyText"/>
        <w:spacing w:before="190" w:line="391" w:lineRule="auto"/>
        <w:ind w:right="360"/>
      </w:pPr>
      <w:r>
        <w:rPr>
          <w:spacing w:val="-23"/>
        </w:rPr>
        <w:t>普宅的主力消费群体重要是文山州内中档收入的家庭，以企事业单位和公务员普通职工居多。</w:t>
      </w:r>
      <w:r>
        <w:rPr>
          <w:spacing w:val="-18"/>
        </w:rPr>
        <w:t>多层套房通过几年的开发建设，大部分在文山市工作稳定的家庭基本都已购房，刚性需求最</w:t>
      </w:r>
      <w:r>
        <w:rPr>
          <w:spacing w:val="-18"/>
        </w:rPr>
        <w:t xml:space="preserve">大的是刚参加工作很快和县上有工作调动可能的单位职工。重要需求面积 </w:t>
      </w:r>
      <w:r>
        <w:rPr>
          <w:i w:val="0"/>
          <w:spacing w:val="-12"/>
        </w:rPr>
        <w:t>120-140</w:t>
      </w:r>
      <w:r>
        <w:rPr>
          <w:i w:val="0"/>
          <w:spacing w:val="-43"/>
        </w:rPr>
        <w:t xml:space="preserve"> </w:t>
      </w:r>
      <w:r>
        <w:rPr>
          <w:spacing w:val="-12"/>
        </w:rPr>
        <w:t>的三房户</w:t>
      </w:r>
      <w:r>
        <w:rPr>
          <w:spacing w:val="-24"/>
        </w:rPr>
        <w:t xml:space="preserve">型，价格在 </w:t>
      </w:r>
      <w:r>
        <w:rPr>
          <w:i w:val="0"/>
          <w:spacing w:val="-12"/>
        </w:rPr>
        <w:t>2100—2800</w:t>
      </w:r>
      <w:r>
        <w:rPr>
          <w:i w:val="0"/>
          <w:spacing w:val="-69"/>
        </w:rPr>
        <w:t xml:space="preserve"> </w:t>
      </w:r>
      <w:r>
        <w:rPr>
          <w:spacing w:val="-16"/>
        </w:rPr>
        <w:t xml:space="preserve">之间，地段、内外环境均好的多层最高价约 </w:t>
      </w:r>
      <w:r>
        <w:rPr>
          <w:i w:val="0"/>
          <w:spacing w:val="-12"/>
        </w:rPr>
        <w:t>2800</w:t>
      </w:r>
      <w:r>
        <w:rPr>
          <w:i w:val="0"/>
          <w:spacing w:val="-69"/>
        </w:rPr>
        <w:t xml:space="preserve"> </w:t>
      </w:r>
      <w:r>
        <w:rPr>
          <w:spacing w:val="-12"/>
        </w:rPr>
        <w:t>元，随着小高层电</w:t>
      </w:r>
      <w:r>
        <w:rPr>
          <w:spacing w:val="-12"/>
        </w:rPr>
        <w:t xml:space="preserve"> </w:t>
      </w:r>
      <w:r>
        <w:rPr>
          <w:spacing w:val="-16"/>
        </w:rPr>
        <w:t>梯房的发展和老城区地块限制，小高层套房成为今年市场的主力产品，且多为期房销售，占</w:t>
      </w:r>
      <w:r>
        <w:rPr>
          <w:spacing w:val="-22"/>
        </w:rPr>
        <w:t xml:space="preserve">据普宅市场约 </w:t>
      </w:r>
      <w:r>
        <w:rPr>
          <w:i w:val="0"/>
          <w:spacing w:val="-12"/>
        </w:rPr>
        <w:t>60%</w:t>
      </w:r>
      <w:r>
        <w:rPr>
          <w:spacing w:val="-12"/>
        </w:rPr>
        <w:t>，消费者对电梯房的接受承认度也在逐步提高；多层套房即使是消费者最</w:t>
      </w:r>
      <w:r>
        <w:rPr>
          <w:spacing w:val="-14"/>
        </w:rPr>
        <w:t xml:space="preserve">青睐的住家房，但因各开发商地块规划的限制，产品供应受限，只占据了市场 </w:t>
      </w:r>
      <w:r>
        <w:rPr>
          <w:i w:val="0"/>
          <w:spacing w:val="-12"/>
        </w:rPr>
        <w:t>40%</w:t>
      </w:r>
      <w:r>
        <w:rPr>
          <w:spacing w:val="-12"/>
        </w:rPr>
        <w:t>左右，因</w:t>
      </w:r>
      <w:r>
        <w:rPr>
          <w:spacing w:val="-14"/>
        </w:rPr>
        <w:t xml:space="preserve">此多层套房的市场空间相对较大。据统计，今年下六个月，仅卧龙片区就有大概 </w:t>
      </w:r>
      <w:r>
        <w:rPr>
          <w:i w:val="0"/>
          <w:spacing w:val="-12"/>
        </w:rPr>
        <w:t>3000</w:t>
      </w:r>
      <w:r>
        <w:rPr>
          <w:i w:val="0"/>
          <w:spacing w:val="-53"/>
        </w:rPr>
        <w:t xml:space="preserve"> </w:t>
      </w:r>
      <w:r>
        <w:rPr>
          <w:spacing w:val="-12"/>
        </w:rPr>
        <w:t xml:space="preserve">套普 </w:t>
      </w:r>
      <w:r>
        <w:rPr>
          <w:spacing w:val="-12"/>
        </w:rPr>
        <w:t>通住宅同时入市，且售楼部多集中在七花广场周边，竞争态势严峻。</w:t>
      </w:r>
    </w:p>
    <w:p>
      <w:pPr>
        <w:spacing w:after="0" w:line="391" w:lineRule="auto"/>
        <w:sectPr>
          <w:pgSz w:w="11910" w:h="16840"/>
          <w:pgMar w:top="1460" w:right="960" w:bottom="280" w:left="960" w:header="708" w:footer="708"/>
          <w:pgNumType w:start="5"/>
          <w:cols w:space="708"/>
        </w:sectPr>
      </w:pPr>
    </w:p>
    <w:p>
      <w:pPr>
        <w:pStyle w:val="Heading2"/>
        <w:spacing w:line="405" w:lineRule="exact"/>
      </w:pPr>
      <w:bookmarkStart w:id="7" w:name="_TOC_250029"/>
      <w:r>
        <w:rPr>
          <w:spacing w:val="-16"/>
        </w:rPr>
        <w:t>（四</w:t>
      </w:r>
      <w:r>
        <w:rPr>
          <w:spacing w:val="-136"/>
        </w:rPr>
        <w:t>）</w:t>
      </w:r>
      <w:bookmarkEnd w:id="7"/>
      <w:r>
        <w:rPr>
          <w:spacing w:val="-16"/>
        </w:rPr>
        <w:t>、项目分析</w:t>
      </w:r>
    </w:p>
    <w:p>
      <w:pPr>
        <w:pStyle w:val="Heading2"/>
        <w:spacing w:before="58"/>
      </w:pPr>
      <w:bookmarkStart w:id="8" w:name="_TOC_250028"/>
      <w:r>
        <w:rPr>
          <w:spacing w:val="-20"/>
        </w:rPr>
        <w:t>1</w:t>
      </w:r>
      <w:bookmarkEnd w:id="8"/>
      <w:r>
        <w:rPr>
          <w:spacing w:val="-20"/>
        </w:rPr>
        <w:t>、项目地块分析</w:t>
      </w:r>
    </w:p>
    <w:p>
      <w:pPr>
        <w:pStyle w:val="BodyText"/>
        <w:spacing w:before="138" w:line="391" w:lineRule="auto"/>
        <w:ind w:right="552" w:firstLine="590"/>
        <w:jc w:val="both"/>
      </w:pPr>
      <w:r>
        <w:rPr>
          <w:spacing w:val="-18"/>
        </w:rPr>
        <w:t>项目位于文山市城北卧龙新城区，此片区是文山都市发展的重点规划区，是将来州县</w:t>
      </w:r>
      <w:r>
        <w:rPr>
          <w:spacing w:val="-18"/>
        </w:rPr>
        <w:t xml:space="preserve">两级行政 </w:t>
      </w:r>
      <w:r>
        <w:rPr>
          <w:i w:val="0"/>
          <w:spacing w:val="-20"/>
        </w:rPr>
        <w:t>CBD</w:t>
      </w:r>
      <w:r>
        <w:rPr>
          <w:i w:val="0"/>
          <w:spacing w:val="-10"/>
        </w:rPr>
        <w:t xml:space="preserve"> </w:t>
      </w:r>
      <w:r>
        <w:rPr>
          <w:spacing w:val="-20"/>
        </w:rPr>
        <w:t xml:space="preserve">综合办公中心。地块规划总面积 </w:t>
      </w:r>
      <w:r>
        <w:rPr>
          <w:i w:val="0"/>
          <w:spacing w:val="-20"/>
        </w:rPr>
        <w:t>1500</w:t>
      </w:r>
      <w:r>
        <w:rPr>
          <w:i w:val="0"/>
          <w:spacing w:val="-10"/>
        </w:rPr>
        <w:t xml:space="preserve"> </w:t>
      </w:r>
      <w:r>
        <w:rPr>
          <w:spacing w:val="-20"/>
        </w:rPr>
        <w:t>亩，现在文山纯住宅用地规划最大的花</w:t>
      </w:r>
      <w:r>
        <w:rPr>
          <w:spacing w:val="-20"/>
        </w:rPr>
        <w:t>园别墅商品房项目。项目地块前临盘龙河，背倚凤凰山，距州政府、</w:t>
      </w:r>
      <w:r>
        <w:rPr>
          <w:i w:val="0"/>
          <w:spacing w:val="-20"/>
        </w:rPr>
        <w:t>100</w:t>
      </w:r>
      <w:r>
        <w:rPr>
          <w:i w:val="0"/>
          <w:spacing w:val="-10"/>
        </w:rPr>
        <w:t xml:space="preserve"> </w:t>
      </w:r>
      <w:r>
        <w:rPr>
          <w:spacing w:val="-19"/>
        </w:rPr>
        <w:t xml:space="preserve">亩人工湖不到 </w:t>
      </w:r>
      <w:r>
        <w:rPr>
          <w:i w:val="0"/>
          <w:spacing w:val="-20"/>
        </w:rPr>
        <w:t>1000</w:t>
      </w:r>
      <w:r>
        <w:rPr>
          <w:spacing w:val="-17"/>
        </w:rPr>
        <w:t xml:space="preserve">米，紧临 </w:t>
      </w:r>
      <w:r>
        <w:rPr>
          <w:i w:val="0"/>
          <w:spacing w:val="-18"/>
        </w:rPr>
        <w:t>50</w:t>
      </w:r>
      <w:r>
        <w:rPr>
          <w:i w:val="0"/>
          <w:spacing w:val="-12"/>
        </w:rPr>
        <w:t xml:space="preserve"> </w:t>
      </w:r>
      <w:r>
        <w:rPr>
          <w:spacing w:val="-18"/>
        </w:rPr>
        <w:t>米沿河绿化走廊，以山水自然风光为依靠进行的环境景观设计，风格独特。交</w:t>
      </w:r>
      <w:r>
        <w:rPr>
          <w:spacing w:val="-20"/>
        </w:rPr>
        <w:t xml:space="preserve">通方面紧临 </w:t>
      </w:r>
      <w:r>
        <w:rPr>
          <w:i w:val="0"/>
          <w:spacing w:val="-22"/>
        </w:rPr>
        <w:t>100</w:t>
      </w:r>
      <w:r>
        <w:rPr>
          <w:i w:val="0"/>
        </w:rPr>
        <w:t xml:space="preserve"> </w:t>
      </w:r>
      <w:r>
        <w:rPr>
          <w:spacing w:val="-22"/>
        </w:rPr>
        <w:t>米市政景观大道，周边沿河道路等已建成投入使用，新政府进驻后，</w:t>
      </w:r>
      <w:r>
        <w:rPr>
          <w:i w:val="0"/>
          <w:spacing w:val="-22"/>
        </w:rPr>
        <w:t>8</w:t>
      </w:r>
      <w:r>
        <w:rPr>
          <w:i w:val="0"/>
        </w:rPr>
        <w:t xml:space="preserve"> </w:t>
      </w:r>
      <w:r>
        <w:rPr>
          <w:spacing w:val="-22"/>
        </w:rPr>
        <w:t>路公</w:t>
      </w:r>
      <w:r>
        <w:rPr>
          <w:spacing w:val="-22"/>
        </w:rPr>
        <w:t>交车随着开通，生活配套及交通条件日趋完善，</w:t>
      </w:r>
      <w:r>
        <w:rPr>
          <w:i w:val="0"/>
          <w:spacing w:val="-17"/>
        </w:rPr>
        <w:t>“</w:t>
      </w:r>
      <w:r>
        <w:rPr>
          <w:spacing w:val="-16"/>
        </w:rPr>
        <w:t>离尘不离城</w:t>
      </w:r>
      <w:r>
        <w:rPr>
          <w:i w:val="0"/>
          <w:spacing w:val="-16"/>
        </w:rPr>
        <w:t>”</w:t>
      </w:r>
      <w:r>
        <w:rPr>
          <w:spacing w:val="-16"/>
        </w:rPr>
        <w:t>的住家社区正在逐步形成。</w:t>
      </w:r>
    </w:p>
    <w:p>
      <w:pPr>
        <w:pStyle w:val="Heading2"/>
        <w:spacing w:line="355" w:lineRule="exact"/>
      </w:pPr>
      <w:bookmarkStart w:id="9" w:name="_TOC_250027"/>
      <w:r>
        <w:rPr>
          <w:spacing w:val="-20"/>
        </w:rPr>
        <w:t>2</w:t>
      </w:r>
      <w:bookmarkEnd w:id="9"/>
      <w:r>
        <w:rPr>
          <w:spacing w:val="-20"/>
        </w:rPr>
        <w:t>、项目资源分析</w:t>
      </w:r>
    </w:p>
    <w:p>
      <w:pPr>
        <w:pStyle w:val="BodyText"/>
        <w:spacing w:before="138" w:line="391" w:lineRule="auto"/>
        <w:ind w:right="463" w:firstLine="590"/>
      </w:pPr>
      <w:r>
        <w:rPr>
          <w:spacing w:val="-16"/>
        </w:rPr>
        <w:t>全部的地块都处在卧龙新城区，现在地块周边尚未有成片居住小住，但所属片区是文</w:t>
      </w:r>
      <w:r>
        <w:rPr>
          <w:spacing w:val="-18"/>
        </w:rPr>
        <w:t>山将来都市新发展的重点规划区域，将发展成为以行政办公、文化展览为主，教育、体育、</w:t>
      </w:r>
      <w:r>
        <w:rPr>
          <w:spacing w:val="-18"/>
        </w:rPr>
        <w:t>商业、金融、服务、居住为辅的综合性片区，现在房地产开发的优势随着新州政府的投入使</w:t>
      </w:r>
      <w:r>
        <w:rPr>
          <w:spacing w:val="-18"/>
        </w:rPr>
        <w:t>用逐步形成，将来巨大的发展潜力日趋体现，区域总体规划比文山旧城较好，已形成良好的</w:t>
      </w:r>
      <w:r>
        <w:rPr>
          <w:spacing w:val="-4"/>
        </w:rPr>
        <w:t>社区氛围和较高的居住品质形象。</w:t>
      </w:r>
    </w:p>
    <w:p>
      <w:pPr>
        <w:pStyle w:val="BodyText"/>
        <w:spacing w:line="391" w:lineRule="auto"/>
        <w:ind w:right="432" w:firstLine="590"/>
        <w:jc w:val="both"/>
      </w:pPr>
      <w:r>
        <w:rPr>
          <w:spacing w:val="-16"/>
        </w:rPr>
        <w:t xml:space="preserve">其一地块御景园紧邻 </w:t>
      </w:r>
      <w:r>
        <w:rPr>
          <w:i w:val="0"/>
          <w:spacing w:val="-16"/>
        </w:rPr>
        <w:t>110</w:t>
      </w:r>
      <w:r>
        <w:rPr>
          <w:i w:val="0"/>
        </w:rPr>
        <w:t xml:space="preserve"> </w:t>
      </w:r>
      <w:r>
        <w:rPr>
          <w:spacing w:val="-16"/>
        </w:rPr>
        <w:t xml:space="preserve">米景观大道，距新的文山州政府不到 </w:t>
      </w:r>
      <w:r>
        <w:rPr>
          <w:i w:val="0"/>
          <w:spacing w:val="-16"/>
        </w:rPr>
        <w:t>1000</w:t>
      </w:r>
      <w:r>
        <w:rPr>
          <w:i w:val="0"/>
        </w:rPr>
        <w:t xml:space="preserve"> </w:t>
      </w:r>
      <w:r>
        <w:rPr>
          <w:spacing w:val="-16"/>
        </w:rPr>
        <w:t>米，距已建成并</w:t>
      </w:r>
      <w:r>
        <w:rPr>
          <w:spacing w:val="-18"/>
        </w:rPr>
        <w:t xml:space="preserve">投入使用的文山县政府约 </w:t>
      </w:r>
      <w:r>
        <w:rPr>
          <w:i w:val="0"/>
          <w:spacing w:val="-18"/>
        </w:rPr>
        <w:t>3000</w:t>
      </w:r>
      <w:r>
        <w:rPr>
          <w:i w:val="0"/>
        </w:rPr>
        <w:t xml:space="preserve"> </w:t>
      </w:r>
      <w:r>
        <w:rPr>
          <w:spacing w:val="-25"/>
        </w:rPr>
        <w:t xml:space="preserve">米，距在建的农贸市场大概 </w:t>
      </w:r>
      <w:r>
        <w:rPr>
          <w:i w:val="0"/>
          <w:spacing w:val="-18"/>
        </w:rPr>
        <w:t>1000</w:t>
      </w:r>
      <w:r>
        <w:rPr>
          <w:i w:val="0"/>
        </w:rPr>
        <w:t xml:space="preserve"> </w:t>
      </w:r>
      <w:r>
        <w:rPr>
          <w:spacing w:val="-26"/>
        </w:rPr>
        <w:t>米。盘龙河蜿蜒流过项目的</w:t>
      </w:r>
      <w:r>
        <w:rPr>
          <w:spacing w:val="-21"/>
        </w:rPr>
        <w:t xml:space="preserve">御景园、御兴园、御博园、御进园四个地块，各地块紧邻新规划的 </w:t>
      </w:r>
      <w:r>
        <w:rPr>
          <w:i w:val="0"/>
          <w:spacing w:val="-20"/>
        </w:rPr>
        <w:t>50</w:t>
      </w:r>
      <w:r>
        <w:rPr>
          <w:i w:val="0"/>
          <w:spacing w:val="-28"/>
        </w:rPr>
        <w:t xml:space="preserve"> </w:t>
      </w:r>
      <w:r>
        <w:rPr>
          <w:spacing w:val="-20"/>
        </w:rPr>
        <w:t>米沿河绿化景观走廊。</w:t>
      </w:r>
    </w:p>
    <w:p>
      <w:pPr>
        <w:pStyle w:val="Heading2"/>
        <w:spacing w:line="358" w:lineRule="exact"/>
      </w:pPr>
      <w:bookmarkStart w:id="10" w:name="_TOC_250026"/>
      <w:r>
        <w:rPr>
          <w:spacing w:val="-4"/>
          <w:w w:val="85"/>
        </w:rPr>
        <w:t>3</w:t>
      </w:r>
      <w:r>
        <w:rPr>
          <w:spacing w:val="-4"/>
          <w:w w:val="85"/>
        </w:rPr>
        <w:t>、</w:t>
      </w:r>
      <w:r>
        <w:rPr>
          <w:spacing w:val="-4"/>
          <w:w w:val="85"/>
        </w:rPr>
        <w:t>项</w:t>
      </w:r>
      <w:r>
        <w:rPr>
          <w:spacing w:val="-4"/>
          <w:w w:val="85"/>
        </w:rPr>
        <w:t>目SWOT</w:t>
      </w:r>
      <w:r>
        <w:rPr>
          <w:spacing w:val="-8"/>
        </w:rPr>
        <w:t xml:space="preserve"> </w:t>
      </w:r>
      <w:bookmarkEnd w:id="10"/>
      <w:r>
        <w:rPr>
          <w:spacing w:val="-7"/>
          <w:w w:val="85"/>
        </w:rPr>
        <w:t>分析</w:t>
      </w:r>
    </w:p>
    <w:p>
      <w:pPr>
        <w:pStyle w:val="ListParagraph"/>
        <w:numPr>
          <w:ilvl w:val="1"/>
          <w:numId w:val="17"/>
        </w:numPr>
        <w:tabs>
          <w:tab w:val="left" w:pos="916"/>
        </w:tabs>
        <w:spacing w:before="132" w:after="0" w:line="240" w:lineRule="auto"/>
        <w:ind w:left="915" w:right="0" w:hanging="345"/>
        <w:jc w:val="left"/>
        <w:rPr>
          <w:i/>
          <w:sz w:val="24"/>
        </w:rPr>
      </w:pPr>
      <w:r>
        <w:rPr>
          <w:i/>
          <w:spacing w:val="-18"/>
          <w:sz w:val="24"/>
        </w:rPr>
        <w:t>、项目优势分析</w:t>
      </w:r>
    </w:p>
    <w:p>
      <w:pPr>
        <w:pStyle w:val="ListParagraph"/>
        <w:numPr>
          <w:ilvl w:val="2"/>
          <w:numId w:val="17"/>
        </w:numPr>
        <w:tabs>
          <w:tab w:val="left" w:pos="812"/>
        </w:tabs>
        <w:spacing w:before="192" w:after="0" w:line="391" w:lineRule="auto"/>
        <w:ind w:left="571" w:right="432" w:firstLine="0"/>
        <w:jc w:val="left"/>
        <w:rPr>
          <w:i/>
          <w:sz w:val="24"/>
        </w:rPr>
      </w:pPr>
      <w:r>
        <w:rPr>
          <w:i/>
          <w:spacing w:val="-32"/>
          <w:sz w:val="24"/>
        </w:rPr>
        <w:t>地理位置优越，位于文山都市发展的新规划的重点区域内，距新州政府与新县政府均不远，</w:t>
      </w:r>
      <w:r>
        <w:rPr>
          <w:i/>
          <w:spacing w:val="-12"/>
          <w:sz w:val="24"/>
        </w:rPr>
        <w:t>这里将成为文山州县两级行政级的核心生活圈，发展潜力巨大，升值空间指日可待；</w:t>
      </w:r>
    </w:p>
    <w:p>
      <w:pPr>
        <w:pStyle w:val="ListParagraph"/>
        <w:numPr>
          <w:ilvl w:val="2"/>
          <w:numId w:val="17"/>
        </w:numPr>
        <w:tabs>
          <w:tab w:val="left" w:pos="812"/>
        </w:tabs>
        <w:spacing w:before="0" w:after="0" w:line="391" w:lineRule="auto"/>
        <w:ind w:left="571" w:right="552" w:firstLine="0"/>
        <w:jc w:val="left"/>
        <w:rPr>
          <w:i/>
          <w:sz w:val="24"/>
        </w:rPr>
      </w:pPr>
      <w:r>
        <w:rPr>
          <w:i/>
          <w:spacing w:val="-20"/>
          <w:sz w:val="24"/>
        </w:rPr>
        <w:t>项目的住宅开发体量较大，千亩纯居住用地的占地面积，现在文山第一大盘，含有规模竞</w:t>
      </w:r>
      <w:r>
        <w:rPr>
          <w:i/>
          <w:spacing w:val="-12"/>
          <w:sz w:val="24"/>
        </w:rPr>
        <w:t>争力和影响力，利于社区环境营造，提高居住品质，含有一定的市场出名度；</w:t>
      </w:r>
    </w:p>
    <w:p>
      <w:pPr>
        <w:pStyle w:val="ListParagraph"/>
        <w:numPr>
          <w:ilvl w:val="2"/>
          <w:numId w:val="17"/>
        </w:numPr>
        <w:tabs>
          <w:tab w:val="left" w:pos="812"/>
        </w:tabs>
        <w:spacing w:before="0" w:after="0" w:line="391" w:lineRule="auto"/>
        <w:ind w:left="571" w:right="552" w:firstLine="0"/>
        <w:jc w:val="left"/>
        <w:rPr>
          <w:i/>
          <w:sz w:val="24"/>
        </w:rPr>
      </w:pPr>
      <w:r>
        <w:rPr>
          <w:i/>
          <w:spacing w:val="-27"/>
          <w:sz w:val="24"/>
        </w:rPr>
        <w:t xml:space="preserve">紧邻盘龙河 </w:t>
      </w:r>
      <w:r>
        <w:rPr>
          <w:spacing w:val="-16"/>
          <w:sz w:val="24"/>
        </w:rPr>
        <w:t>50</w:t>
      </w:r>
      <w:r>
        <w:rPr>
          <w:spacing w:val="-69"/>
          <w:sz w:val="24"/>
        </w:rPr>
        <w:t xml:space="preserve"> </w:t>
      </w:r>
      <w:r>
        <w:rPr>
          <w:i/>
          <w:spacing w:val="-16"/>
          <w:sz w:val="24"/>
        </w:rPr>
        <w:t>米沿河绿化景观走廊，盘龙河蜿蜒而过项目的三个地块，自然资源丰富，</w:t>
      </w:r>
      <w:r>
        <w:rPr>
          <w:i/>
          <w:spacing w:val="-2"/>
          <w:sz w:val="24"/>
        </w:rPr>
        <w:t>条件良好；</w:t>
      </w:r>
    </w:p>
    <w:p>
      <w:pPr>
        <w:pStyle w:val="ListParagraph"/>
        <w:numPr>
          <w:ilvl w:val="2"/>
          <w:numId w:val="17"/>
        </w:numPr>
        <w:tabs>
          <w:tab w:val="left" w:pos="812"/>
        </w:tabs>
        <w:spacing w:before="0" w:after="0" w:line="391" w:lineRule="auto"/>
        <w:ind w:left="571" w:right="552" w:firstLine="0"/>
        <w:jc w:val="left"/>
        <w:rPr>
          <w:i/>
          <w:sz w:val="24"/>
        </w:rPr>
      </w:pPr>
      <w:r>
        <w:rPr>
          <w:i/>
          <w:spacing w:val="-20"/>
          <w:sz w:val="24"/>
        </w:rPr>
        <w:t>地块地形地貌平地兼具坡地，高低起伏，层次感强，视野开阔，有打造别墅级高端住宅社</w:t>
      </w:r>
      <w:r>
        <w:rPr>
          <w:i/>
          <w:spacing w:val="-2"/>
          <w:sz w:val="24"/>
        </w:rPr>
        <w:t>区的支撑因素；</w:t>
      </w:r>
    </w:p>
    <w:p>
      <w:pPr>
        <w:spacing w:after="0" w:line="391" w:lineRule="auto"/>
        <w:jc w:val="left"/>
        <w:rPr>
          <w:sz w:val="24"/>
        </w:rPr>
        <w:sectPr>
          <w:pgSz w:w="11910" w:h="16840"/>
          <w:pgMar w:top="1460" w:right="960" w:bottom="280" w:left="960" w:header="708" w:footer="708"/>
          <w:pgNumType w:start="6"/>
          <w:cols w:space="708"/>
        </w:sectPr>
      </w:pPr>
    </w:p>
    <w:p>
      <w:pPr>
        <w:pStyle w:val="ListParagraph"/>
        <w:numPr>
          <w:ilvl w:val="1"/>
          <w:numId w:val="17"/>
        </w:numPr>
        <w:tabs>
          <w:tab w:val="left" w:pos="916"/>
        </w:tabs>
        <w:spacing w:before="43" w:after="0" w:line="240" w:lineRule="auto"/>
        <w:ind w:left="915" w:right="0" w:hanging="345"/>
        <w:jc w:val="left"/>
        <w:rPr>
          <w:i/>
          <w:sz w:val="24"/>
        </w:rPr>
      </w:pPr>
      <w:r>
        <w:rPr>
          <w:i/>
          <w:spacing w:val="-18"/>
          <w:sz w:val="24"/>
        </w:rPr>
        <w:t>、项目劣势分析</w:t>
      </w:r>
    </w:p>
    <w:p>
      <w:pPr>
        <w:pStyle w:val="ListParagraph"/>
        <w:numPr>
          <w:ilvl w:val="2"/>
          <w:numId w:val="17"/>
        </w:numPr>
        <w:tabs>
          <w:tab w:val="left" w:pos="812"/>
        </w:tabs>
        <w:spacing w:before="192" w:after="0" w:line="240" w:lineRule="auto"/>
        <w:ind w:left="812" w:right="0" w:hanging="241"/>
        <w:jc w:val="left"/>
        <w:rPr>
          <w:i/>
          <w:sz w:val="24"/>
        </w:rPr>
      </w:pPr>
      <w:r>
        <w:rPr>
          <w:i/>
          <w:spacing w:val="-18"/>
          <w:sz w:val="24"/>
        </w:rPr>
        <w:t>新开发片区位置偏远，交通的不便利将在现阶段让客户产生较远的心理距离；</w:t>
      </w:r>
    </w:p>
    <w:p>
      <w:pPr>
        <w:pStyle w:val="ListParagraph"/>
        <w:numPr>
          <w:ilvl w:val="2"/>
          <w:numId w:val="17"/>
        </w:numPr>
        <w:tabs>
          <w:tab w:val="left" w:pos="812"/>
        </w:tabs>
        <w:spacing w:before="193" w:after="0" w:line="240" w:lineRule="auto"/>
        <w:ind w:left="812" w:right="0" w:hanging="241"/>
        <w:jc w:val="left"/>
        <w:rPr>
          <w:i/>
          <w:sz w:val="24"/>
        </w:rPr>
      </w:pPr>
      <w:r>
        <w:rPr>
          <w:i/>
          <w:spacing w:val="-18"/>
          <w:sz w:val="24"/>
        </w:rPr>
        <w:t>现在项目位置离城较远，周边配套不够完善，生活居住氛围没有形成；</w:t>
      </w:r>
    </w:p>
    <w:p>
      <w:pPr>
        <w:pStyle w:val="ListParagraph"/>
        <w:numPr>
          <w:ilvl w:val="2"/>
          <w:numId w:val="17"/>
        </w:numPr>
        <w:tabs>
          <w:tab w:val="left" w:pos="812"/>
        </w:tabs>
        <w:spacing w:before="192" w:after="0" w:line="240" w:lineRule="auto"/>
        <w:ind w:left="812" w:right="0" w:hanging="241"/>
        <w:jc w:val="left"/>
        <w:rPr>
          <w:i/>
          <w:sz w:val="24"/>
        </w:rPr>
      </w:pPr>
      <w:r>
        <w:rPr>
          <w:i/>
          <w:spacing w:val="-18"/>
          <w:sz w:val="24"/>
        </w:rPr>
        <w:t>项目地块不相连，难以形成大盘的整体规模概念，不利于大盘营造；</w:t>
      </w:r>
    </w:p>
    <w:p>
      <w:pPr>
        <w:pStyle w:val="ListParagraph"/>
        <w:numPr>
          <w:ilvl w:val="1"/>
          <w:numId w:val="17"/>
        </w:numPr>
        <w:tabs>
          <w:tab w:val="left" w:pos="916"/>
        </w:tabs>
        <w:spacing w:before="193" w:after="0" w:line="240" w:lineRule="auto"/>
        <w:ind w:left="915" w:right="0" w:hanging="345"/>
        <w:jc w:val="left"/>
        <w:rPr>
          <w:i/>
          <w:sz w:val="24"/>
        </w:rPr>
      </w:pPr>
      <w:r>
        <w:rPr>
          <w:i/>
          <w:spacing w:val="-18"/>
          <w:sz w:val="24"/>
        </w:rPr>
        <w:t>、项目机会分析</w:t>
      </w:r>
    </w:p>
    <w:p>
      <w:pPr>
        <w:pStyle w:val="ListParagraph"/>
        <w:numPr>
          <w:ilvl w:val="2"/>
          <w:numId w:val="17"/>
        </w:numPr>
        <w:tabs>
          <w:tab w:val="left" w:pos="812"/>
        </w:tabs>
        <w:spacing w:before="192" w:after="0" w:line="391" w:lineRule="auto"/>
        <w:ind w:left="571" w:right="552" w:firstLine="0"/>
        <w:jc w:val="left"/>
        <w:rPr>
          <w:i/>
          <w:sz w:val="24"/>
        </w:rPr>
      </w:pPr>
      <w:r>
        <w:rPr>
          <w:i/>
          <w:spacing w:val="-20"/>
          <w:sz w:val="24"/>
        </w:rPr>
        <w:t>片区属于都市新发展的重点区域，是文ft将来的中心区，升值潜力大，含有对高端消费群</w:t>
      </w:r>
      <w:r>
        <w:rPr>
          <w:i/>
          <w:spacing w:val="-2"/>
          <w:sz w:val="24"/>
        </w:rPr>
        <w:t>的吸引力；</w:t>
      </w:r>
    </w:p>
    <w:p>
      <w:pPr>
        <w:pStyle w:val="ListParagraph"/>
        <w:numPr>
          <w:ilvl w:val="2"/>
          <w:numId w:val="17"/>
        </w:numPr>
        <w:tabs>
          <w:tab w:val="left" w:pos="812"/>
        </w:tabs>
        <w:spacing w:before="0" w:after="0" w:line="391" w:lineRule="auto"/>
        <w:ind w:left="571" w:right="463" w:firstLine="0"/>
        <w:jc w:val="left"/>
        <w:rPr>
          <w:i/>
          <w:sz w:val="24"/>
        </w:rPr>
      </w:pPr>
      <w:r>
        <w:rPr>
          <w:i/>
          <w:spacing w:val="-18"/>
          <w:sz w:val="24"/>
        </w:rPr>
        <w:t>文ft房地产市场正由小盘时代转为大盘时代，市场上大规模、上档次的高品大盘还不多，</w:t>
      </w:r>
      <w:r>
        <w:rPr>
          <w:i/>
          <w:spacing w:val="-2"/>
          <w:sz w:val="24"/>
        </w:rPr>
        <w:t>项目的开发机遇较好；</w:t>
      </w:r>
    </w:p>
    <w:p>
      <w:pPr>
        <w:pStyle w:val="ListParagraph"/>
        <w:numPr>
          <w:ilvl w:val="2"/>
          <w:numId w:val="17"/>
        </w:numPr>
        <w:tabs>
          <w:tab w:val="left" w:pos="812"/>
        </w:tabs>
        <w:spacing w:before="0" w:after="0" w:line="305" w:lineRule="exact"/>
        <w:ind w:left="812" w:right="0" w:hanging="241"/>
        <w:jc w:val="left"/>
        <w:rPr>
          <w:i/>
          <w:sz w:val="24"/>
        </w:rPr>
      </w:pPr>
      <w:r>
        <w:rPr>
          <w:i/>
          <w:spacing w:val="-18"/>
          <w:sz w:val="24"/>
        </w:rPr>
        <w:t>在文ft行政办公中心区，项目的入市可获得市场先机；</w:t>
      </w:r>
    </w:p>
    <w:p>
      <w:pPr>
        <w:pStyle w:val="ListParagraph"/>
        <w:numPr>
          <w:ilvl w:val="1"/>
          <w:numId w:val="17"/>
        </w:numPr>
        <w:tabs>
          <w:tab w:val="left" w:pos="916"/>
        </w:tabs>
        <w:spacing w:before="190" w:after="0" w:line="240" w:lineRule="auto"/>
        <w:ind w:left="915" w:right="0" w:hanging="345"/>
        <w:jc w:val="left"/>
        <w:rPr>
          <w:i/>
          <w:sz w:val="24"/>
        </w:rPr>
      </w:pPr>
      <w:r>
        <w:rPr>
          <w:i/>
          <w:spacing w:val="-18"/>
          <w:sz w:val="24"/>
        </w:rPr>
        <w:t>、项目风险分析</w:t>
      </w:r>
    </w:p>
    <w:p>
      <w:pPr>
        <w:pStyle w:val="ListParagraph"/>
        <w:numPr>
          <w:ilvl w:val="2"/>
          <w:numId w:val="17"/>
        </w:numPr>
        <w:tabs>
          <w:tab w:val="left" w:pos="812"/>
        </w:tabs>
        <w:spacing w:before="114" w:after="0" w:line="314" w:lineRule="auto"/>
        <w:ind w:left="571" w:right="552" w:firstLine="0"/>
        <w:jc w:val="left"/>
        <w:rPr>
          <w:i/>
          <w:sz w:val="24"/>
        </w:rPr>
      </w:pPr>
      <w:r>
        <w:rPr>
          <w:rFonts w:ascii="Microsoft JhengHei" w:eastAsia="Microsoft JhengHei" w:hAnsi="Microsoft JhengHei"/>
          <w:b/>
          <w:spacing w:val="-37"/>
          <w:sz w:val="24"/>
        </w:rPr>
        <w:t>供应方面：</w:t>
      </w:r>
      <w:r>
        <w:rPr>
          <w:i/>
          <w:spacing w:val="-18"/>
          <w:sz w:val="24"/>
        </w:rPr>
        <w:t>文ft房地产市场现在供应量巨大，卧龙新区作为居住项目的重要开发片区，楼</w:t>
      </w:r>
      <w:r>
        <w:rPr>
          <w:i/>
          <w:spacing w:val="-8"/>
          <w:sz w:val="24"/>
        </w:rPr>
        <w:t>盘众多且形态、定价、客户群等差别不大；</w:t>
      </w:r>
    </w:p>
    <w:p>
      <w:pPr>
        <w:pStyle w:val="ListParagraph"/>
        <w:numPr>
          <w:ilvl w:val="2"/>
          <w:numId w:val="17"/>
        </w:numPr>
        <w:tabs>
          <w:tab w:val="left" w:pos="812"/>
        </w:tabs>
        <w:spacing w:before="19" w:after="0" w:line="240" w:lineRule="auto"/>
        <w:ind w:left="812" w:right="0" w:hanging="241"/>
        <w:jc w:val="left"/>
        <w:rPr>
          <w:i/>
          <w:sz w:val="24"/>
        </w:rPr>
      </w:pPr>
      <w:r>
        <w:rPr>
          <w:rFonts w:ascii="Microsoft JhengHei" w:eastAsia="Microsoft JhengHei" w:hAnsi="Microsoft JhengHei"/>
          <w:b/>
          <w:spacing w:val="-18"/>
          <w:sz w:val="24"/>
        </w:rPr>
        <w:t>政策方面：</w:t>
      </w:r>
      <w:r>
        <w:rPr>
          <w:i/>
          <w:spacing w:val="-18"/>
          <w:sz w:val="24"/>
        </w:rPr>
        <w:t>增加首付和频繁加息，限购限贷将成为妨碍客户购房新的问题；</w:t>
      </w:r>
    </w:p>
    <w:p>
      <w:pPr>
        <w:pStyle w:val="ListParagraph"/>
        <w:numPr>
          <w:ilvl w:val="2"/>
          <w:numId w:val="17"/>
        </w:numPr>
        <w:tabs>
          <w:tab w:val="left" w:pos="812"/>
        </w:tabs>
        <w:spacing w:before="58" w:after="0" w:line="314" w:lineRule="auto"/>
        <w:ind w:left="571" w:right="552" w:firstLine="0"/>
        <w:jc w:val="left"/>
        <w:rPr>
          <w:i/>
          <w:sz w:val="24"/>
        </w:rPr>
      </w:pPr>
      <w:r>
        <w:rPr>
          <w:rFonts w:ascii="Microsoft JhengHei" w:eastAsia="Microsoft JhengHei" w:hAnsi="Microsoft JhengHei"/>
          <w:b/>
          <w:spacing w:val="-37"/>
          <w:sz w:val="24"/>
        </w:rPr>
        <w:t>竞争方面：</w:t>
      </w:r>
      <w:r>
        <w:rPr>
          <w:i/>
          <w:spacing w:val="-18"/>
          <w:sz w:val="24"/>
        </w:rPr>
        <w:t>今年下六个月，含有强销条件的楼盘将会铺天盖地的广告宣传，卧龙片区作为</w:t>
      </w:r>
      <w:r>
        <w:rPr>
          <w:i/>
          <w:spacing w:val="-10"/>
          <w:sz w:val="24"/>
        </w:rPr>
        <w:t>客户竞争的主力战场，激烈程度、白热化程度可预见；</w:t>
      </w:r>
    </w:p>
    <w:p>
      <w:pPr>
        <w:pStyle w:val="ListParagraph"/>
        <w:numPr>
          <w:ilvl w:val="2"/>
          <w:numId w:val="17"/>
        </w:numPr>
        <w:tabs>
          <w:tab w:val="left" w:pos="812"/>
        </w:tabs>
        <w:spacing w:before="19" w:after="0" w:line="240" w:lineRule="auto"/>
        <w:ind w:left="812" w:right="0" w:hanging="241"/>
        <w:jc w:val="left"/>
        <w:rPr>
          <w:i/>
          <w:sz w:val="24"/>
        </w:rPr>
      </w:pPr>
      <w:r>
        <w:rPr>
          <w:rFonts w:ascii="Microsoft JhengHei" w:eastAsia="Microsoft JhengHei" w:hAnsi="Microsoft JhengHei"/>
          <w:b/>
          <w:spacing w:val="-18"/>
          <w:sz w:val="24"/>
        </w:rPr>
        <w:t>产品方面；</w:t>
      </w:r>
      <w:r>
        <w:rPr>
          <w:i/>
          <w:spacing w:val="-18"/>
          <w:sz w:val="24"/>
        </w:rPr>
        <w:t>文ft房地产市场上同质化产品太多，同类产品之间争夺客户激烈。</w:t>
      </w:r>
    </w:p>
    <w:p>
      <w:pPr>
        <w:pStyle w:val="Heading2"/>
        <w:spacing w:before="59"/>
      </w:pPr>
      <w:bookmarkStart w:id="11" w:name="_TOC_250025"/>
      <w:r>
        <w:rPr>
          <w:spacing w:val="-16"/>
        </w:rPr>
        <w:t>（五</w:t>
      </w:r>
      <w:r>
        <w:rPr>
          <w:spacing w:val="-136"/>
        </w:rPr>
        <w:t>）</w:t>
      </w:r>
      <w:bookmarkEnd w:id="11"/>
      <w:r>
        <w:rPr>
          <w:spacing w:val="-16"/>
        </w:rPr>
        <w:t>、下六个月产品企划思路</w:t>
      </w:r>
    </w:p>
    <w:p>
      <w:pPr>
        <w:pStyle w:val="Heading2"/>
        <w:spacing w:before="59"/>
      </w:pPr>
      <w:bookmarkStart w:id="12" w:name="_TOC_250024"/>
      <w:r>
        <w:rPr>
          <w:spacing w:val="-20"/>
        </w:rPr>
        <w:t>1</w:t>
      </w:r>
      <w:bookmarkEnd w:id="12"/>
      <w:r>
        <w:rPr>
          <w:spacing w:val="-20"/>
        </w:rPr>
        <w:t>、优势和机会</w:t>
      </w:r>
    </w:p>
    <w:p>
      <w:pPr>
        <w:pStyle w:val="BodyText"/>
        <w:spacing w:before="138" w:line="391" w:lineRule="auto"/>
        <w:ind w:right="432" w:firstLine="590"/>
      </w:pPr>
      <w:r>
        <w:rPr>
          <w:spacing w:val="-29"/>
        </w:rPr>
        <w:t xml:space="preserve">项目通过 </w:t>
      </w:r>
      <w:r>
        <w:rPr>
          <w:i w:val="0"/>
          <w:spacing w:val="-16"/>
        </w:rPr>
        <w:t>3</w:t>
      </w:r>
      <w:r>
        <w:rPr>
          <w:i w:val="0"/>
          <w:spacing w:val="-69"/>
        </w:rPr>
        <w:t xml:space="preserve"> </w:t>
      </w:r>
      <w:r>
        <w:rPr>
          <w:spacing w:val="-27"/>
        </w:rPr>
        <w:t>年的开发建设和广告宣传，在本地市场上已经含有一定的出名度和影响力，</w:t>
      </w:r>
      <w:r>
        <w:rPr>
          <w:spacing w:val="-16"/>
        </w:rPr>
        <w:t>中天世纪作为文ft市现在第一大盘高档别墅居住社区，人尽皆知。前期项目的成功开发、销</w:t>
      </w:r>
      <w:r>
        <w:rPr>
          <w:spacing w:val="-16"/>
        </w:rPr>
        <w:t xml:space="preserve">售到交付使用，现在为止的 </w:t>
      </w:r>
      <w:r>
        <w:rPr>
          <w:i w:val="0"/>
          <w:spacing w:val="-10"/>
        </w:rPr>
        <w:t>400</w:t>
      </w:r>
      <w:r>
        <w:rPr>
          <w:i w:val="0"/>
          <w:spacing w:val="-69"/>
        </w:rPr>
        <w:t xml:space="preserve"> </w:t>
      </w:r>
      <w:r>
        <w:rPr>
          <w:spacing w:val="-10"/>
        </w:rPr>
        <w:t>多位老业主，足以形成良好口碑宣传效应。</w:t>
      </w:r>
    </w:p>
    <w:p>
      <w:pPr>
        <w:pStyle w:val="BodyText"/>
        <w:spacing w:line="391" w:lineRule="auto"/>
        <w:ind w:right="432" w:firstLine="590"/>
      </w:pPr>
      <w:r>
        <w:rPr>
          <w:spacing w:val="-14"/>
        </w:rPr>
        <w:t>市场上现在在售项目的楼盘规模、景观设计、建筑风格等都较为传统，高品质、内外</w:t>
      </w:r>
      <w:r>
        <w:rPr>
          <w:spacing w:val="-26"/>
        </w:rPr>
        <w:t>环境均好的项目少。中天世纪通过前期市场推广，项目的地段风水宝地、</w:t>
      </w:r>
      <w:r>
        <w:rPr>
          <w:i w:val="0"/>
          <w:spacing w:val="-16"/>
        </w:rPr>
        <w:t>100</w:t>
      </w:r>
      <w:r>
        <w:rPr>
          <w:i w:val="0"/>
          <w:spacing w:val="-69"/>
        </w:rPr>
        <w:t xml:space="preserve"> </w:t>
      </w:r>
      <w:r>
        <w:rPr>
          <w:spacing w:val="-16"/>
        </w:rPr>
        <w:t>万平米大规模、</w:t>
      </w:r>
      <w:r>
        <w:rPr>
          <w:spacing w:val="-12"/>
        </w:rPr>
        <w:t>首个高尔夫球场、纯花园别墅社区、自然ft水景观等重要卖点已得到高度的市场承认。</w:t>
      </w:r>
    </w:p>
    <w:p>
      <w:pPr>
        <w:pStyle w:val="BodyText"/>
        <w:spacing w:line="391" w:lineRule="auto"/>
        <w:ind w:right="552" w:firstLine="590"/>
        <w:jc w:val="both"/>
      </w:pPr>
      <w:r>
        <w:rPr>
          <w:spacing w:val="-18"/>
        </w:rPr>
        <w:t>今年州政府使用、人工湖落成、市民广场新建及周边其它项目的建设成型，各段道路</w:t>
      </w:r>
      <w:r>
        <w:rPr>
          <w:spacing w:val="-24"/>
        </w:rPr>
        <w:t>开通以及御景园交房等，给项目环境和配套带来很大提高，销售也面临着新的机遇变革和挑</w:t>
      </w:r>
      <w:r>
        <w:rPr>
          <w:spacing w:val="-6"/>
        </w:rPr>
        <w:t>战。</w:t>
      </w:r>
    </w:p>
    <w:p>
      <w:pPr>
        <w:spacing w:after="0" w:line="391" w:lineRule="auto"/>
        <w:jc w:val="both"/>
        <w:sectPr>
          <w:pgSz w:w="11910" w:h="16840"/>
          <w:pgMar w:top="1460" w:right="960" w:bottom="280" w:left="960" w:header="708" w:footer="708"/>
          <w:pgNumType w:start="7"/>
          <w:cols w:space="708"/>
        </w:sectPr>
      </w:pPr>
    </w:p>
    <w:p>
      <w:pPr>
        <w:pStyle w:val="Heading2"/>
        <w:spacing w:line="405" w:lineRule="exact"/>
      </w:pPr>
      <w:r>
        <w:rPr>
          <w:spacing w:val="-16"/>
        </w:rPr>
        <w:t>所剩别墅房源优势体现：</w:t>
      </w:r>
    </w:p>
    <w:p>
      <w:pPr>
        <w:pStyle w:val="ListParagraph"/>
        <w:numPr>
          <w:ilvl w:val="0"/>
          <w:numId w:val="16"/>
        </w:numPr>
        <w:tabs>
          <w:tab w:val="left" w:pos="931"/>
        </w:tabs>
        <w:spacing w:before="138" w:after="0" w:line="240" w:lineRule="auto"/>
        <w:ind w:left="931" w:right="0" w:hanging="360"/>
        <w:jc w:val="left"/>
        <w:rPr>
          <w:i/>
          <w:sz w:val="24"/>
        </w:rPr>
      </w:pPr>
      <w:r>
        <w:rPr>
          <w:i/>
          <w:spacing w:val="-18"/>
          <w:sz w:val="24"/>
        </w:rPr>
        <w:t>稀缺珍藏优质户型</w:t>
      </w:r>
    </w:p>
    <w:p>
      <w:pPr>
        <w:pStyle w:val="ListParagraph"/>
        <w:numPr>
          <w:ilvl w:val="0"/>
          <w:numId w:val="16"/>
        </w:numPr>
        <w:tabs>
          <w:tab w:val="left" w:pos="931"/>
        </w:tabs>
        <w:spacing w:before="192" w:after="0" w:line="240" w:lineRule="auto"/>
        <w:ind w:left="931" w:right="0" w:hanging="360"/>
        <w:jc w:val="left"/>
        <w:rPr>
          <w:i/>
          <w:sz w:val="24"/>
        </w:rPr>
      </w:pPr>
      <w:r>
        <w:rPr>
          <w:i/>
          <w:spacing w:val="-18"/>
          <w:sz w:val="24"/>
        </w:rPr>
        <w:t>可见性项目景观，准现房</w:t>
      </w:r>
    </w:p>
    <w:p>
      <w:pPr>
        <w:pStyle w:val="ListParagraph"/>
        <w:numPr>
          <w:ilvl w:val="0"/>
          <w:numId w:val="16"/>
        </w:numPr>
        <w:tabs>
          <w:tab w:val="left" w:pos="931"/>
        </w:tabs>
        <w:spacing w:before="193" w:after="0" w:line="240" w:lineRule="auto"/>
        <w:ind w:left="931" w:right="0" w:hanging="360"/>
        <w:jc w:val="left"/>
        <w:rPr>
          <w:i/>
          <w:sz w:val="24"/>
        </w:rPr>
      </w:pPr>
      <w:r>
        <w:rPr>
          <w:i/>
          <w:spacing w:val="-18"/>
          <w:sz w:val="24"/>
        </w:rPr>
        <w:t>御景园交房直接提高的品牌效应和价值体现</w:t>
      </w:r>
    </w:p>
    <w:p>
      <w:pPr>
        <w:pStyle w:val="ListParagraph"/>
        <w:numPr>
          <w:ilvl w:val="0"/>
          <w:numId w:val="16"/>
        </w:numPr>
        <w:tabs>
          <w:tab w:val="left" w:pos="931"/>
        </w:tabs>
        <w:spacing w:before="192" w:after="0" w:line="240" w:lineRule="auto"/>
        <w:ind w:left="931" w:right="0" w:hanging="360"/>
        <w:jc w:val="left"/>
        <w:rPr>
          <w:i/>
          <w:sz w:val="24"/>
        </w:rPr>
      </w:pPr>
      <w:r>
        <w:rPr>
          <w:i/>
          <w:spacing w:val="-22"/>
          <w:sz w:val="24"/>
        </w:rPr>
        <w:t xml:space="preserve">总体价位集中在 </w:t>
      </w:r>
      <w:r>
        <w:rPr>
          <w:spacing w:val="-16"/>
          <w:sz w:val="24"/>
        </w:rPr>
        <w:t>70—90</w:t>
      </w:r>
      <w:r>
        <w:rPr>
          <w:spacing w:val="-48"/>
          <w:sz w:val="24"/>
        </w:rPr>
        <w:t xml:space="preserve"> </w:t>
      </w:r>
      <w:r>
        <w:rPr>
          <w:i/>
          <w:spacing w:val="-16"/>
          <w:sz w:val="24"/>
        </w:rPr>
        <w:t>万元之间，属于项目主力产品及畅销产品</w:t>
      </w:r>
    </w:p>
    <w:p>
      <w:pPr>
        <w:pStyle w:val="ListParagraph"/>
        <w:numPr>
          <w:ilvl w:val="0"/>
          <w:numId w:val="16"/>
        </w:numPr>
        <w:tabs>
          <w:tab w:val="left" w:pos="931"/>
        </w:tabs>
        <w:spacing w:before="193" w:after="0" w:line="240" w:lineRule="auto"/>
        <w:ind w:left="931" w:right="0" w:hanging="360"/>
        <w:jc w:val="left"/>
        <w:rPr>
          <w:i/>
          <w:sz w:val="24"/>
        </w:rPr>
      </w:pPr>
      <w:r>
        <w:rPr>
          <w:i/>
          <w:spacing w:val="-18"/>
          <w:sz w:val="24"/>
        </w:rPr>
        <w:t>积累的准客户较多</w:t>
      </w:r>
    </w:p>
    <w:p>
      <w:pPr>
        <w:pStyle w:val="BodyText"/>
        <w:spacing w:before="113" w:line="314" w:lineRule="auto"/>
        <w:ind w:right="552"/>
      </w:pPr>
      <w:r>
        <w:rPr>
          <w:rFonts w:ascii="Microsoft JhengHei" w:eastAsia="Microsoft JhengHei" w:hAnsi="Microsoft JhengHei"/>
          <w:b/>
          <w:i w:val="0"/>
          <w:spacing w:val="-20"/>
        </w:rPr>
        <w:t>小结</w:t>
      </w:r>
      <w:r>
        <w:rPr>
          <w:i w:val="0"/>
          <w:spacing w:val="-20"/>
        </w:rPr>
        <w:t>——</w:t>
      </w:r>
      <w:r>
        <w:rPr>
          <w:spacing w:val="-20"/>
        </w:rPr>
        <w:t>通过提高公司品牌影响力及大项目高端品质，诉求</w:t>
      </w:r>
      <w:r>
        <w:rPr>
          <w:i w:val="0"/>
          <w:spacing w:val="-20"/>
        </w:rPr>
        <w:t>“</w:t>
      </w:r>
      <w:r>
        <w:rPr>
          <w:spacing w:val="-20"/>
        </w:rPr>
        <w:t>延续典型，再创佳作</w:t>
      </w:r>
      <w:r>
        <w:rPr>
          <w:i w:val="0"/>
          <w:spacing w:val="-20"/>
        </w:rPr>
        <w:t>”</w:t>
      </w:r>
      <w:r>
        <w:rPr>
          <w:spacing w:val="-20"/>
        </w:rPr>
        <w:t>提高项</w:t>
      </w:r>
      <w:r>
        <w:rPr>
          <w:spacing w:val="-2"/>
        </w:rPr>
        <w:t>目销售附加值。</w:t>
      </w:r>
    </w:p>
    <w:p>
      <w:pPr>
        <w:pStyle w:val="Heading2"/>
        <w:spacing w:before="19"/>
      </w:pPr>
      <w:bookmarkStart w:id="13" w:name="_TOC_250023"/>
      <w:r>
        <w:rPr>
          <w:spacing w:val="-20"/>
        </w:rPr>
        <w:t>2</w:t>
      </w:r>
      <w:bookmarkEnd w:id="13"/>
      <w:r>
        <w:rPr>
          <w:spacing w:val="-20"/>
        </w:rPr>
        <w:t>、劣势和威胁</w:t>
      </w:r>
    </w:p>
    <w:p>
      <w:pPr>
        <w:pStyle w:val="BodyText"/>
        <w:spacing w:before="138" w:line="391" w:lineRule="auto"/>
        <w:ind w:right="552"/>
        <w:jc w:val="both"/>
      </w:pPr>
      <w:r>
        <w:rPr>
          <w:spacing w:val="-24"/>
        </w:rPr>
        <w:t>别墅既为高端产品，意味着高品质占据着很大的市场因素，购房人群为文</w:t>
      </w:r>
      <w:r>
        <w:rPr>
          <w:spacing w:val="-16"/>
        </w:rPr>
        <w:t>ft市的中产阶级以</w:t>
      </w:r>
      <w:r>
        <w:rPr>
          <w:spacing w:val="-27"/>
        </w:rPr>
        <w:t>上，一种项目的品牌在市场容易形成口碑效应，但本项目的一组团和二组团的销售未在市场</w:t>
      </w:r>
      <w:r>
        <w:rPr>
          <w:spacing w:val="-10"/>
        </w:rPr>
        <w:t>引发轰动效应且节奏缓慢，给后续推广带来一定困难。</w:t>
      </w:r>
    </w:p>
    <w:p>
      <w:pPr>
        <w:pStyle w:val="Heading2"/>
        <w:spacing w:line="358" w:lineRule="exact"/>
      </w:pPr>
      <w:r>
        <w:rPr>
          <w:spacing w:val="-16"/>
        </w:rPr>
        <w:t>所剩别墅房源劣势体现：</w:t>
      </w:r>
    </w:p>
    <w:p>
      <w:pPr>
        <w:pStyle w:val="ListParagraph"/>
        <w:numPr>
          <w:ilvl w:val="0"/>
          <w:numId w:val="15"/>
        </w:numPr>
        <w:tabs>
          <w:tab w:val="left" w:pos="931"/>
        </w:tabs>
        <w:spacing w:before="138" w:after="0" w:line="240" w:lineRule="auto"/>
        <w:ind w:left="931" w:right="0" w:hanging="360"/>
        <w:jc w:val="left"/>
        <w:rPr>
          <w:i/>
          <w:sz w:val="24"/>
        </w:rPr>
      </w:pPr>
      <w:r>
        <w:rPr>
          <w:i/>
          <w:spacing w:val="-18"/>
          <w:sz w:val="24"/>
        </w:rPr>
        <w:t>给客户以</w:t>
      </w:r>
      <w:r>
        <w:rPr>
          <w:spacing w:val="-18"/>
          <w:sz w:val="24"/>
        </w:rPr>
        <w:t>“</w:t>
      </w:r>
      <w:r>
        <w:rPr>
          <w:i/>
          <w:spacing w:val="-18"/>
          <w:sz w:val="24"/>
        </w:rPr>
        <w:t>尾楼</w:t>
      </w:r>
      <w:r>
        <w:rPr>
          <w:spacing w:val="-18"/>
          <w:sz w:val="24"/>
        </w:rPr>
        <w:t>”</w:t>
      </w:r>
      <w:r>
        <w:rPr>
          <w:i/>
          <w:spacing w:val="-18"/>
          <w:sz w:val="24"/>
        </w:rPr>
        <w:t>的心理影响，好的已经被人挑了，剩余的就是不好的；</w:t>
      </w:r>
    </w:p>
    <w:p>
      <w:pPr>
        <w:pStyle w:val="ListParagraph"/>
        <w:numPr>
          <w:ilvl w:val="0"/>
          <w:numId w:val="15"/>
        </w:numPr>
        <w:tabs>
          <w:tab w:val="left" w:pos="931"/>
        </w:tabs>
        <w:spacing w:before="192" w:after="0" w:line="240" w:lineRule="auto"/>
        <w:ind w:left="931" w:right="0" w:hanging="360"/>
        <w:jc w:val="left"/>
        <w:rPr>
          <w:i/>
          <w:sz w:val="24"/>
        </w:rPr>
      </w:pPr>
      <w:r>
        <w:rPr>
          <w:i/>
          <w:spacing w:val="-18"/>
          <w:sz w:val="24"/>
        </w:rPr>
        <w:t>所处位置相对较差，景观角度和房屋座向不抱负；</w:t>
      </w:r>
    </w:p>
    <w:p>
      <w:pPr>
        <w:pStyle w:val="ListParagraph"/>
        <w:numPr>
          <w:ilvl w:val="0"/>
          <w:numId w:val="15"/>
        </w:numPr>
        <w:tabs>
          <w:tab w:val="left" w:pos="931"/>
        </w:tabs>
        <w:spacing w:before="193" w:after="0" w:line="240" w:lineRule="auto"/>
        <w:ind w:left="931" w:right="0" w:hanging="360"/>
        <w:jc w:val="left"/>
        <w:rPr>
          <w:i/>
          <w:sz w:val="24"/>
        </w:rPr>
      </w:pPr>
      <w:r>
        <w:rPr>
          <w:i/>
          <w:spacing w:val="-18"/>
          <w:sz w:val="24"/>
        </w:rPr>
        <w:t>部分销售员心理疲倦，介绍时无法寻找突出的亮点说服客户；</w:t>
      </w:r>
    </w:p>
    <w:p>
      <w:pPr>
        <w:pStyle w:val="ListParagraph"/>
        <w:numPr>
          <w:ilvl w:val="0"/>
          <w:numId w:val="15"/>
        </w:numPr>
        <w:tabs>
          <w:tab w:val="left" w:pos="931"/>
        </w:tabs>
        <w:spacing w:before="192" w:after="0" w:line="240" w:lineRule="auto"/>
        <w:ind w:left="931" w:right="0" w:hanging="360"/>
        <w:jc w:val="left"/>
        <w:rPr>
          <w:i/>
          <w:sz w:val="24"/>
        </w:rPr>
      </w:pPr>
      <w:r>
        <w:rPr>
          <w:i/>
          <w:spacing w:val="-18"/>
          <w:sz w:val="24"/>
        </w:rPr>
        <w:t>新客户上门量减少，后期广告诉求亮点局限性以吸引和刺激客户购置欲望；</w:t>
      </w:r>
    </w:p>
    <w:p>
      <w:pPr>
        <w:pStyle w:val="ListParagraph"/>
        <w:numPr>
          <w:ilvl w:val="0"/>
          <w:numId w:val="15"/>
        </w:numPr>
        <w:tabs>
          <w:tab w:val="left" w:pos="931"/>
        </w:tabs>
        <w:spacing w:before="193" w:after="0" w:line="240" w:lineRule="auto"/>
        <w:ind w:left="931" w:right="0" w:hanging="360"/>
        <w:jc w:val="left"/>
        <w:rPr>
          <w:i/>
          <w:sz w:val="24"/>
        </w:rPr>
      </w:pPr>
      <w:r>
        <w:rPr>
          <w:i/>
          <w:spacing w:val="-18"/>
          <w:sz w:val="24"/>
        </w:rPr>
        <w:t>部分别墅面积和总价款较高，市场接受面缩小；</w:t>
      </w:r>
    </w:p>
    <w:p>
      <w:pPr>
        <w:pStyle w:val="ListParagraph"/>
        <w:numPr>
          <w:ilvl w:val="0"/>
          <w:numId w:val="15"/>
        </w:numPr>
        <w:tabs>
          <w:tab w:val="left" w:pos="931"/>
        </w:tabs>
        <w:spacing w:before="192" w:after="0" w:line="240" w:lineRule="auto"/>
        <w:ind w:left="931" w:right="0" w:hanging="360"/>
        <w:jc w:val="left"/>
        <w:rPr>
          <w:i/>
          <w:sz w:val="24"/>
        </w:rPr>
      </w:pPr>
      <w:r>
        <w:rPr>
          <w:i/>
          <w:spacing w:val="-18"/>
          <w:sz w:val="24"/>
        </w:rPr>
        <w:t>市场竞争日趋激烈，同期同质产品的入市和价格差别对客户造成核心性的影响。</w:t>
      </w:r>
    </w:p>
    <w:p>
      <w:pPr>
        <w:pStyle w:val="BodyText"/>
        <w:spacing w:before="113" w:line="314" w:lineRule="auto"/>
        <w:ind w:right="552"/>
      </w:pPr>
      <w:r>
        <w:rPr>
          <w:rFonts w:ascii="Microsoft JhengHei" w:eastAsia="Microsoft JhengHei" w:hAnsi="Microsoft JhengHei"/>
          <w:b/>
          <w:i w:val="0"/>
          <w:spacing w:val="-20"/>
        </w:rPr>
        <w:t>小结</w:t>
      </w:r>
      <w:r>
        <w:rPr>
          <w:i w:val="0"/>
          <w:spacing w:val="-20"/>
        </w:rPr>
        <w:t>——</w:t>
      </w:r>
      <w:r>
        <w:rPr>
          <w:spacing w:val="-20"/>
        </w:rPr>
        <w:t>通过诉求</w:t>
      </w:r>
      <w:r>
        <w:rPr>
          <w:i w:val="0"/>
          <w:spacing w:val="-20"/>
        </w:rPr>
        <w:t>“</w:t>
      </w:r>
      <w:r>
        <w:rPr>
          <w:spacing w:val="-20"/>
        </w:rPr>
        <w:t>稀缺户型、品牌折扣</w:t>
      </w:r>
      <w:r>
        <w:rPr>
          <w:i w:val="0"/>
          <w:spacing w:val="-20"/>
        </w:rPr>
        <w:t>”</w:t>
      </w:r>
      <w:r>
        <w:rPr>
          <w:spacing w:val="-20"/>
        </w:rPr>
        <w:t>增加亮点，刺激消除客户心理疑问，举办大型促</w:t>
      </w:r>
      <w:r>
        <w:rPr>
          <w:spacing w:val="-12"/>
        </w:rPr>
        <w:t>销活动与老业主沟通和互动，以折扣方式和购房奖品等附加值来带动成交量。</w:t>
      </w:r>
    </w:p>
    <w:p>
      <w:pPr>
        <w:pStyle w:val="Heading1"/>
        <w:spacing w:line="481" w:lineRule="exact"/>
      </w:pPr>
      <w:bookmarkStart w:id="14" w:name="_TOC_250022"/>
      <w:bookmarkEnd w:id="14"/>
      <w:r>
        <w:rPr>
          <w:spacing w:val="-16"/>
        </w:rPr>
        <w:t>三、营销定位</w:t>
      </w:r>
    </w:p>
    <w:p>
      <w:pPr>
        <w:pStyle w:val="BodyText"/>
        <w:spacing w:before="118" w:line="391" w:lineRule="auto"/>
        <w:ind w:right="432" w:firstLine="590"/>
      </w:pPr>
      <w:r>
        <w:rPr>
          <w:spacing w:val="-14"/>
        </w:rPr>
        <w:t>基于对以上市场具体分析以及对本案拟推出产品的理解，在推广过程中，针对本案推</w:t>
      </w:r>
      <w:r>
        <w:rPr>
          <w:spacing w:val="-32"/>
        </w:rPr>
        <w:t>广主题、架构、过程，其核心问题在于如何使客户认识，并接受和选择本案，通过客观分析，</w:t>
      </w:r>
      <w:r>
        <w:rPr>
          <w:spacing w:val="-4"/>
        </w:rPr>
        <w:t>本案发展定位框架以下图所示：</w:t>
      </w:r>
    </w:p>
    <w:p>
      <w:pPr>
        <w:spacing w:after="0" w:line="391" w:lineRule="auto"/>
        <w:sectPr>
          <w:pgSz w:w="11910" w:h="16840"/>
          <w:pgMar w:top="1460" w:right="960" w:bottom="280" w:left="960" w:header="708" w:footer="708"/>
          <w:pgNumType w:start="8"/>
          <w:cols w:space="708"/>
        </w:sectPr>
      </w:pPr>
    </w:p>
    <w:p>
      <w:pPr>
        <w:pStyle w:val="BodyText"/>
        <w:ind w:left="756"/>
        <w:rPr>
          <w:i w:val="0"/>
          <w:sz w:val="20"/>
        </w:rPr>
      </w:pPr>
      <w:r>
        <w:rPr>
          <w:i w:val="0"/>
          <w:sz w:val="20"/>
        </w:rPr>
        <w:pict>
          <v:group id="_x0000_i1025" style="width:319.2pt;height:141.1pt;mso-position-horizontal-relative:char;mso-position-vertical-relative:line" coordorigin="0,0" coordsize="6384,2822">
            <v:shape id="_x0000_s1026" style="width:121;height:120;left:4580;position:absolute;top:1041" coordorigin="4580,1041" coordsize="121,120" path="m4580,1161l4581,1041,4701,1101,4580,1161xe" filled="t" fillcolor="black" stroked="f">
              <v:fill type="solid"/>
              <v:path arrowok="t"/>
            </v:shape>
            <v:line id="_x0000_s1027" style="position:absolute" from="3613,1101" to="4686,1101" stroked="t" strokecolor="black" strokeweight="0.8pt">
              <v:stroke dashstyle="solid"/>
            </v:line>
            <v:line id="_x0000_s1028" style="position:absolute" from="3929,476" to="3930,1724" stroked="t" strokecolor="black" strokeweight="0.75pt">
              <v:stroke dashstyle="solid"/>
            </v:line>
            <v:shape id="_x0000_s1029" style="width:121;height:120;left:4580;position:absolute;top:1665" coordorigin="4580,1665" coordsize="121,120" path="m4580,1785l4581,1665,4701,1725,4580,1785xe" filled="t" fillcolor="black" stroked="f">
              <v:fill type="solid"/>
              <v:path arrowok="t"/>
            </v:shape>
            <v:line id="_x0000_s1030" style="position:absolute" from="3929,1724" to="4678,1725" stroked="t" strokecolor="black" strokeweight="0.75pt">
              <v:stroke dashstyle="solid"/>
            </v:line>
            <v:shape id="_x0000_s1031" style="width:121;height:120;left:4580;position:absolute;top:417" coordorigin="4580,417" coordsize="121,120" path="m4580,537l4581,417,4701,477,4580,537xe" filled="t" fillcolor="black" stroked="f">
              <v:fill type="solid"/>
              <v:path arrowok="t"/>
            </v:shape>
            <v:line id="_x0000_s1032" style="position:absolute" from="3929,476" to="4678,477" stroked="t" strokecolor="black" strokeweight="0.75pt">
              <v:stroke dashstyle="solid"/>
            </v:line>
            <v:shapetype id="_x0000_t202" coordsize="21600,21600" o:spt="202" path="m,l,21600r21600,l21600,xe">
              <v:stroke joinstyle="miter"/>
              <v:path gradientshapeok="t" o:connecttype="rect"/>
            </v:shapetype>
            <v:shape id="_x0000_s1033" type="#_x0000_t202" style="width:1676;height:467;left:1937;position:absolute;top:1567" filled="f" stroked="t" strokecolor="black" strokeweight="0.75pt">
              <v:stroke dashstyle="solid"/>
              <v:textbox inset="0,0,0,0">
                <w:txbxContent>
                  <w:p>
                    <w:pPr>
                      <w:spacing w:before="95"/>
                      <w:ind w:left="443" w:right="0" w:firstLine="0"/>
                      <w:jc w:val="left"/>
                      <w:rPr>
                        <w:i/>
                        <w:sz w:val="21"/>
                      </w:rPr>
                    </w:pPr>
                    <w:r>
                      <w:rPr>
                        <w:i/>
                        <w:spacing w:val="-18"/>
                        <w:sz w:val="21"/>
                      </w:rPr>
                      <w:t>产品定位</w:t>
                    </w:r>
                  </w:p>
                </w:txbxContent>
              </v:textbox>
            </v:shape>
            <v:shape id="_x0000_s1034" type="#_x0000_t202" style="width:1676;height:468;left:4700;position:absolute;top:1412" filled="f" stroked="t" strokecolor="black" strokeweight="0.75pt">
              <v:stroke dashstyle="solid"/>
              <v:textbox inset="0,0,0,0">
                <w:txbxContent>
                  <w:p>
                    <w:pPr>
                      <w:spacing w:before="95"/>
                      <w:ind w:left="250" w:right="0" w:firstLine="0"/>
                      <w:jc w:val="left"/>
                      <w:rPr>
                        <w:i/>
                        <w:sz w:val="21"/>
                      </w:rPr>
                    </w:pPr>
                    <w:r>
                      <w:rPr>
                        <w:i/>
                        <w:spacing w:val="-18"/>
                        <w:sz w:val="21"/>
                      </w:rPr>
                      <w:t>客户群体定位</w:t>
                    </w:r>
                  </w:p>
                </w:txbxContent>
              </v:textbox>
            </v:shape>
            <v:shape id="_x0000_s1035" type="#_x0000_t202" style="width:1676;height:467;left:4700;position:absolute;top:788" filled="f" stroked="t" strokecolor="black" strokeweight="0.75pt">
              <v:stroke dashstyle="solid"/>
              <v:textbox inset="0,0,0,0">
                <w:txbxContent>
                  <w:p>
                    <w:pPr>
                      <w:spacing w:before="95"/>
                      <w:ind w:left="250" w:right="0" w:firstLine="0"/>
                      <w:jc w:val="left"/>
                      <w:rPr>
                        <w:i/>
                        <w:sz w:val="21"/>
                      </w:rPr>
                    </w:pPr>
                    <w:r>
                      <w:rPr>
                        <w:i/>
                        <w:spacing w:val="-18"/>
                        <w:sz w:val="21"/>
                      </w:rPr>
                      <w:t>项目形象定位</w:t>
                    </w:r>
                  </w:p>
                </w:txbxContent>
              </v:textbox>
            </v:shape>
            <v:shape id="_x0000_s1036" type="#_x0000_t202" style="width:1676;height:467;left:1937;position:absolute;top:788" filled="f" stroked="t" strokecolor="black" strokeweight="0.75pt">
              <v:stroke dashstyle="solid"/>
              <v:textbox inset="0,0,0,0">
                <w:txbxContent>
                  <w:p>
                    <w:pPr>
                      <w:spacing w:before="94"/>
                      <w:ind w:left="443" w:right="0" w:firstLine="0"/>
                      <w:jc w:val="left"/>
                      <w:rPr>
                        <w:i/>
                        <w:sz w:val="21"/>
                      </w:rPr>
                    </w:pPr>
                    <w:r>
                      <w:rPr>
                        <w:i/>
                        <w:spacing w:val="-18"/>
                        <w:sz w:val="21"/>
                      </w:rPr>
                      <w:t>市场定位</w:t>
                    </w:r>
                  </w:p>
                </w:txbxContent>
              </v:textbox>
            </v:shape>
            <v:shape id="_x0000_s1037" type="#_x0000_t202" style="width:1676;height:467;left:4700;position:absolute;top:164" filled="f" stroked="t" strokecolor="black" strokeweight="0.75pt">
              <v:stroke dashstyle="solid"/>
              <v:textbox inset="0,0,0,0">
                <w:txbxContent>
                  <w:p>
                    <w:pPr>
                      <w:spacing w:before="95"/>
                      <w:ind w:left="250" w:right="0" w:firstLine="0"/>
                      <w:jc w:val="left"/>
                      <w:rPr>
                        <w:i/>
                        <w:sz w:val="21"/>
                      </w:rPr>
                    </w:pPr>
                    <w:r>
                      <w:rPr>
                        <w:i/>
                        <w:spacing w:val="-18"/>
                        <w:sz w:val="21"/>
                      </w:rPr>
                      <w:t>项目主题定位</w:t>
                    </w:r>
                  </w:p>
                </w:txbxContent>
              </v:textbox>
            </v:shape>
            <v:shape id="_x0000_s1038" type="#_x0000_t202" style="width:1676;height:469;left:1937;position:absolute;top:7" filled="f" stroked="t" strokecolor="black" strokeweight="0.75pt">
              <v:stroke dashstyle="solid"/>
              <v:textbox inset="0,0,0,0">
                <w:txbxContent>
                  <w:p>
                    <w:pPr>
                      <w:spacing w:before="95"/>
                      <w:ind w:left="347" w:right="0" w:firstLine="0"/>
                      <w:jc w:val="left"/>
                      <w:rPr>
                        <w:i/>
                        <w:sz w:val="21"/>
                      </w:rPr>
                    </w:pPr>
                    <w:r>
                      <w:rPr>
                        <w:i/>
                        <w:spacing w:val="-18"/>
                        <w:sz w:val="21"/>
                      </w:rPr>
                      <w:t>发展商定位</w:t>
                    </w:r>
                  </w:p>
                </w:txbxContent>
              </v:textbox>
            </v:shape>
            <v:line id="_x0000_s1039" style="position:absolute" from="1165,164" to="1166,2504" stroked="t" strokecolor="black" strokeweight="0.75pt">
              <v:stroke dashstyle="solid"/>
            </v:line>
            <v:shape id="_x0000_s1040" style="width:121;height:120;left:1817;position:absolute;top:105" coordorigin="1817,105" coordsize="121,120" path="m1817,225l1818,105,1937,165,1817,225xe" filled="t" fillcolor="black" stroked="f">
              <v:fill type="solid"/>
              <v:path arrowok="t"/>
            </v:shape>
            <v:line id="_x0000_s1041" style="position:absolute" from="1165,164" to="1915,165" stroked="t" strokecolor="black" strokeweight="0.75pt">
              <v:stroke dashstyle="solid"/>
            </v:line>
            <v:shape id="_x0000_s1042" style="width:121;height:120;left:1817;position:absolute;top:1041" coordorigin="1817,1041" coordsize="121,120" path="m1817,1161l1818,1041,1937,1101,1817,1161xe" filled="t" fillcolor="black" stroked="f">
              <v:fill type="solid"/>
              <v:path arrowok="t"/>
            </v:shape>
            <v:line id="_x0000_s1043" style="position:absolute" from="1165,1100" to="1915,1101" stroked="t" strokecolor="black" strokeweight="0.75pt">
              <v:stroke dashstyle="solid"/>
            </v:line>
            <v:shape id="_x0000_s1044" style="width:121;height:120;left:1817;position:absolute;top:1821" coordorigin="1817,1821" coordsize="121,120" path="m1817,1941l1818,1821,1937,1882,1817,1941xe" filled="t" fillcolor="black" stroked="f">
              <v:fill type="solid"/>
              <v:path arrowok="t"/>
            </v:shape>
            <v:line id="_x0000_s1045" style="position:absolute" from="1165,1881" to="1915,1881" stroked="t" strokecolor="black" strokeweight="0.75pt">
              <v:stroke dashstyle="solid"/>
            </v:line>
            <v:shape id="_x0000_s1046" style="width:121;height:120;left:1817;position:absolute;top:2445" coordorigin="1817,2445" coordsize="121,120" path="m1817,2565l1818,2445,1937,2505,1817,2565xe" filled="t" fillcolor="black" stroked="f">
              <v:fill type="solid"/>
              <v:path arrowok="t"/>
            </v:shape>
            <v:line id="_x0000_s1047" style="position:absolute" from="1165,2504" to="1915,2505" stroked="t" strokecolor="black" strokeweight="0.75pt">
              <v:stroke dashstyle="solid"/>
            </v:line>
            <v:line id="_x0000_s1048" style="position:absolute" from="586,1413" to="1165,1414" stroked="t" strokecolor="black" strokeweight="0.75pt">
              <v:stroke dashstyle="solid"/>
            </v:line>
            <v:shape id="_x0000_s1049" type="#_x0000_t202" style="width:1676;height:467;left:1937;position:absolute;top:2347" filled="f" stroked="t" strokecolor="black" strokeweight="0.75pt">
              <v:stroke dashstyle="solid"/>
              <v:textbox inset="0,0,0,0">
                <w:txbxContent>
                  <w:p>
                    <w:pPr>
                      <w:spacing w:before="95"/>
                      <w:ind w:left="443" w:right="0" w:firstLine="0"/>
                      <w:jc w:val="left"/>
                      <w:rPr>
                        <w:i/>
                        <w:sz w:val="21"/>
                      </w:rPr>
                    </w:pPr>
                    <w:r>
                      <w:rPr>
                        <w:i/>
                        <w:spacing w:val="-18"/>
                        <w:sz w:val="21"/>
                      </w:rPr>
                      <w:t>价格定位</w:t>
                    </w:r>
                  </w:p>
                </w:txbxContent>
              </v:textbox>
            </v:shape>
            <v:shape id="_x0000_s1050" type="#_x0000_t202" style="width:579;height:1560;left:7;position:absolute;top:631" filled="f" stroked="t" strokecolor="black" strokeweight="0.75pt">
              <v:stroke dashstyle="solid"/>
              <v:textbox inset="0,0,0,0">
                <w:txbxContent>
                  <w:p>
                    <w:pPr>
                      <w:spacing w:before="4" w:line="240" w:lineRule="auto"/>
                      <w:rPr>
                        <w:i/>
                        <w:sz w:val="17"/>
                      </w:rPr>
                    </w:pPr>
                  </w:p>
                  <w:p>
                    <w:pPr>
                      <w:spacing w:before="0" w:line="172" w:lineRule="auto"/>
                      <w:ind w:left="157" w:right="194" w:firstLine="0"/>
                      <w:jc w:val="both"/>
                      <w:rPr>
                        <w:i/>
                        <w:sz w:val="21"/>
                      </w:rPr>
                    </w:pPr>
                    <w:r>
                      <w:rPr>
                        <w:i/>
                        <w:spacing w:val="-10"/>
                        <w:sz w:val="21"/>
                      </w:rPr>
                      <w:t>项目发展定位</w:t>
                    </w:r>
                  </w:p>
                </w:txbxContent>
              </v:textbox>
            </v:shape>
            <w10:wrap type="none"/>
          </v:group>
        </w:pict>
      </w:r>
    </w:p>
    <w:p>
      <w:pPr>
        <w:pStyle w:val="BodyText"/>
        <w:spacing w:before="8"/>
        <w:ind w:left="0"/>
        <w:rPr>
          <w:sz w:val="23"/>
        </w:rPr>
      </w:pPr>
    </w:p>
    <w:p>
      <w:pPr>
        <w:pStyle w:val="Heading2"/>
        <w:spacing w:line="428" w:lineRule="exact"/>
      </w:pPr>
      <w:bookmarkStart w:id="15" w:name="_TOC_250021"/>
      <w:r>
        <w:rPr>
          <w:spacing w:val="-16"/>
        </w:rPr>
        <w:t>（一</w:t>
      </w:r>
      <w:r>
        <w:rPr>
          <w:spacing w:val="-136"/>
        </w:rPr>
        <w:t>）</w:t>
      </w:r>
      <w:bookmarkEnd w:id="15"/>
      <w:r>
        <w:rPr>
          <w:spacing w:val="-16"/>
        </w:rPr>
        <w:t>、发展商定位</w:t>
      </w:r>
    </w:p>
    <w:p>
      <w:pPr>
        <w:pStyle w:val="BodyText"/>
        <w:spacing w:before="138" w:line="391" w:lineRule="auto"/>
        <w:ind w:right="463" w:firstLine="590"/>
      </w:pPr>
      <w:r>
        <w:rPr>
          <w:spacing w:val="-14"/>
        </w:rPr>
        <w:t>兴博进地产从属长泰实业集团旗下地产开发公司，于通过文ft政府招商引资进驻文ft</w:t>
      </w:r>
      <w:r>
        <w:rPr>
          <w:spacing w:val="-18"/>
        </w:rPr>
        <w:t>地产行业，公司下辖经贸公司及房地产开发公司，重要从事业务为石油网络建设与开发、新</w:t>
      </w:r>
      <w:r>
        <w:rPr>
          <w:spacing w:val="-18"/>
        </w:rPr>
        <w:t>型墙体材料生产、电力开发建设及房地产开发，随着公司的发展，已逐步含有了一定的资金</w:t>
      </w:r>
      <w:r>
        <w:rPr>
          <w:spacing w:val="-18"/>
        </w:rPr>
        <w:t>实力。通过市场调查理解及分析，结合公司本身的实力和特点，凭借与云南省明都房地产公</w:t>
      </w:r>
      <w:r>
        <w:rPr>
          <w:spacing w:val="-16"/>
        </w:rPr>
        <w:t>司在富宁县合作开发芙蓉庭、樱花廊庭、富兴社区等房地产的成功经验，公司把文ft县城北</w:t>
      </w:r>
      <w:r>
        <w:rPr>
          <w:spacing w:val="-14"/>
        </w:rPr>
        <w:t>卧龙片区中天世纪城项目作为公司进军文ft</w:t>
      </w:r>
      <w:r>
        <w:rPr>
          <w:spacing w:val="-23"/>
        </w:rPr>
        <w:t>县房地产行业的第一站，而本项目也将是公司迈</w:t>
      </w:r>
      <w:r>
        <w:rPr>
          <w:spacing w:val="-22"/>
        </w:rPr>
        <w:t>向新台阶的第一步，对实现公司的发展战略含有重要意义。文</w:t>
      </w:r>
      <w:r>
        <w:rPr>
          <w:spacing w:val="-14"/>
        </w:rPr>
        <w:t>ft州兴博进房地产开发有限公</w:t>
      </w:r>
      <w:r>
        <w:rPr>
          <w:spacing w:val="-18"/>
        </w:rPr>
        <w:t>司始终坚持新起点、高原则、严规定、出精品的思想，发明出自己的房地产开发经营理念，</w:t>
      </w:r>
      <w:r>
        <w:rPr>
          <w:spacing w:val="-4"/>
        </w:rPr>
        <w:t>为文ft人民建造更多的精品楼盘。</w:t>
      </w:r>
    </w:p>
    <w:p>
      <w:pPr>
        <w:pStyle w:val="Heading2"/>
        <w:spacing w:line="351" w:lineRule="exact"/>
      </w:pPr>
      <w:bookmarkStart w:id="16" w:name="_TOC_250020"/>
      <w:r>
        <w:rPr>
          <w:spacing w:val="-16"/>
        </w:rPr>
        <w:t>（二</w:t>
      </w:r>
      <w:r>
        <w:rPr>
          <w:spacing w:val="-136"/>
        </w:rPr>
        <w:t>）</w:t>
      </w:r>
      <w:bookmarkEnd w:id="16"/>
      <w:r>
        <w:rPr>
          <w:spacing w:val="-16"/>
        </w:rPr>
        <w:t>、市场定位</w:t>
      </w:r>
    </w:p>
    <w:p>
      <w:pPr>
        <w:pStyle w:val="BodyText"/>
        <w:spacing w:before="137" w:line="391" w:lineRule="auto"/>
        <w:ind w:right="463" w:firstLine="590"/>
      </w:pPr>
      <w:r>
        <w:rPr>
          <w:spacing w:val="-12"/>
        </w:rPr>
        <w:t>中天世纪项目位于文ft城北卧龙新区，</w:t>
      </w:r>
      <w:r>
        <w:rPr>
          <w:i w:val="0"/>
          <w:spacing w:val="-12"/>
        </w:rPr>
        <w:t>100</w:t>
      </w:r>
      <w:r>
        <w:rPr>
          <w:i w:val="0"/>
          <w:spacing w:val="-69"/>
        </w:rPr>
        <w:t xml:space="preserve"> </w:t>
      </w:r>
      <w:r>
        <w:rPr>
          <w:spacing w:val="-12"/>
        </w:rPr>
        <w:t>米市政景观大道旁凤凰ft下，紧临新州政</w:t>
      </w:r>
      <w:r>
        <w:rPr>
          <w:spacing w:val="-14"/>
        </w:rPr>
        <w:t>府办公大楼，是地处龙头的</w:t>
      </w:r>
      <w:r>
        <w:rPr>
          <w:i w:val="0"/>
          <w:spacing w:val="-14"/>
        </w:rPr>
        <w:t>“</w:t>
      </w:r>
      <w:r>
        <w:rPr>
          <w:spacing w:val="-14"/>
        </w:rPr>
        <w:t>风水宝地</w:t>
      </w:r>
      <w:r>
        <w:rPr>
          <w:i w:val="0"/>
          <w:spacing w:val="-88"/>
        </w:rPr>
        <w:t>”</w:t>
      </w:r>
      <w:r>
        <w:rPr>
          <w:spacing w:val="-28"/>
        </w:rPr>
        <w:t>，含有很高的</w:t>
      </w:r>
      <w:r>
        <w:rPr>
          <w:spacing w:val="-14"/>
        </w:rPr>
        <w:t>ft</w:t>
      </w:r>
      <w:r>
        <w:rPr>
          <w:spacing w:val="-20"/>
        </w:rPr>
        <w:t xml:space="preserve">水自然景观价值，总用地 </w:t>
      </w:r>
      <w:r>
        <w:rPr>
          <w:i w:val="0"/>
          <w:spacing w:val="-14"/>
        </w:rPr>
        <w:t>1500</w:t>
      </w:r>
      <w:r>
        <w:rPr>
          <w:i w:val="0"/>
          <w:spacing w:val="-69"/>
        </w:rPr>
        <w:t xml:space="preserve"> </w:t>
      </w:r>
      <w:r>
        <w:rPr>
          <w:spacing w:val="-14"/>
        </w:rPr>
        <w:t>亩属</w:t>
      </w:r>
      <w:r>
        <w:rPr>
          <w:spacing w:val="-14"/>
        </w:rPr>
        <w:t>现在文ft</w:t>
      </w:r>
      <w:r>
        <w:rPr>
          <w:spacing w:val="-23"/>
        </w:rPr>
        <w:t>市内第一大盘，建成后将成为新区内标志性的高端别墅居住社区。社区内景观设计</w:t>
      </w:r>
      <w:r>
        <w:rPr>
          <w:spacing w:val="-16"/>
        </w:rPr>
        <w:t>依靠ft水形成独特的园林风光，并规划建有文ft现在唯一高尔夫球场，建筑群体高低错落，</w:t>
      </w:r>
      <w:r>
        <w:rPr>
          <w:spacing w:val="-18"/>
        </w:rPr>
        <w:t>风格简约，低容积高绿化，展示一种前所未有的、当代的、舒适的、生态的生活环境和高品</w:t>
      </w:r>
      <w:r>
        <w:rPr>
          <w:spacing w:val="-2"/>
        </w:rPr>
        <w:t>质生活的追求。</w:t>
      </w:r>
    </w:p>
    <w:p>
      <w:pPr>
        <w:pStyle w:val="BodyText"/>
        <w:spacing w:line="391" w:lineRule="auto"/>
        <w:ind w:right="552" w:firstLine="446"/>
      </w:pPr>
      <w:r>
        <w:rPr>
          <w:spacing w:val="-24"/>
        </w:rPr>
        <w:t>与项现在期宣传相结合，建仪后期市场以风水宝地，高品质豪宅体现业主身份地位为主</w:t>
      </w:r>
      <w:r>
        <w:rPr>
          <w:spacing w:val="-6"/>
        </w:rPr>
        <w:t>导：</w:t>
      </w:r>
    </w:p>
    <w:p>
      <w:pPr>
        <w:pStyle w:val="Heading2"/>
        <w:spacing w:line="360" w:lineRule="exact"/>
        <w:ind w:left="1129"/>
      </w:pPr>
      <w:r>
        <w:rPr>
          <w:spacing w:val="-16"/>
        </w:rPr>
        <w:t>“天生龙脉，传承王者逸墅”</w:t>
      </w:r>
    </w:p>
    <w:p>
      <w:pPr>
        <w:spacing w:before="52" w:line="314" w:lineRule="auto"/>
        <w:ind w:left="571" w:right="552" w:firstLine="0"/>
        <w:jc w:val="left"/>
        <w:rPr>
          <w:i/>
          <w:sz w:val="24"/>
        </w:rPr>
      </w:pPr>
      <w:r>
        <w:rPr>
          <w:rFonts w:ascii="Microsoft JhengHei" w:eastAsia="Microsoft JhengHei" w:hAnsi="Microsoft JhengHei"/>
          <w:b/>
          <w:spacing w:val="-18"/>
          <w:sz w:val="24"/>
        </w:rPr>
        <w:t>天生龙脉</w:t>
      </w:r>
      <w:r>
        <w:rPr>
          <w:spacing w:val="-18"/>
          <w:sz w:val="24"/>
        </w:rPr>
        <w:t>——</w:t>
      </w:r>
      <w:r>
        <w:rPr>
          <w:i/>
          <w:spacing w:val="-37"/>
          <w:sz w:val="24"/>
        </w:rPr>
        <w:t xml:space="preserve">地处 </w:t>
      </w:r>
      <w:r>
        <w:rPr>
          <w:spacing w:val="-18"/>
          <w:sz w:val="24"/>
        </w:rPr>
        <w:t>100</w:t>
      </w:r>
      <w:r>
        <w:rPr>
          <w:spacing w:val="-65"/>
          <w:sz w:val="24"/>
        </w:rPr>
        <w:t xml:space="preserve"> </w:t>
      </w:r>
      <w:r>
        <w:rPr>
          <w:i/>
          <w:spacing w:val="-18"/>
          <w:sz w:val="24"/>
        </w:rPr>
        <w:t>米市政大道凤凰ft下</w:t>
      </w:r>
      <w:r>
        <w:rPr>
          <w:spacing w:val="-18"/>
          <w:sz w:val="24"/>
        </w:rPr>
        <w:t>“</w:t>
      </w:r>
      <w:r>
        <w:rPr>
          <w:i/>
          <w:spacing w:val="-18"/>
          <w:sz w:val="24"/>
        </w:rPr>
        <w:t>龙头</w:t>
      </w:r>
      <w:r>
        <w:rPr>
          <w:spacing w:val="-18"/>
          <w:sz w:val="24"/>
        </w:rPr>
        <w:t>”</w:t>
      </w:r>
      <w:r>
        <w:rPr>
          <w:i/>
          <w:spacing w:val="-18"/>
          <w:sz w:val="24"/>
        </w:rPr>
        <w:t>位置，与最高行政中心相邻，是公认的</w:t>
      </w:r>
      <w:r>
        <w:rPr>
          <w:i/>
          <w:spacing w:val="-2"/>
          <w:sz w:val="24"/>
        </w:rPr>
        <w:t>风水宝地；</w:t>
      </w:r>
    </w:p>
    <w:p>
      <w:pPr>
        <w:pStyle w:val="BodyText"/>
        <w:spacing w:before="19" w:line="314" w:lineRule="auto"/>
        <w:ind w:right="552"/>
      </w:pPr>
      <w:r>
        <w:rPr>
          <w:rFonts w:ascii="Microsoft JhengHei" w:eastAsia="Microsoft JhengHei" w:hAnsi="Microsoft JhengHei"/>
          <w:b/>
          <w:i w:val="0"/>
          <w:spacing w:val="-16"/>
        </w:rPr>
        <w:t>传承</w:t>
      </w:r>
      <w:r>
        <w:rPr>
          <w:i w:val="0"/>
          <w:spacing w:val="-16"/>
        </w:rPr>
        <w:t>——</w:t>
      </w:r>
      <w:r>
        <w:rPr>
          <w:spacing w:val="-28"/>
        </w:rPr>
        <w:t xml:space="preserve">项目通过 </w:t>
      </w:r>
      <w:r>
        <w:rPr>
          <w:i w:val="0"/>
          <w:spacing w:val="-16"/>
        </w:rPr>
        <w:t>3</w:t>
      </w:r>
      <w:r>
        <w:rPr>
          <w:i w:val="0"/>
          <w:spacing w:val="-63"/>
        </w:rPr>
        <w:t xml:space="preserve"> </w:t>
      </w:r>
      <w:r>
        <w:rPr>
          <w:spacing w:val="-27"/>
        </w:rPr>
        <w:t>年的发展历程，辉煌成就有目共睹，后期开发延续典型，龙头脉地世代</w:t>
      </w:r>
      <w:r>
        <w:rPr>
          <w:spacing w:val="-4"/>
        </w:rPr>
        <w:t>相传。</w:t>
      </w:r>
    </w:p>
    <w:p>
      <w:pPr>
        <w:spacing w:after="0" w:line="314" w:lineRule="auto"/>
        <w:sectPr>
          <w:pgSz w:w="11910" w:h="16840"/>
          <w:pgMar w:top="280" w:right="960" w:bottom="280" w:left="960" w:header="708" w:footer="708"/>
          <w:pgNumType w:start="9"/>
          <w:cols w:space="708"/>
        </w:sectPr>
      </w:pPr>
    </w:p>
    <w:p>
      <w:pPr>
        <w:spacing w:before="0" w:line="405" w:lineRule="exact"/>
        <w:ind w:left="571" w:right="0" w:firstLine="0"/>
        <w:jc w:val="left"/>
        <w:rPr>
          <w:sz w:val="24"/>
        </w:rPr>
      </w:pPr>
      <w:r>
        <w:rPr>
          <w:rFonts w:ascii="Microsoft JhengHei" w:eastAsia="Microsoft JhengHei" w:hAnsi="Microsoft JhengHei"/>
          <w:b/>
          <w:spacing w:val="-18"/>
          <w:sz w:val="24"/>
        </w:rPr>
        <w:t>逸墅</w:t>
      </w:r>
      <w:r>
        <w:rPr>
          <w:spacing w:val="-18"/>
          <w:sz w:val="24"/>
        </w:rPr>
        <w:t>——自然ft水景观，背ft面水，100 亩人工湖、森林公园、简约建筑风格、第一大盘无</w:t>
      </w:r>
    </w:p>
    <w:p>
      <w:pPr>
        <w:spacing w:before="138"/>
        <w:ind w:left="571" w:right="0" w:firstLine="0"/>
        <w:jc w:val="left"/>
        <w:rPr>
          <w:sz w:val="24"/>
        </w:rPr>
      </w:pPr>
      <w:r>
        <w:rPr>
          <w:spacing w:val="-18"/>
          <w:sz w:val="24"/>
        </w:rPr>
        <w:t>一不彰显“飘逸”的生活情调，呈现一种境界和霸气。</w:t>
      </w:r>
    </w:p>
    <w:p>
      <w:pPr>
        <w:pStyle w:val="Heading2"/>
        <w:spacing w:before="113"/>
      </w:pPr>
      <w:bookmarkStart w:id="17" w:name="_TOC_250019"/>
      <w:bookmarkEnd w:id="17"/>
      <w:r>
        <w:rPr>
          <w:spacing w:val="-12"/>
        </w:rPr>
        <w:t>1、项目主题定位</w:t>
      </w:r>
    </w:p>
    <w:p>
      <w:pPr>
        <w:spacing w:before="138" w:line="391" w:lineRule="auto"/>
        <w:ind w:left="571" w:right="552" w:firstLine="470"/>
        <w:jc w:val="left"/>
        <w:rPr>
          <w:sz w:val="24"/>
        </w:rPr>
      </w:pPr>
      <w:r>
        <w:rPr>
          <w:spacing w:val="-25"/>
          <w:sz w:val="24"/>
        </w:rPr>
        <w:t>中天世纪，案名给人以豪迈霸气的感觉，“世纪”代表一种规模大气宏观的空间感，作</w:t>
      </w:r>
      <w:r>
        <w:rPr>
          <w:spacing w:val="-12"/>
          <w:sz w:val="24"/>
        </w:rPr>
        <w:t>为文ft市第一大盘，将来内无法超越和复制的典型，一种时代的象征和坐标。</w:t>
      </w:r>
    </w:p>
    <w:p>
      <w:pPr>
        <w:spacing w:before="0" w:line="305" w:lineRule="exact"/>
        <w:ind w:left="571" w:right="0" w:firstLine="0"/>
        <w:jc w:val="left"/>
        <w:rPr>
          <w:sz w:val="24"/>
        </w:rPr>
      </w:pPr>
      <w:r>
        <w:rPr>
          <w:spacing w:val="-18"/>
          <w:sz w:val="24"/>
        </w:rPr>
        <w:t>结合实际主题定位建议为：</w:t>
      </w:r>
    </w:p>
    <w:p>
      <w:pPr>
        <w:spacing w:before="113"/>
        <w:ind w:left="571" w:right="0" w:firstLine="0"/>
        <w:jc w:val="left"/>
        <w:rPr>
          <w:rFonts w:ascii="Microsoft JhengHei" w:eastAsia="Microsoft JhengHei" w:hAnsi="Microsoft JhengHei"/>
          <w:b/>
          <w:sz w:val="24"/>
        </w:rPr>
      </w:pPr>
      <w:r>
        <w:rPr>
          <w:rFonts w:ascii="Microsoft JhengHei" w:eastAsia="Microsoft JhengHei" w:hAnsi="Microsoft JhengHei"/>
          <w:b/>
          <w:spacing w:val="-20"/>
          <w:sz w:val="24"/>
        </w:rPr>
        <w:t>——100 万平米高尔夫水岸纯花园别墅；</w:t>
      </w:r>
    </w:p>
    <w:p>
      <w:pPr>
        <w:spacing w:before="59" w:line="271" w:lineRule="auto"/>
        <w:ind w:left="571" w:right="4833" w:firstLine="0"/>
        <w:jc w:val="left"/>
        <w:rPr>
          <w:rFonts w:ascii="Microsoft JhengHei" w:eastAsia="Microsoft JhengHei" w:hAnsi="Microsoft JhengHei"/>
          <w:b/>
          <w:sz w:val="24"/>
        </w:rPr>
      </w:pPr>
      <w:r>
        <w:rPr>
          <w:rFonts w:ascii="Microsoft JhengHei" w:eastAsia="Microsoft JhengHei" w:hAnsi="Microsoft JhengHei"/>
          <w:b/>
          <w:spacing w:val="-16"/>
          <w:sz w:val="24"/>
        </w:rPr>
        <w:t>——1500</w:t>
      </w:r>
      <w:r>
        <w:rPr>
          <w:rFonts w:ascii="Microsoft JhengHei" w:eastAsia="Microsoft JhengHei" w:hAnsi="Microsoft JhengHei"/>
          <w:b/>
          <w:spacing w:val="-15"/>
          <w:sz w:val="24"/>
        </w:rPr>
        <w:t xml:space="preserve"> 亩凤凰</w:t>
      </w:r>
      <w:r>
        <w:rPr>
          <w:rFonts w:ascii="Microsoft JhengHei" w:eastAsia="Microsoft JhengHei" w:hAnsi="Microsoft JhengHei"/>
          <w:b/>
          <w:spacing w:val="-16"/>
          <w:sz w:val="24"/>
        </w:rPr>
        <w:t>ft</w:t>
      </w:r>
      <w:r>
        <w:rPr>
          <w:rFonts w:ascii="Microsoft JhengHei" w:eastAsia="Microsoft JhengHei" w:hAnsi="Microsoft JhengHei"/>
          <w:b/>
          <w:spacing w:val="-16"/>
          <w:sz w:val="24"/>
        </w:rPr>
        <w:t xml:space="preserve">下行政中心豪景健康城邦。 </w:t>
      </w:r>
      <w:r>
        <w:rPr>
          <w:rFonts w:ascii="Microsoft JhengHei" w:eastAsia="Microsoft JhengHei" w:hAnsi="Microsoft JhengHei"/>
          <w:b/>
          <w:sz w:val="24"/>
        </w:rPr>
        <w:t>2</w:t>
      </w:r>
      <w:r>
        <w:rPr>
          <w:rFonts w:ascii="Microsoft JhengHei" w:eastAsia="Microsoft JhengHei" w:hAnsi="Microsoft JhengHei"/>
          <w:b/>
          <w:spacing w:val="2"/>
          <w:sz w:val="24"/>
        </w:rPr>
        <w:t>、项目形象定位</w:t>
      </w:r>
    </w:p>
    <w:p>
      <w:pPr>
        <w:spacing w:before="2"/>
        <w:ind w:left="571" w:right="0" w:firstLine="0"/>
        <w:jc w:val="left"/>
        <w:rPr>
          <w:rFonts w:ascii="Microsoft JhengHei" w:eastAsia="Microsoft JhengHei"/>
          <w:b/>
          <w:sz w:val="24"/>
        </w:rPr>
      </w:pPr>
      <w:r>
        <w:rPr>
          <w:rFonts w:ascii="Microsoft JhengHei" w:eastAsia="Microsoft JhengHei"/>
          <w:b/>
          <w:spacing w:val="-16"/>
          <w:sz w:val="24"/>
        </w:rPr>
        <w:t>核心价值</w:t>
      </w:r>
    </w:p>
    <w:p>
      <w:pPr>
        <w:spacing w:before="138" w:line="391" w:lineRule="auto"/>
        <w:ind w:left="571" w:right="552" w:firstLine="0"/>
        <w:jc w:val="left"/>
        <w:rPr>
          <w:sz w:val="24"/>
        </w:rPr>
      </w:pPr>
      <w:r>
        <w:rPr>
          <w:spacing w:val="-20"/>
          <w:sz w:val="24"/>
        </w:rPr>
        <w:t>通过诉求项目大盘环境优势和地段配套优势、公司品牌优势，呈现本项目的规模、景观、品</w:t>
      </w:r>
      <w:r>
        <w:rPr>
          <w:spacing w:val="-12"/>
          <w:sz w:val="24"/>
        </w:rPr>
        <w:t>质带来“闲逸”的动感生活空间，树立高端豪宅大社区的市场形象。</w:t>
      </w:r>
    </w:p>
    <w:p>
      <w:pPr>
        <w:pStyle w:val="Heading2"/>
        <w:spacing w:line="360" w:lineRule="exact"/>
      </w:pPr>
      <w:r>
        <w:rPr>
          <w:spacing w:val="-20"/>
        </w:rPr>
        <w:t>——</w:t>
      </w:r>
      <w:r>
        <w:rPr>
          <w:spacing w:val="-20"/>
        </w:rPr>
        <w:t>大盘环境和地段配套优势</w:t>
      </w:r>
    </w:p>
    <w:p>
      <w:pPr>
        <w:spacing w:before="138" w:line="391" w:lineRule="auto"/>
        <w:ind w:left="571" w:right="552" w:firstLine="470"/>
        <w:jc w:val="left"/>
        <w:rPr>
          <w:sz w:val="24"/>
        </w:rPr>
      </w:pPr>
      <w:r>
        <w:rPr>
          <w:spacing w:val="-20"/>
          <w:sz w:val="24"/>
        </w:rPr>
        <w:t>受人口规模和都市综合发展等因素限制，文</w:t>
      </w:r>
      <w:r>
        <w:rPr>
          <w:spacing w:val="-16"/>
          <w:sz w:val="24"/>
        </w:rPr>
        <w:t>ft</w:t>
      </w:r>
      <w:r>
        <w:rPr>
          <w:spacing w:val="-20"/>
          <w:sz w:val="24"/>
        </w:rPr>
        <w:t>市房地产开发市场项目普遍规模不大，环</w:t>
      </w:r>
      <w:r>
        <w:rPr>
          <w:spacing w:val="-10"/>
          <w:sz w:val="24"/>
        </w:rPr>
        <w:t>境景观设计受地块影响都较为传统，缺少自然ft水景观。</w:t>
      </w:r>
    </w:p>
    <w:p>
      <w:pPr>
        <w:spacing w:before="0" w:line="391" w:lineRule="auto"/>
        <w:ind w:left="571" w:right="552" w:firstLine="470"/>
        <w:jc w:val="both"/>
        <w:rPr>
          <w:sz w:val="24"/>
        </w:rPr>
      </w:pPr>
      <w:r>
        <w:rPr>
          <w:spacing w:val="-21"/>
          <w:sz w:val="24"/>
        </w:rPr>
        <w:t xml:space="preserve">中天世纪总占地 </w:t>
      </w:r>
      <w:r>
        <w:rPr>
          <w:spacing w:val="-22"/>
          <w:sz w:val="24"/>
        </w:rPr>
        <w:t>1500</w:t>
      </w:r>
      <w:r>
        <w:rPr>
          <w:spacing w:val="-21"/>
          <w:sz w:val="24"/>
        </w:rPr>
        <w:t xml:space="preserve"> 亩，建筑面积超出 </w:t>
      </w:r>
      <w:r>
        <w:rPr>
          <w:spacing w:val="-22"/>
          <w:sz w:val="24"/>
        </w:rPr>
        <w:t>100 万平米，社区内依靠自然地理条件引进水</w:t>
      </w:r>
      <w:r>
        <w:rPr>
          <w:spacing w:val="-22"/>
          <w:sz w:val="24"/>
        </w:rPr>
        <w:t>景观，背靠凤凰ft</w:t>
      </w:r>
      <w:r>
        <w:rPr>
          <w:spacing w:val="-20"/>
          <w:sz w:val="24"/>
        </w:rPr>
        <w:t xml:space="preserve">，前临盘龙河，相邻 </w:t>
      </w:r>
      <w:r>
        <w:rPr>
          <w:spacing w:val="-22"/>
          <w:sz w:val="24"/>
        </w:rPr>
        <w:t>100 亩人工湖、大型森林公园，绿化高，生态环境健</w:t>
      </w:r>
      <w:r>
        <w:rPr>
          <w:spacing w:val="-20"/>
          <w:sz w:val="24"/>
        </w:rPr>
        <w:t>康优美，是文ft市现在超级大盘，内无法超越和复制。项目配套设施、品质内涵等含有绝对</w:t>
      </w:r>
      <w:r>
        <w:rPr>
          <w:spacing w:val="-20"/>
          <w:sz w:val="24"/>
        </w:rPr>
        <w:t>的市场支配性地位，建成后将成为文ft市高档居住别墅区的地杆坐标。其“龙头脉地”的地</w:t>
      </w:r>
      <w:r>
        <w:rPr>
          <w:spacing w:val="-10"/>
          <w:sz w:val="24"/>
        </w:rPr>
        <w:t>理优势，周边生活及商业配套日趋健全，成就文ft市明星楼盘。</w:t>
      </w:r>
    </w:p>
    <w:p>
      <w:pPr>
        <w:pStyle w:val="BodyText"/>
        <w:spacing w:before="2"/>
        <w:ind w:left="0"/>
        <w:rPr>
          <w:i w:val="0"/>
          <w:sz w:val="32"/>
        </w:rPr>
      </w:pPr>
    </w:p>
    <w:p>
      <w:pPr>
        <w:pStyle w:val="Heading2"/>
      </w:pPr>
      <w:r>
        <w:rPr>
          <w:spacing w:val="-22"/>
        </w:rPr>
        <w:t>——</w:t>
      </w:r>
      <w:r>
        <w:rPr>
          <w:spacing w:val="-22"/>
        </w:rPr>
        <w:t>品牌效应</w:t>
      </w:r>
    </w:p>
    <w:p>
      <w:pPr>
        <w:spacing w:before="138" w:line="391" w:lineRule="auto"/>
        <w:ind w:left="571" w:right="552" w:firstLine="470"/>
        <w:jc w:val="both"/>
        <w:rPr>
          <w:sz w:val="24"/>
        </w:rPr>
      </w:pPr>
      <w:r>
        <w:rPr>
          <w:spacing w:val="-16"/>
          <w:sz w:val="24"/>
        </w:rPr>
        <w:t>中天世纪历经 3 年的建设和发展，见证了兴博进地产公司先进的开发经营理念及雄厚</w:t>
      </w:r>
      <w:r>
        <w:rPr>
          <w:spacing w:val="-21"/>
          <w:sz w:val="24"/>
        </w:rPr>
        <w:t xml:space="preserve">的资金实力，御景园今年 </w:t>
      </w:r>
      <w:r>
        <w:rPr>
          <w:spacing w:val="-22"/>
          <w:sz w:val="24"/>
        </w:rPr>
        <w:t>3</w:t>
      </w:r>
      <w:r>
        <w:rPr>
          <w:spacing w:val="-20"/>
          <w:sz w:val="24"/>
        </w:rPr>
        <w:t xml:space="preserve"> 月顺利交房，</w:t>
      </w:r>
      <w:r>
        <w:rPr>
          <w:spacing w:val="-22"/>
          <w:sz w:val="24"/>
        </w:rPr>
        <w:t>400 多为业主的高度评价及承认，赢得了良好的市</w:t>
      </w:r>
      <w:r>
        <w:rPr>
          <w:spacing w:val="-4"/>
          <w:sz w:val="24"/>
        </w:rPr>
        <w:t>场口碑。</w:t>
      </w:r>
    </w:p>
    <w:p>
      <w:pPr>
        <w:spacing w:before="0" w:line="304" w:lineRule="exact"/>
        <w:ind w:left="1041" w:right="0" w:firstLine="0"/>
        <w:jc w:val="left"/>
        <w:rPr>
          <w:sz w:val="24"/>
        </w:rPr>
      </w:pPr>
      <w:r>
        <w:rPr>
          <w:spacing w:val="-18"/>
          <w:sz w:val="24"/>
        </w:rPr>
        <w:t>充足整合大盘优势资源和公司品牌优势，是获得项目长久开发成功的扎实基础。</w:t>
      </w:r>
    </w:p>
    <w:p>
      <w:pPr>
        <w:pStyle w:val="Heading2"/>
        <w:spacing w:before="113"/>
      </w:pPr>
      <w:r>
        <w:rPr>
          <w:spacing w:val="-16"/>
        </w:rPr>
        <w:t>核心价值分析</w:t>
      </w:r>
    </w:p>
    <w:p>
      <w:pPr>
        <w:spacing w:before="138"/>
        <w:ind w:left="1041" w:right="0" w:firstLine="0"/>
        <w:jc w:val="left"/>
        <w:rPr>
          <w:sz w:val="24"/>
        </w:rPr>
      </w:pPr>
      <w:r>
        <w:rPr>
          <w:spacing w:val="-18"/>
          <w:sz w:val="24"/>
        </w:rPr>
        <w:t>根据市场状况、前期推广及项目本身特点，本项目产品核心价值以三条线来整合卖点，</w:t>
      </w:r>
    </w:p>
    <w:p>
      <w:pPr>
        <w:spacing w:after="0"/>
        <w:jc w:val="left"/>
        <w:rPr>
          <w:sz w:val="24"/>
        </w:rPr>
        <w:sectPr>
          <w:pgSz w:w="11910" w:h="16840"/>
          <w:pgMar w:top="1460" w:right="960" w:bottom="280" w:left="960" w:header="708" w:footer="708"/>
          <w:pgNumType w:start="10"/>
          <w:cols w:space="708"/>
        </w:sectPr>
      </w:pPr>
    </w:p>
    <w:p>
      <w:pPr>
        <w:spacing w:before="43"/>
        <w:ind w:left="571" w:right="0" w:firstLine="0"/>
        <w:jc w:val="left"/>
        <w:rPr>
          <w:sz w:val="24"/>
        </w:rPr>
      </w:pPr>
      <w:r>
        <w:rPr>
          <w:spacing w:val="-18"/>
          <w:sz w:val="24"/>
        </w:rPr>
        <w:t>打造项目的核心利益点，以有效区隔于市场上其它项目。</w:t>
      </w:r>
    </w:p>
    <w:p>
      <w:pPr>
        <w:pStyle w:val="Heading2"/>
        <w:spacing w:before="113"/>
      </w:pPr>
      <w:r>
        <w:rPr>
          <w:spacing w:val="-10"/>
        </w:rPr>
        <w:t xml:space="preserve">线路 </w:t>
      </w:r>
      <w:r>
        <w:rPr>
          <w:spacing w:val="-18"/>
        </w:rPr>
        <w:t>1：风水宝地，天生龙脉</w:t>
      </w:r>
    </w:p>
    <w:p>
      <w:pPr>
        <w:spacing w:before="138" w:line="391" w:lineRule="auto"/>
        <w:ind w:left="571" w:right="552" w:firstLine="470"/>
        <w:jc w:val="both"/>
        <w:rPr>
          <w:sz w:val="24"/>
        </w:rPr>
      </w:pPr>
      <w:r>
        <w:rPr>
          <w:spacing w:val="-20"/>
          <w:sz w:val="24"/>
        </w:rPr>
        <w:t>受传统文化的影响，本地居民对于住家“风水”比较重视，特别是处在事业稳步发展阶</w:t>
      </w:r>
      <w:r>
        <w:rPr>
          <w:spacing w:val="-22"/>
          <w:sz w:val="24"/>
        </w:rPr>
        <w:t>段的各行业精英人士，潜意识里看重“风水”，追求生活品质品位的同时，更讲究的是风水</w:t>
      </w:r>
      <w:r>
        <w:rPr>
          <w:spacing w:val="-8"/>
          <w:sz w:val="24"/>
        </w:rPr>
        <w:t>宝地住家体现自己的社会阶层和身份地位。</w:t>
      </w:r>
    </w:p>
    <w:p>
      <w:pPr>
        <w:pStyle w:val="Heading2"/>
        <w:spacing w:line="358" w:lineRule="exact"/>
      </w:pPr>
      <w:r>
        <w:rPr>
          <w:spacing w:val="-10"/>
        </w:rPr>
        <w:t xml:space="preserve">线路 </w:t>
      </w:r>
      <w:r>
        <w:rPr>
          <w:spacing w:val="-18"/>
        </w:rPr>
        <w:t>2：景观环境，规模配套</w:t>
      </w:r>
    </w:p>
    <w:p>
      <w:pPr>
        <w:spacing w:before="138" w:line="391" w:lineRule="auto"/>
        <w:ind w:left="571" w:right="439" w:firstLine="470"/>
        <w:jc w:val="left"/>
        <w:rPr>
          <w:sz w:val="24"/>
        </w:rPr>
      </w:pPr>
      <w:r>
        <w:rPr>
          <w:spacing w:val="-18"/>
          <w:sz w:val="24"/>
        </w:rPr>
        <w:t>改善居住条件，偏重的是选择地段好交通便捷，景观别致的社区。大规模的生态景观，</w:t>
      </w:r>
      <w:r>
        <w:rPr>
          <w:spacing w:val="-6"/>
          <w:sz w:val="24"/>
        </w:rPr>
        <w:t>给人予闲情逸致、崇高休闲的生活情调。</w:t>
      </w:r>
    </w:p>
    <w:p>
      <w:pPr>
        <w:pStyle w:val="Heading2"/>
        <w:spacing w:line="360" w:lineRule="exact"/>
      </w:pPr>
      <w:r>
        <w:rPr>
          <w:spacing w:val="-10"/>
        </w:rPr>
        <w:t xml:space="preserve">线路 </w:t>
      </w:r>
      <w:r>
        <w:rPr>
          <w:spacing w:val="-18"/>
        </w:rPr>
        <w:t>3：品质品位，品牌影响</w:t>
      </w:r>
    </w:p>
    <w:p>
      <w:pPr>
        <w:spacing w:before="138" w:line="391" w:lineRule="auto"/>
        <w:ind w:left="571" w:right="432" w:firstLine="350"/>
        <w:jc w:val="left"/>
        <w:rPr>
          <w:sz w:val="24"/>
        </w:rPr>
      </w:pPr>
      <w:r>
        <w:rPr>
          <w:spacing w:val="-14"/>
          <w:sz w:val="24"/>
        </w:rPr>
        <w:t>“含有高品质高端的产品，只有品牌公司能制造”这是大众消费的心理取向。中天世纪</w:t>
      </w:r>
      <w:r>
        <w:rPr>
          <w:spacing w:val="-29"/>
          <w:sz w:val="24"/>
        </w:rPr>
        <w:t>作为一种超级大盘项目，开发周期相对较长，树立良好的社会公开形象，确立行业品牌地位，</w:t>
      </w:r>
      <w:r>
        <w:rPr>
          <w:spacing w:val="-20"/>
          <w:sz w:val="24"/>
        </w:rPr>
        <w:t>从而打造项目的高端品质，赢得老少皆知的良好大众口碑宣传，方能为项目畅销发明一种决</w:t>
      </w:r>
      <w:r>
        <w:rPr>
          <w:spacing w:val="-2"/>
          <w:sz w:val="24"/>
        </w:rPr>
        <w:t>定性的有利条件。</w:t>
      </w:r>
    </w:p>
    <w:p>
      <w:pPr>
        <w:pStyle w:val="Heading2"/>
        <w:spacing w:line="357" w:lineRule="exact"/>
      </w:pPr>
      <w:bookmarkStart w:id="18" w:name="_TOC_250018"/>
      <w:r>
        <w:rPr>
          <w:spacing w:val="-20"/>
        </w:rPr>
        <w:t>3</w:t>
      </w:r>
      <w:bookmarkEnd w:id="18"/>
      <w:r>
        <w:rPr>
          <w:spacing w:val="-20"/>
        </w:rPr>
        <w:t>、客户群体定位</w:t>
      </w:r>
    </w:p>
    <w:p>
      <w:pPr>
        <w:pStyle w:val="ListParagraph"/>
        <w:numPr>
          <w:ilvl w:val="0"/>
          <w:numId w:val="14"/>
        </w:numPr>
        <w:tabs>
          <w:tab w:val="left" w:pos="812"/>
        </w:tabs>
        <w:spacing w:before="138" w:after="0" w:line="391" w:lineRule="auto"/>
        <w:ind w:left="571" w:right="463" w:firstLine="0"/>
        <w:jc w:val="left"/>
        <w:rPr>
          <w:sz w:val="24"/>
        </w:rPr>
      </w:pPr>
      <w:r>
        <w:rPr>
          <w:spacing w:val="-21"/>
          <w:sz w:val="24"/>
        </w:rPr>
        <w:t>根据市场调查报告及客户分析报告可知，本项目的目的客户是本地实力财富阶层，有一定</w:t>
      </w:r>
      <w:r>
        <w:rPr>
          <w:spacing w:val="-18"/>
          <w:sz w:val="24"/>
        </w:rPr>
        <w:t xml:space="preserve">事业基础的中高收入阶层；年纪在 </w:t>
      </w:r>
      <w:r>
        <w:rPr>
          <w:spacing w:val="-14"/>
          <w:sz w:val="24"/>
        </w:rPr>
        <w:t>40</w:t>
      </w:r>
      <w:r>
        <w:rPr>
          <w:spacing w:val="-21"/>
          <w:sz w:val="24"/>
        </w:rPr>
        <w:t xml:space="preserve"> 岁左右，单位工作稳定和行业精英，同时是有一定的</w:t>
      </w:r>
      <w:r>
        <w:rPr>
          <w:spacing w:val="-18"/>
          <w:sz w:val="24"/>
        </w:rPr>
        <w:t>社会地位，家庭人口在三口和四口以上的家庭为主；他们但愿能拥有轻松自由的生活空间，</w:t>
      </w:r>
      <w:r>
        <w:rPr>
          <w:spacing w:val="-23"/>
          <w:sz w:val="24"/>
        </w:rPr>
        <w:t>但又与繁华地区亲密联系；他们乐意白天尽情享有都市的喧嚣和繁华，晚上回到属于自己的</w:t>
      </w:r>
      <w:r>
        <w:rPr>
          <w:spacing w:val="-18"/>
          <w:sz w:val="24"/>
        </w:rPr>
        <w:t>舒适、优美、自由的环境空间和家人共同分享生活的温馨与愉快；他们还能够在自已的朋友与亲戚面前彰显本身的地位。他们可能是公司的金领阶层，可能是自由生意人，也可能是外</w:t>
      </w:r>
      <w:r>
        <w:rPr>
          <w:spacing w:val="-4"/>
          <w:sz w:val="24"/>
        </w:rPr>
        <w:t>资公司在文ft的高级管理人员……</w:t>
      </w:r>
    </w:p>
    <w:p>
      <w:pPr>
        <w:pStyle w:val="ListParagraph"/>
        <w:numPr>
          <w:ilvl w:val="0"/>
          <w:numId w:val="14"/>
        </w:numPr>
        <w:tabs>
          <w:tab w:val="left" w:pos="812"/>
        </w:tabs>
        <w:spacing w:before="0" w:after="0" w:line="391" w:lineRule="auto"/>
        <w:ind w:left="571" w:right="552" w:firstLine="0"/>
        <w:jc w:val="left"/>
        <w:rPr>
          <w:sz w:val="24"/>
        </w:rPr>
      </w:pPr>
      <w:r>
        <w:rPr>
          <w:spacing w:val="-20"/>
          <w:sz w:val="24"/>
        </w:rPr>
        <w:t>另外部分就是文ft大量特殊行业（矿业、三七、房地产、隐性行业）等大量民间资本的存</w:t>
      </w:r>
      <w:r>
        <w:rPr>
          <w:spacing w:val="-8"/>
          <w:sz w:val="24"/>
        </w:rPr>
        <w:t>在，是购置高端物业的和大量商住物业的主力群体。</w:t>
      </w:r>
    </w:p>
    <w:p>
      <w:pPr>
        <w:spacing w:after="0" w:line="391" w:lineRule="auto"/>
        <w:jc w:val="left"/>
        <w:rPr>
          <w:sz w:val="24"/>
        </w:rPr>
        <w:sectPr>
          <w:pgSz w:w="11910" w:h="16840"/>
          <w:pgMar w:top="1460" w:right="960" w:bottom="280" w:left="960" w:header="708" w:footer="708"/>
          <w:pgNumType w:start="11"/>
          <w:cols w:space="708"/>
        </w:sectPr>
      </w:pPr>
    </w:p>
    <w:p>
      <w:pPr>
        <w:spacing w:before="43"/>
        <w:ind w:left="571" w:right="0" w:firstLine="0"/>
        <w:jc w:val="left"/>
        <w:rPr>
          <w:sz w:val="24"/>
        </w:rPr>
      </w:pPr>
      <w:r>
        <w:rPr>
          <w:spacing w:val="-16"/>
          <w:sz w:val="24"/>
        </w:rPr>
        <w:t>3.1、目的市场细分</w:t>
      </w:r>
    </w:p>
    <w:p>
      <w:pPr>
        <w:spacing w:before="192"/>
        <w:ind w:left="571" w:right="0" w:firstLine="0"/>
        <w:jc w:val="left"/>
        <w:rPr>
          <w:sz w:val="24"/>
        </w:rPr>
      </w:pPr>
      <w:r>
        <w:rPr>
          <w:spacing w:val="-18"/>
          <w:sz w:val="24"/>
        </w:rPr>
        <w:t>——企事业单位、公务员工作收入稳定，含有经济实力想变化居住环境的人群；</w:t>
      </w:r>
    </w:p>
    <w:p>
      <w:pPr>
        <w:spacing w:before="193"/>
        <w:ind w:left="571" w:right="0" w:firstLine="0"/>
        <w:jc w:val="left"/>
        <w:rPr>
          <w:sz w:val="24"/>
        </w:rPr>
      </w:pPr>
      <w:r>
        <w:rPr>
          <w:spacing w:val="-18"/>
          <w:sz w:val="24"/>
        </w:rPr>
        <w:t>——生意人，行业精英或领袖级别的高收入人群；</w:t>
      </w:r>
    </w:p>
    <w:p>
      <w:pPr>
        <w:spacing w:before="192"/>
        <w:ind w:left="571" w:right="0" w:firstLine="0"/>
        <w:jc w:val="left"/>
        <w:rPr>
          <w:sz w:val="24"/>
        </w:rPr>
      </w:pPr>
      <w:r>
        <w:rPr>
          <w:spacing w:val="-20"/>
          <w:sz w:val="24"/>
        </w:rPr>
        <w:t xml:space="preserve">——年纪层次重要为 </w:t>
      </w:r>
      <w:r>
        <w:rPr>
          <w:spacing w:val="-16"/>
          <w:sz w:val="24"/>
        </w:rPr>
        <w:t>35——50</w:t>
      </w:r>
      <w:r>
        <w:rPr>
          <w:spacing w:val="-21"/>
          <w:sz w:val="24"/>
        </w:rPr>
        <w:t xml:space="preserve"> 岁之间，含有超前消费意识和生活品味人士；</w:t>
      </w:r>
    </w:p>
    <w:p>
      <w:pPr>
        <w:spacing w:before="193"/>
        <w:ind w:left="571" w:right="0" w:firstLine="0"/>
        <w:jc w:val="left"/>
        <w:rPr>
          <w:sz w:val="24"/>
        </w:rPr>
      </w:pPr>
      <w:r>
        <w:rPr>
          <w:spacing w:val="-19"/>
          <w:sz w:val="24"/>
        </w:rPr>
        <w:t xml:space="preserve">——含有一定的社会地位，家庭组员以 </w:t>
      </w:r>
      <w:r>
        <w:rPr>
          <w:spacing w:val="-16"/>
          <w:sz w:val="24"/>
        </w:rPr>
        <w:t>3、5</w:t>
      </w:r>
      <w:r>
        <w:rPr>
          <w:spacing w:val="-22"/>
          <w:sz w:val="24"/>
        </w:rPr>
        <w:t xml:space="preserve"> 口构成的高收入家庭；</w:t>
      </w:r>
    </w:p>
    <w:p>
      <w:pPr>
        <w:spacing w:before="192" w:line="391" w:lineRule="auto"/>
        <w:ind w:left="571" w:right="3350" w:firstLine="0"/>
        <w:jc w:val="left"/>
        <w:rPr>
          <w:sz w:val="24"/>
        </w:rPr>
      </w:pPr>
      <w:r>
        <w:rPr>
          <w:spacing w:val="-16"/>
          <w:sz w:val="24"/>
        </w:rPr>
        <w:t xml:space="preserve">——少数有第二职业以外收入的公务员及高收入自由职业者。 </w:t>
      </w:r>
      <w:r>
        <w:rPr>
          <w:spacing w:val="-2"/>
          <w:sz w:val="24"/>
        </w:rPr>
        <w:t>3.2、目的市场选择</w:t>
      </w:r>
    </w:p>
    <w:p>
      <w:pPr>
        <w:spacing w:before="0" w:line="391" w:lineRule="auto"/>
        <w:ind w:left="571" w:right="552" w:firstLine="470"/>
        <w:jc w:val="left"/>
        <w:rPr>
          <w:sz w:val="24"/>
        </w:rPr>
      </w:pPr>
      <w:r>
        <w:rPr>
          <w:spacing w:val="-16"/>
          <w:sz w:val="24"/>
        </w:rPr>
        <w:t>重要集中在文ft</w:t>
      </w:r>
      <w:r>
        <w:rPr>
          <w:spacing w:val="-20"/>
          <w:sz w:val="24"/>
        </w:rPr>
        <w:t>市区内及周边乡镇以种植三七为主产业的地区，县城以富宁、砚</w:t>
      </w:r>
      <w:r>
        <w:rPr>
          <w:spacing w:val="-16"/>
          <w:sz w:val="24"/>
        </w:rPr>
        <w:t>ft</w:t>
      </w:r>
      <w:r>
        <w:rPr>
          <w:spacing w:val="-35"/>
          <w:sz w:val="24"/>
        </w:rPr>
        <w:t>、麻</w:t>
      </w:r>
      <w:r>
        <w:rPr>
          <w:spacing w:val="-6"/>
          <w:sz w:val="24"/>
        </w:rPr>
        <w:t>栗坡、马关为主，少数外来投资者。</w:t>
      </w:r>
    </w:p>
    <w:p>
      <w:pPr>
        <w:spacing w:before="0" w:after="31" w:line="305" w:lineRule="exact"/>
        <w:ind w:left="571" w:right="0" w:firstLine="0"/>
        <w:jc w:val="left"/>
        <w:rPr>
          <w:sz w:val="24"/>
        </w:rPr>
      </w:pPr>
      <w:r>
        <w:rPr>
          <w:spacing w:val="-16"/>
          <w:sz w:val="24"/>
        </w:rPr>
        <w:t>3.3、购房影响因素及心理分析</w:t>
      </w:r>
    </w:p>
    <w:tbl>
      <w:tblPr>
        <w:tblStyle w:val="TableNormal1"/>
        <w:tblW w:w="0" w:type="auto"/>
        <w:jc w:val="left"/>
        <w:tblInd w:w="14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08"/>
        <w:gridCol w:w="867"/>
        <w:gridCol w:w="867"/>
        <w:gridCol w:w="867"/>
        <w:gridCol w:w="868"/>
        <w:gridCol w:w="868"/>
        <w:gridCol w:w="868"/>
        <w:gridCol w:w="816"/>
      </w:tblGrid>
      <w:tr>
        <w:tblPrEx>
          <w:tblW w:w="0" w:type="auto"/>
          <w:jc w:val="left"/>
          <w:tblInd w:w="14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00"/>
          <w:jc w:val="left"/>
        </w:trPr>
        <w:tc>
          <w:tcPr>
            <w:tcW w:w="1008" w:type="dxa"/>
          </w:tcPr>
          <w:p>
            <w:pPr>
              <w:pStyle w:val="TableParagraph"/>
              <w:spacing w:before="10"/>
              <w:rPr>
                <w:sz w:val="14"/>
              </w:rPr>
            </w:pPr>
          </w:p>
          <w:p>
            <w:pPr>
              <w:pStyle w:val="TableParagraph"/>
              <w:ind w:left="108"/>
              <w:rPr>
                <w:sz w:val="21"/>
              </w:rPr>
            </w:pPr>
            <w:r>
              <w:rPr>
                <w:spacing w:val="-18"/>
                <w:sz w:val="21"/>
              </w:rPr>
              <w:t>购房因素</w:t>
            </w:r>
          </w:p>
        </w:tc>
        <w:tc>
          <w:tcPr>
            <w:tcW w:w="867" w:type="dxa"/>
          </w:tcPr>
          <w:p>
            <w:pPr>
              <w:pStyle w:val="TableParagraph"/>
              <w:spacing w:before="10"/>
              <w:rPr>
                <w:sz w:val="14"/>
              </w:rPr>
            </w:pPr>
          </w:p>
          <w:p>
            <w:pPr>
              <w:pStyle w:val="TableParagraph"/>
              <w:ind w:left="108"/>
              <w:rPr>
                <w:sz w:val="21"/>
              </w:rPr>
            </w:pPr>
            <w:r>
              <w:rPr>
                <w:spacing w:val="-14"/>
                <w:sz w:val="21"/>
              </w:rPr>
              <w:t>位置</w:t>
            </w:r>
          </w:p>
        </w:tc>
        <w:tc>
          <w:tcPr>
            <w:tcW w:w="867" w:type="dxa"/>
          </w:tcPr>
          <w:p>
            <w:pPr>
              <w:pStyle w:val="TableParagraph"/>
              <w:spacing w:before="10"/>
              <w:rPr>
                <w:sz w:val="14"/>
              </w:rPr>
            </w:pPr>
          </w:p>
          <w:p>
            <w:pPr>
              <w:pStyle w:val="TableParagraph"/>
              <w:ind w:left="108"/>
              <w:rPr>
                <w:sz w:val="21"/>
              </w:rPr>
            </w:pPr>
            <w:r>
              <w:rPr>
                <w:spacing w:val="-14"/>
                <w:sz w:val="21"/>
              </w:rPr>
              <w:t>环境</w:t>
            </w:r>
          </w:p>
        </w:tc>
        <w:tc>
          <w:tcPr>
            <w:tcW w:w="867" w:type="dxa"/>
          </w:tcPr>
          <w:p>
            <w:pPr>
              <w:pStyle w:val="TableParagraph"/>
              <w:spacing w:before="10"/>
              <w:rPr>
                <w:sz w:val="14"/>
              </w:rPr>
            </w:pPr>
          </w:p>
          <w:p>
            <w:pPr>
              <w:pStyle w:val="TableParagraph"/>
              <w:ind w:left="108"/>
              <w:rPr>
                <w:sz w:val="21"/>
              </w:rPr>
            </w:pPr>
            <w:r>
              <w:rPr>
                <w:spacing w:val="-14"/>
                <w:sz w:val="21"/>
              </w:rPr>
              <w:t>价格</w:t>
            </w:r>
          </w:p>
        </w:tc>
        <w:tc>
          <w:tcPr>
            <w:tcW w:w="868" w:type="dxa"/>
          </w:tcPr>
          <w:p>
            <w:pPr>
              <w:pStyle w:val="TableParagraph"/>
              <w:spacing w:before="10"/>
              <w:rPr>
                <w:sz w:val="14"/>
              </w:rPr>
            </w:pPr>
          </w:p>
          <w:p>
            <w:pPr>
              <w:pStyle w:val="TableParagraph"/>
              <w:ind w:left="107"/>
              <w:rPr>
                <w:sz w:val="21"/>
              </w:rPr>
            </w:pPr>
            <w:r>
              <w:rPr>
                <w:spacing w:val="-14"/>
                <w:sz w:val="21"/>
              </w:rPr>
              <w:t>品牌</w:t>
            </w:r>
          </w:p>
        </w:tc>
        <w:tc>
          <w:tcPr>
            <w:tcW w:w="868" w:type="dxa"/>
          </w:tcPr>
          <w:p>
            <w:pPr>
              <w:pStyle w:val="TableParagraph"/>
              <w:spacing w:before="10"/>
              <w:rPr>
                <w:sz w:val="14"/>
              </w:rPr>
            </w:pPr>
          </w:p>
          <w:p>
            <w:pPr>
              <w:pStyle w:val="TableParagraph"/>
              <w:ind w:left="108"/>
              <w:rPr>
                <w:sz w:val="21"/>
              </w:rPr>
            </w:pPr>
            <w:r>
              <w:rPr>
                <w:spacing w:val="-14"/>
                <w:sz w:val="21"/>
              </w:rPr>
              <w:t>配套</w:t>
            </w:r>
          </w:p>
        </w:tc>
        <w:tc>
          <w:tcPr>
            <w:tcW w:w="868" w:type="dxa"/>
          </w:tcPr>
          <w:p>
            <w:pPr>
              <w:pStyle w:val="TableParagraph"/>
              <w:spacing w:before="10"/>
              <w:rPr>
                <w:sz w:val="14"/>
              </w:rPr>
            </w:pPr>
          </w:p>
          <w:p>
            <w:pPr>
              <w:pStyle w:val="TableParagraph"/>
              <w:ind w:left="108"/>
              <w:rPr>
                <w:sz w:val="21"/>
              </w:rPr>
            </w:pPr>
            <w:r>
              <w:rPr>
                <w:spacing w:val="-14"/>
                <w:sz w:val="21"/>
              </w:rPr>
              <w:t>交通</w:t>
            </w:r>
          </w:p>
        </w:tc>
        <w:tc>
          <w:tcPr>
            <w:tcW w:w="816" w:type="dxa"/>
          </w:tcPr>
          <w:p>
            <w:pPr>
              <w:pStyle w:val="TableParagraph"/>
              <w:spacing w:before="10"/>
              <w:rPr>
                <w:sz w:val="14"/>
              </w:rPr>
            </w:pPr>
          </w:p>
          <w:p>
            <w:pPr>
              <w:pStyle w:val="TableParagraph"/>
              <w:ind w:left="107"/>
              <w:rPr>
                <w:sz w:val="21"/>
              </w:rPr>
            </w:pPr>
            <w:r>
              <w:rPr>
                <w:spacing w:val="-14"/>
                <w:sz w:val="21"/>
              </w:rPr>
              <w:t>物管</w:t>
            </w:r>
          </w:p>
        </w:tc>
      </w:tr>
      <w:tr>
        <w:tblPrEx>
          <w:tblW w:w="0" w:type="auto"/>
          <w:jc w:val="left"/>
          <w:tblInd w:w="1483" w:type="dxa"/>
          <w:tblLayout w:type="fixed"/>
          <w:tblCellMar>
            <w:top w:w="0" w:type="dxa"/>
            <w:left w:w="0" w:type="dxa"/>
            <w:bottom w:w="0" w:type="dxa"/>
            <w:right w:w="0" w:type="dxa"/>
          </w:tblCellMar>
          <w:tblLook w:val="01E0"/>
        </w:tblPrEx>
        <w:trPr>
          <w:trHeight w:val="500"/>
          <w:jc w:val="left"/>
        </w:trPr>
        <w:tc>
          <w:tcPr>
            <w:tcW w:w="1008" w:type="dxa"/>
          </w:tcPr>
          <w:p>
            <w:pPr>
              <w:pStyle w:val="TableParagraph"/>
              <w:spacing w:before="10"/>
              <w:rPr>
                <w:sz w:val="14"/>
              </w:rPr>
            </w:pPr>
          </w:p>
          <w:p>
            <w:pPr>
              <w:pStyle w:val="TableParagraph"/>
              <w:ind w:left="108"/>
              <w:rPr>
                <w:sz w:val="21"/>
              </w:rPr>
            </w:pPr>
            <w:r>
              <w:rPr>
                <w:spacing w:val="-14"/>
                <w:sz w:val="21"/>
              </w:rPr>
              <w:t>比例</w:t>
            </w:r>
          </w:p>
        </w:tc>
        <w:tc>
          <w:tcPr>
            <w:tcW w:w="867" w:type="dxa"/>
          </w:tcPr>
          <w:p>
            <w:pPr>
              <w:pStyle w:val="TableParagraph"/>
              <w:spacing w:before="11"/>
              <w:rPr>
                <w:sz w:val="15"/>
              </w:rPr>
            </w:pPr>
          </w:p>
          <w:p>
            <w:pPr>
              <w:pStyle w:val="TableParagraph"/>
              <w:ind w:left="108"/>
              <w:rPr>
                <w:rFonts w:ascii="Times New Roman"/>
                <w:sz w:val="21"/>
              </w:rPr>
            </w:pPr>
            <w:r>
              <w:rPr>
                <w:rFonts w:ascii="Times New Roman"/>
                <w:spacing w:val="-5"/>
                <w:sz w:val="21"/>
              </w:rPr>
              <w:t>16%</w:t>
            </w:r>
          </w:p>
        </w:tc>
        <w:tc>
          <w:tcPr>
            <w:tcW w:w="867" w:type="dxa"/>
          </w:tcPr>
          <w:p>
            <w:pPr>
              <w:pStyle w:val="TableParagraph"/>
              <w:spacing w:before="11"/>
              <w:rPr>
                <w:sz w:val="15"/>
              </w:rPr>
            </w:pPr>
          </w:p>
          <w:p>
            <w:pPr>
              <w:pStyle w:val="TableParagraph"/>
              <w:ind w:left="108"/>
              <w:rPr>
                <w:rFonts w:ascii="Times New Roman"/>
                <w:sz w:val="21"/>
              </w:rPr>
            </w:pPr>
            <w:r>
              <w:rPr>
                <w:rFonts w:ascii="Times New Roman"/>
                <w:spacing w:val="-5"/>
                <w:sz w:val="21"/>
              </w:rPr>
              <w:t>25%</w:t>
            </w:r>
          </w:p>
        </w:tc>
        <w:tc>
          <w:tcPr>
            <w:tcW w:w="867" w:type="dxa"/>
          </w:tcPr>
          <w:p>
            <w:pPr>
              <w:pStyle w:val="TableParagraph"/>
              <w:spacing w:before="11"/>
              <w:rPr>
                <w:sz w:val="15"/>
              </w:rPr>
            </w:pPr>
          </w:p>
          <w:p>
            <w:pPr>
              <w:pStyle w:val="TableParagraph"/>
              <w:ind w:left="108"/>
              <w:rPr>
                <w:rFonts w:ascii="Times New Roman"/>
                <w:sz w:val="21"/>
              </w:rPr>
            </w:pPr>
            <w:r>
              <w:rPr>
                <w:rFonts w:ascii="Times New Roman"/>
                <w:spacing w:val="-5"/>
                <w:sz w:val="21"/>
              </w:rPr>
              <w:t>25%</w:t>
            </w:r>
          </w:p>
        </w:tc>
        <w:tc>
          <w:tcPr>
            <w:tcW w:w="868" w:type="dxa"/>
          </w:tcPr>
          <w:p>
            <w:pPr>
              <w:pStyle w:val="TableParagraph"/>
              <w:spacing w:before="11"/>
              <w:rPr>
                <w:sz w:val="15"/>
              </w:rPr>
            </w:pPr>
          </w:p>
          <w:p>
            <w:pPr>
              <w:pStyle w:val="TableParagraph"/>
              <w:ind w:left="107"/>
              <w:rPr>
                <w:rFonts w:ascii="Times New Roman"/>
                <w:sz w:val="21"/>
              </w:rPr>
            </w:pPr>
            <w:r>
              <w:rPr>
                <w:rFonts w:ascii="Times New Roman"/>
                <w:spacing w:val="-5"/>
                <w:sz w:val="21"/>
              </w:rPr>
              <w:t>5%</w:t>
            </w:r>
          </w:p>
        </w:tc>
        <w:tc>
          <w:tcPr>
            <w:tcW w:w="868" w:type="dxa"/>
          </w:tcPr>
          <w:p>
            <w:pPr>
              <w:pStyle w:val="TableParagraph"/>
              <w:spacing w:before="11"/>
              <w:rPr>
                <w:sz w:val="15"/>
              </w:rPr>
            </w:pPr>
          </w:p>
          <w:p>
            <w:pPr>
              <w:pStyle w:val="TableParagraph"/>
              <w:ind w:left="108"/>
              <w:rPr>
                <w:rFonts w:ascii="Times New Roman"/>
                <w:sz w:val="21"/>
              </w:rPr>
            </w:pPr>
            <w:r>
              <w:rPr>
                <w:rFonts w:ascii="Times New Roman"/>
                <w:spacing w:val="-5"/>
                <w:sz w:val="21"/>
              </w:rPr>
              <w:t>10%</w:t>
            </w:r>
          </w:p>
        </w:tc>
        <w:tc>
          <w:tcPr>
            <w:tcW w:w="868" w:type="dxa"/>
          </w:tcPr>
          <w:p>
            <w:pPr>
              <w:pStyle w:val="TableParagraph"/>
              <w:spacing w:before="11"/>
              <w:rPr>
                <w:sz w:val="15"/>
              </w:rPr>
            </w:pPr>
          </w:p>
          <w:p>
            <w:pPr>
              <w:pStyle w:val="TableParagraph"/>
              <w:ind w:left="108"/>
              <w:rPr>
                <w:rFonts w:ascii="Times New Roman"/>
                <w:sz w:val="21"/>
              </w:rPr>
            </w:pPr>
            <w:r>
              <w:rPr>
                <w:rFonts w:ascii="Times New Roman"/>
                <w:spacing w:val="-5"/>
                <w:sz w:val="21"/>
              </w:rPr>
              <w:t>12%</w:t>
            </w:r>
          </w:p>
        </w:tc>
        <w:tc>
          <w:tcPr>
            <w:tcW w:w="816" w:type="dxa"/>
          </w:tcPr>
          <w:p>
            <w:pPr>
              <w:pStyle w:val="TableParagraph"/>
              <w:spacing w:before="11"/>
              <w:rPr>
                <w:sz w:val="15"/>
              </w:rPr>
            </w:pPr>
          </w:p>
          <w:p>
            <w:pPr>
              <w:pStyle w:val="TableParagraph"/>
              <w:ind w:left="107"/>
              <w:rPr>
                <w:rFonts w:ascii="Times New Roman"/>
                <w:sz w:val="21"/>
              </w:rPr>
            </w:pPr>
            <w:r>
              <w:rPr>
                <w:rFonts w:ascii="Times New Roman"/>
                <w:spacing w:val="-5"/>
                <w:sz w:val="21"/>
              </w:rPr>
              <w:t>7%</w:t>
            </w:r>
          </w:p>
        </w:tc>
      </w:tr>
    </w:tbl>
    <w:p>
      <w:pPr>
        <w:pStyle w:val="Heading2"/>
        <w:spacing w:before="80"/>
        <w:ind w:left="702"/>
      </w:pPr>
      <w:r>
        <w:rPr>
          <w:spacing w:val="-16"/>
        </w:rPr>
        <w:t>购置心理：</w:t>
      </w:r>
    </w:p>
    <w:p>
      <w:pPr>
        <w:pStyle w:val="ListParagraph"/>
        <w:numPr>
          <w:ilvl w:val="0"/>
          <w:numId w:val="13"/>
        </w:numPr>
        <w:tabs>
          <w:tab w:val="left" w:pos="957"/>
        </w:tabs>
        <w:spacing w:before="138" w:after="0" w:line="240" w:lineRule="auto"/>
        <w:ind w:left="956" w:right="0" w:hanging="386"/>
        <w:jc w:val="left"/>
        <w:rPr>
          <w:sz w:val="24"/>
        </w:rPr>
      </w:pPr>
      <w:r>
        <w:rPr>
          <w:spacing w:val="-18"/>
          <w:sz w:val="24"/>
        </w:rPr>
        <w:t>重视物业的地段及本身品质，当代人的置业观念对居家的便利度及周边环境规定很高。</w:t>
      </w:r>
    </w:p>
    <w:p>
      <w:pPr>
        <w:pStyle w:val="ListParagraph"/>
        <w:numPr>
          <w:ilvl w:val="0"/>
          <w:numId w:val="13"/>
        </w:numPr>
        <w:tabs>
          <w:tab w:val="left" w:pos="957"/>
        </w:tabs>
        <w:spacing w:before="193" w:after="0" w:line="391" w:lineRule="auto"/>
        <w:ind w:left="571" w:right="552" w:firstLine="0"/>
        <w:jc w:val="left"/>
        <w:rPr>
          <w:sz w:val="24"/>
        </w:rPr>
      </w:pPr>
      <w:r>
        <w:rPr>
          <w:spacing w:val="-18"/>
          <w:sz w:val="24"/>
        </w:rPr>
        <w:t>重视物业功效及配套设立，除了庭院环境及休闲设施以及独享私人天地外，另一方面是</w:t>
      </w:r>
      <w:r>
        <w:rPr>
          <w:spacing w:val="-8"/>
          <w:sz w:val="24"/>
        </w:rPr>
        <w:t>关心智能化、节能环保方法、配套设施等配备。</w:t>
      </w:r>
    </w:p>
    <w:p>
      <w:pPr>
        <w:pStyle w:val="ListParagraph"/>
        <w:numPr>
          <w:ilvl w:val="0"/>
          <w:numId w:val="13"/>
        </w:numPr>
        <w:tabs>
          <w:tab w:val="left" w:pos="991"/>
        </w:tabs>
        <w:spacing w:before="0" w:after="0" w:line="391" w:lineRule="auto"/>
        <w:ind w:left="571" w:right="552" w:firstLine="0"/>
        <w:jc w:val="left"/>
        <w:rPr>
          <w:sz w:val="24"/>
        </w:rPr>
      </w:pPr>
      <w:r>
        <w:rPr>
          <w:spacing w:val="-18"/>
          <w:sz w:val="24"/>
        </w:rPr>
        <w:t>重视物业的形象定位及创新理念，物业本身的文化品位，能够体现业主中上流社会的身</w:t>
      </w:r>
      <w:r>
        <w:rPr>
          <w:spacing w:val="-4"/>
          <w:sz w:val="24"/>
        </w:rPr>
        <w:t>份特点，满足业主精神上的需求。</w:t>
      </w:r>
    </w:p>
    <w:p>
      <w:pPr>
        <w:pStyle w:val="ListParagraph"/>
        <w:numPr>
          <w:ilvl w:val="0"/>
          <w:numId w:val="13"/>
        </w:numPr>
        <w:tabs>
          <w:tab w:val="left" w:pos="957"/>
        </w:tabs>
        <w:spacing w:before="0" w:after="0" w:line="305" w:lineRule="exact"/>
        <w:ind w:left="956" w:right="0" w:hanging="386"/>
        <w:jc w:val="left"/>
        <w:rPr>
          <w:sz w:val="24"/>
        </w:rPr>
      </w:pPr>
      <w:r>
        <w:rPr>
          <w:spacing w:val="-18"/>
          <w:sz w:val="24"/>
        </w:rPr>
        <w:t>重视商圈环境与地段区位的将来发展前景，重视物业品牌，这是本案一大卖点。</w:t>
      </w:r>
    </w:p>
    <w:p>
      <w:pPr>
        <w:pStyle w:val="ListParagraph"/>
        <w:numPr>
          <w:ilvl w:val="0"/>
          <w:numId w:val="13"/>
        </w:numPr>
        <w:tabs>
          <w:tab w:val="left" w:pos="957"/>
        </w:tabs>
        <w:spacing w:before="190" w:after="0" w:line="391" w:lineRule="auto"/>
        <w:ind w:left="571" w:right="552" w:firstLine="0"/>
        <w:jc w:val="left"/>
        <w:rPr>
          <w:sz w:val="24"/>
        </w:rPr>
      </w:pPr>
      <w:r>
        <w:rPr>
          <w:spacing w:val="-18"/>
          <w:sz w:val="24"/>
        </w:rPr>
        <w:t>重视发展商形象，发展商的实力是购房者对购房承诺可信度作出高低判断的一种重要根</w:t>
      </w:r>
      <w:r>
        <w:rPr>
          <w:spacing w:val="-8"/>
          <w:sz w:val="24"/>
        </w:rPr>
        <w:t>据，同时也是对物业品牌形象预期的一种基本准则。</w:t>
      </w:r>
    </w:p>
    <w:p>
      <w:pPr>
        <w:pStyle w:val="ListParagraph"/>
        <w:numPr>
          <w:ilvl w:val="0"/>
          <w:numId w:val="13"/>
        </w:numPr>
        <w:tabs>
          <w:tab w:val="left" w:pos="991"/>
        </w:tabs>
        <w:spacing w:before="0" w:after="0" w:line="391" w:lineRule="auto"/>
        <w:ind w:left="571" w:right="552" w:firstLine="0"/>
        <w:jc w:val="left"/>
        <w:rPr>
          <w:sz w:val="24"/>
        </w:rPr>
      </w:pPr>
      <w:r>
        <w:rPr>
          <w:spacing w:val="-18"/>
          <w:sz w:val="24"/>
        </w:rPr>
        <w:t>重视物业升值能力，对于购置期房的置业者来说，发展商在预售期间的出售价格有否为</w:t>
      </w:r>
      <w:r>
        <w:rPr>
          <w:spacing w:val="-2"/>
          <w:sz w:val="24"/>
        </w:rPr>
        <w:t>业主留有一定的升值空间。</w:t>
      </w:r>
    </w:p>
    <w:p>
      <w:pPr>
        <w:pStyle w:val="ListParagraph"/>
        <w:numPr>
          <w:ilvl w:val="0"/>
          <w:numId w:val="13"/>
        </w:numPr>
        <w:tabs>
          <w:tab w:val="left" w:pos="957"/>
        </w:tabs>
        <w:spacing w:before="0" w:after="0" w:line="391" w:lineRule="auto"/>
        <w:ind w:left="571" w:right="552" w:firstLine="0"/>
        <w:jc w:val="left"/>
        <w:rPr>
          <w:sz w:val="24"/>
        </w:rPr>
      </w:pPr>
      <w:r>
        <w:rPr>
          <w:spacing w:val="-18"/>
          <w:sz w:val="24"/>
        </w:rPr>
        <w:t>重视居住身份的提高，物以类聚，人以群分，住宅物业品牌形象的最大号召力是激起消</w:t>
      </w:r>
      <w:r>
        <w:rPr>
          <w:spacing w:val="-2"/>
          <w:sz w:val="24"/>
        </w:rPr>
        <w:t>费者的阶层归属感和自豪感。</w:t>
      </w:r>
    </w:p>
    <w:p>
      <w:pPr>
        <w:spacing w:after="0" w:line="391" w:lineRule="auto"/>
        <w:jc w:val="left"/>
        <w:rPr>
          <w:sz w:val="24"/>
        </w:rPr>
        <w:sectPr>
          <w:pgSz w:w="11910" w:h="16840"/>
          <w:pgMar w:top="1460" w:right="960" w:bottom="280" w:left="960" w:header="708" w:footer="708"/>
          <w:pgNumType w:start="12"/>
          <w:cols w:space="708"/>
        </w:sectPr>
      </w:pPr>
    </w:p>
    <w:p>
      <w:pPr>
        <w:pStyle w:val="Heading2"/>
        <w:spacing w:line="396" w:lineRule="exact"/>
      </w:pPr>
      <w:bookmarkStart w:id="19" w:name="_TOC_250017"/>
      <w:r>
        <w:rPr>
          <w:spacing w:val="-16"/>
        </w:rPr>
        <w:t>（三</w:t>
      </w:r>
      <w:r>
        <w:rPr>
          <w:spacing w:val="-136"/>
        </w:rPr>
        <w:t>）</w:t>
      </w:r>
      <w:bookmarkEnd w:id="19"/>
      <w:r>
        <w:rPr>
          <w:spacing w:val="-16"/>
        </w:rPr>
        <w:t>、产品定位</w:t>
      </w:r>
    </w:p>
    <w:p>
      <w:pPr>
        <w:spacing w:before="0" w:line="299" w:lineRule="exact"/>
        <w:ind w:left="571" w:right="0" w:firstLine="0"/>
        <w:jc w:val="left"/>
        <w:rPr>
          <w:sz w:val="24"/>
        </w:rPr>
      </w:pPr>
      <w:r>
        <w:rPr>
          <w:spacing w:val="-18"/>
          <w:sz w:val="24"/>
        </w:rPr>
        <w:t>下六个月销售房源定位统计</w:t>
      </w:r>
    </w:p>
    <w:tbl>
      <w:tblPr>
        <w:tblStyle w:val="TableNormal2"/>
        <w:tblW w:w="0" w:type="auto"/>
        <w:jc w:val="left"/>
        <w:tblInd w:w="5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0"/>
        <w:gridCol w:w="1080"/>
        <w:gridCol w:w="707"/>
        <w:gridCol w:w="1953"/>
        <w:gridCol w:w="1080"/>
        <w:gridCol w:w="980"/>
        <w:gridCol w:w="1080"/>
        <w:gridCol w:w="1080"/>
      </w:tblGrid>
      <w:tr>
        <w:tblPrEx>
          <w:tblW w:w="0" w:type="auto"/>
          <w:jc w:val="left"/>
          <w:tblInd w:w="5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1080" w:type="dxa"/>
          </w:tcPr>
          <w:p>
            <w:pPr>
              <w:pStyle w:val="TableParagraph"/>
              <w:spacing w:before="23"/>
              <w:ind w:left="153"/>
              <w:rPr>
                <w:sz w:val="21"/>
              </w:rPr>
            </w:pPr>
            <w:r>
              <w:rPr>
                <w:spacing w:val="-18"/>
                <w:sz w:val="21"/>
              </w:rPr>
              <w:t>组团名称</w:t>
            </w:r>
          </w:p>
        </w:tc>
        <w:tc>
          <w:tcPr>
            <w:tcW w:w="1080" w:type="dxa"/>
          </w:tcPr>
          <w:p>
            <w:pPr>
              <w:pStyle w:val="TableParagraph"/>
              <w:spacing w:before="23"/>
              <w:ind w:left="144" w:right="118"/>
              <w:jc w:val="center"/>
              <w:rPr>
                <w:sz w:val="21"/>
              </w:rPr>
            </w:pPr>
            <w:r>
              <w:rPr>
                <w:spacing w:val="-18"/>
                <w:sz w:val="21"/>
              </w:rPr>
              <w:t>产品类型</w:t>
            </w:r>
          </w:p>
        </w:tc>
        <w:tc>
          <w:tcPr>
            <w:tcW w:w="2660" w:type="dxa"/>
            <w:gridSpan w:val="2"/>
            <w:tcBorders>
              <w:right w:val="dashed" w:sz="4" w:space="0" w:color="000000"/>
            </w:tcBorders>
          </w:tcPr>
          <w:p>
            <w:pPr>
              <w:pStyle w:val="TableParagraph"/>
              <w:spacing w:before="23"/>
              <w:ind w:left="1122" w:right="1096"/>
              <w:jc w:val="center"/>
              <w:rPr>
                <w:sz w:val="21"/>
              </w:rPr>
            </w:pPr>
            <w:r>
              <w:rPr>
                <w:spacing w:val="-14"/>
                <w:sz w:val="21"/>
              </w:rPr>
              <w:t>房型</w:t>
            </w:r>
          </w:p>
        </w:tc>
        <w:tc>
          <w:tcPr>
            <w:tcW w:w="1080" w:type="dxa"/>
            <w:tcBorders>
              <w:left w:val="dashed" w:sz="4" w:space="0" w:color="000000"/>
              <w:right w:val="dashed" w:sz="4" w:space="0" w:color="000000"/>
            </w:tcBorders>
          </w:tcPr>
          <w:p>
            <w:pPr>
              <w:pStyle w:val="TableParagraph"/>
              <w:spacing w:before="23"/>
              <w:ind w:left="346"/>
              <w:rPr>
                <w:sz w:val="21"/>
              </w:rPr>
            </w:pPr>
            <w:r>
              <w:rPr>
                <w:spacing w:val="-14"/>
                <w:sz w:val="21"/>
              </w:rPr>
              <w:t>面积</w:t>
            </w:r>
          </w:p>
        </w:tc>
        <w:tc>
          <w:tcPr>
            <w:tcW w:w="980" w:type="dxa"/>
            <w:tcBorders>
              <w:left w:val="dashed" w:sz="4" w:space="0" w:color="000000"/>
              <w:right w:val="dashed" w:sz="4" w:space="0" w:color="000000"/>
            </w:tcBorders>
          </w:tcPr>
          <w:p>
            <w:pPr>
              <w:pStyle w:val="TableParagraph"/>
              <w:spacing w:before="23"/>
              <w:ind w:left="296"/>
              <w:rPr>
                <w:sz w:val="21"/>
              </w:rPr>
            </w:pPr>
            <w:r>
              <w:rPr>
                <w:spacing w:val="-14"/>
                <w:sz w:val="21"/>
              </w:rPr>
              <w:t>套数</w:t>
            </w:r>
          </w:p>
        </w:tc>
        <w:tc>
          <w:tcPr>
            <w:tcW w:w="1080" w:type="dxa"/>
            <w:tcBorders>
              <w:left w:val="dashed" w:sz="4" w:space="0" w:color="000000"/>
              <w:right w:val="dashed" w:sz="4" w:space="0" w:color="000000"/>
            </w:tcBorders>
          </w:tcPr>
          <w:p>
            <w:pPr>
              <w:pStyle w:val="TableParagraph"/>
              <w:spacing w:before="23"/>
              <w:ind w:left="108"/>
              <w:rPr>
                <w:sz w:val="21"/>
              </w:rPr>
            </w:pPr>
            <w:r>
              <w:rPr>
                <w:spacing w:val="-18"/>
                <w:sz w:val="21"/>
              </w:rPr>
              <w:t>分项累计</w:t>
            </w:r>
          </w:p>
        </w:tc>
        <w:tc>
          <w:tcPr>
            <w:tcW w:w="1080" w:type="dxa"/>
            <w:tcBorders>
              <w:left w:val="dashed" w:sz="4" w:space="0" w:color="000000"/>
            </w:tcBorders>
          </w:tcPr>
          <w:p>
            <w:pPr>
              <w:pStyle w:val="TableParagraph"/>
              <w:spacing w:before="23"/>
              <w:ind w:left="108"/>
              <w:rPr>
                <w:sz w:val="21"/>
              </w:rPr>
            </w:pPr>
            <w:r>
              <w:rPr>
                <w:spacing w:val="-18"/>
                <w:sz w:val="21"/>
              </w:rPr>
              <w:t>房型累计</w:t>
            </w: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val="restart"/>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3"/>
              <w:rPr>
                <w:sz w:val="32"/>
              </w:rPr>
            </w:pPr>
          </w:p>
          <w:p>
            <w:pPr>
              <w:pStyle w:val="TableParagraph"/>
              <w:ind w:left="205"/>
              <w:rPr>
                <w:sz w:val="24"/>
              </w:rPr>
            </w:pPr>
            <w:r>
              <w:rPr>
                <w:spacing w:val="-18"/>
                <w:sz w:val="24"/>
              </w:rPr>
              <w:t>御景园</w:t>
            </w:r>
          </w:p>
        </w:tc>
        <w:tc>
          <w:tcPr>
            <w:tcW w:w="1080" w:type="dxa"/>
            <w:vMerge w:val="restart"/>
          </w:tcPr>
          <w:p>
            <w:pPr>
              <w:pStyle w:val="TableParagraph"/>
              <w:rPr>
                <w:sz w:val="24"/>
              </w:rPr>
            </w:pPr>
          </w:p>
          <w:p>
            <w:pPr>
              <w:pStyle w:val="TableParagraph"/>
              <w:rPr>
                <w:sz w:val="24"/>
              </w:rPr>
            </w:pPr>
          </w:p>
          <w:p>
            <w:pPr>
              <w:pStyle w:val="TableParagraph"/>
              <w:spacing w:before="9"/>
              <w:rPr>
                <w:sz w:val="27"/>
              </w:rPr>
            </w:pPr>
          </w:p>
          <w:p>
            <w:pPr>
              <w:pStyle w:val="TableParagraph"/>
              <w:ind w:left="316"/>
              <w:rPr>
                <w:sz w:val="24"/>
              </w:rPr>
            </w:pPr>
            <w:r>
              <w:rPr>
                <w:spacing w:val="-14"/>
                <w:sz w:val="24"/>
              </w:rPr>
              <w:t>多层</w:t>
            </w:r>
          </w:p>
        </w:tc>
        <w:tc>
          <w:tcPr>
            <w:tcW w:w="707" w:type="dxa"/>
            <w:vMerge w:val="restart"/>
          </w:tcPr>
          <w:p>
            <w:pPr>
              <w:pStyle w:val="TableParagraph"/>
              <w:rPr>
                <w:sz w:val="24"/>
              </w:rPr>
            </w:pPr>
          </w:p>
          <w:p>
            <w:pPr>
              <w:pStyle w:val="TableParagraph"/>
              <w:spacing w:before="179"/>
              <w:ind w:left="130"/>
              <w:rPr>
                <w:sz w:val="24"/>
              </w:rPr>
            </w:pPr>
            <w:r>
              <w:rPr>
                <w:spacing w:val="-14"/>
                <w:sz w:val="24"/>
              </w:rPr>
              <w:t>平层</w:t>
            </w:r>
          </w:p>
        </w:tc>
        <w:tc>
          <w:tcPr>
            <w:tcW w:w="1953" w:type="dxa"/>
            <w:tcBorders>
              <w:right w:val="dashed" w:sz="4" w:space="0" w:color="000000"/>
            </w:tcBorders>
          </w:tcPr>
          <w:p>
            <w:pPr>
              <w:pStyle w:val="TableParagraph"/>
              <w:spacing w:before="4" w:line="288" w:lineRule="exact"/>
              <w:ind w:left="108"/>
              <w:rPr>
                <w:sz w:val="24"/>
              </w:rPr>
            </w:pPr>
            <w:r>
              <w:rPr>
                <w:sz w:val="24"/>
              </w:rPr>
              <w:t>2</w:t>
            </w:r>
            <w:r>
              <w:rPr>
                <w:spacing w:val="-49"/>
                <w:sz w:val="24"/>
              </w:rPr>
              <w:t xml:space="preserve"> 室 </w:t>
            </w:r>
            <w:r>
              <w:rPr>
                <w:sz w:val="24"/>
              </w:rPr>
              <w:t>1</w:t>
            </w:r>
            <w:r>
              <w:rPr>
                <w:spacing w:val="-49"/>
                <w:sz w:val="24"/>
              </w:rPr>
              <w:t xml:space="preserve"> 厅 </w:t>
            </w:r>
            <w:r>
              <w:rPr>
                <w:sz w:val="24"/>
              </w:rPr>
              <w:t>1</w:t>
            </w:r>
            <w:r>
              <w:rPr>
                <w:spacing w:val="-40"/>
                <w:sz w:val="24"/>
              </w:rPr>
              <w:t xml:space="preserve"> 卫</w:t>
            </w: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val="restart"/>
          </w:tcPr>
          <w:p>
            <w:pPr>
              <w:pStyle w:val="TableParagraph"/>
              <w:spacing w:before="5"/>
              <w:rPr>
                <w:sz w:val="25"/>
              </w:rPr>
            </w:pPr>
          </w:p>
          <w:p>
            <w:pPr>
              <w:pStyle w:val="TableParagraph"/>
              <w:spacing w:before="1"/>
              <w:ind w:left="130"/>
              <w:rPr>
                <w:sz w:val="24"/>
              </w:rPr>
            </w:pPr>
            <w:r>
              <w:rPr>
                <w:spacing w:val="-14"/>
                <w:sz w:val="24"/>
              </w:rPr>
              <w:t>复式</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val="restart"/>
          </w:tcPr>
          <w:p>
            <w:pPr>
              <w:pStyle w:val="TableParagraph"/>
              <w:rPr>
                <w:sz w:val="24"/>
              </w:rPr>
            </w:pPr>
          </w:p>
          <w:p>
            <w:pPr>
              <w:pStyle w:val="TableParagraph"/>
              <w:rPr>
                <w:sz w:val="24"/>
              </w:rPr>
            </w:pPr>
          </w:p>
          <w:p>
            <w:pPr>
              <w:pStyle w:val="TableParagraph"/>
              <w:spacing w:before="9"/>
              <w:rPr>
                <w:sz w:val="27"/>
              </w:rPr>
            </w:pPr>
          </w:p>
          <w:p>
            <w:pPr>
              <w:pStyle w:val="TableParagraph"/>
              <w:ind w:left="316"/>
              <w:rPr>
                <w:sz w:val="24"/>
              </w:rPr>
            </w:pPr>
            <w:r>
              <w:rPr>
                <w:spacing w:val="-14"/>
                <w:sz w:val="24"/>
              </w:rPr>
              <w:t>别墅</w:t>
            </w:r>
          </w:p>
        </w:tc>
        <w:tc>
          <w:tcPr>
            <w:tcW w:w="707" w:type="dxa"/>
            <w:vMerge w:val="restart"/>
          </w:tcPr>
          <w:p>
            <w:pPr>
              <w:pStyle w:val="TableParagraph"/>
              <w:rPr>
                <w:sz w:val="24"/>
              </w:rPr>
            </w:pPr>
          </w:p>
          <w:p>
            <w:pPr>
              <w:pStyle w:val="TableParagraph"/>
              <w:spacing w:before="179"/>
              <w:ind w:left="130"/>
              <w:rPr>
                <w:sz w:val="24"/>
              </w:rPr>
            </w:pPr>
            <w:r>
              <w:rPr>
                <w:spacing w:val="-14"/>
                <w:sz w:val="24"/>
              </w:rPr>
              <w:t>联排</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val="restart"/>
          </w:tcPr>
          <w:p>
            <w:pPr>
              <w:pStyle w:val="TableParagraph"/>
              <w:spacing w:before="165"/>
              <w:ind w:left="130"/>
              <w:rPr>
                <w:sz w:val="24"/>
              </w:rPr>
            </w:pPr>
            <w:r>
              <w:rPr>
                <w:spacing w:val="-14"/>
                <w:sz w:val="24"/>
              </w:rPr>
              <w:t>双拼</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tcPr>
          <w:p>
            <w:pPr>
              <w:pStyle w:val="TableParagraph"/>
              <w:spacing w:before="4" w:line="288" w:lineRule="exact"/>
              <w:ind w:left="115" w:right="89"/>
              <w:jc w:val="center"/>
              <w:rPr>
                <w:sz w:val="24"/>
              </w:rPr>
            </w:pPr>
            <w:r>
              <w:rPr>
                <w:spacing w:val="-14"/>
                <w:sz w:val="24"/>
              </w:rPr>
              <w:t>独栋</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tcBorders>
          </w:tcPr>
          <w:p>
            <w:pPr>
              <w:rPr>
                <w:sz w:val="2"/>
                <w:szCs w:val="2"/>
              </w:rPr>
            </w:pPr>
          </w:p>
        </w:tc>
        <w:tc>
          <w:tcPr>
            <w:tcW w:w="1080" w:type="dxa"/>
          </w:tcPr>
          <w:p>
            <w:pPr>
              <w:pStyle w:val="TableParagraph"/>
              <w:spacing w:before="4" w:line="288" w:lineRule="exact"/>
              <w:ind w:left="144" w:right="118"/>
              <w:jc w:val="center"/>
              <w:rPr>
                <w:sz w:val="24"/>
              </w:rPr>
            </w:pPr>
            <w:r>
              <w:rPr>
                <w:spacing w:val="-14"/>
                <w:sz w:val="24"/>
              </w:rPr>
              <w:t>商铺</w:t>
            </w:r>
          </w:p>
        </w:tc>
        <w:tc>
          <w:tcPr>
            <w:tcW w:w="707" w:type="dxa"/>
          </w:tcPr>
          <w:p>
            <w:pPr>
              <w:pStyle w:val="TableParagraph"/>
              <w:spacing w:before="4" w:line="288" w:lineRule="exact"/>
              <w:ind w:left="115" w:right="89"/>
              <w:jc w:val="center"/>
              <w:rPr>
                <w:sz w:val="24"/>
              </w:rPr>
            </w:pPr>
            <w:r>
              <w:rPr>
                <w:spacing w:val="-14"/>
                <w:sz w:val="24"/>
              </w:rPr>
              <w:t>临街</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val="restart"/>
          </w:tcPr>
          <w:p>
            <w:pPr>
              <w:pStyle w:val="TableParagraph"/>
              <w:rPr>
                <w:sz w:val="24"/>
              </w:rPr>
            </w:pPr>
          </w:p>
          <w:p>
            <w:pPr>
              <w:pStyle w:val="TableParagraph"/>
              <w:rPr>
                <w:sz w:val="24"/>
              </w:rPr>
            </w:pPr>
          </w:p>
          <w:p>
            <w:pPr>
              <w:pStyle w:val="TableParagraph"/>
              <w:rPr>
                <w:sz w:val="24"/>
              </w:rPr>
            </w:pPr>
          </w:p>
          <w:p>
            <w:pPr>
              <w:pStyle w:val="TableParagraph"/>
              <w:spacing w:before="208"/>
              <w:ind w:left="205"/>
              <w:rPr>
                <w:sz w:val="24"/>
              </w:rPr>
            </w:pPr>
            <w:r>
              <w:rPr>
                <w:spacing w:val="-18"/>
                <w:sz w:val="24"/>
              </w:rPr>
              <w:t>御兴园</w:t>
            </w:r>
          </w:p>
        </w:tc>
        <w:tc>
          <w:tcPr>
            <w:tcW w:w="1080" w:type="dxa"/>
            <w:vMerge w:val="restart"/>
          </w:tcPr>
          <w:p>
            <w:pPr>
              <w:pStyle w:val="TableParagraph"/>
              <w:rPr>
                <w:sz w:val="24"/>
              </w:rPr>
            </w:pPr>
          </w:p>
          <w:p>
            <w:pPr>
              <w:pStyle w:val="TableParagraph"/>
              <w:rPr>
                <w:sz w:val="24"/>
              </w:rPr>
            </w:pPr>
          </w:p>
          <w:p>
            <w:pPr>
              <w:pStyle w:val="TableParagraph"/>
              <w:spacing w:before="9"/>
              <w:rPr>
                <w:sz w:val="27"/>
              </w:rPr>
            </w:pPr>
          </w:p>
          <w:p>
            <w:pPr>
              <w:pStyle w:val="TableParagraph"/>
              <w:ind w:left="316"/>
              <w:rPr>
                <w:sz w:val="24"/>
              </w:rPr>
            </w:pPr>
            <w:r>
              <w:rPr>
                <w:spacing w:val="-14"/>
                <w:sz w:val="24"/>
              </w:rPr>
              <w:t>别墅</w:t>
            </w:r>
          </w:p>
        </w:tc>
        <w:tc>
          <w:tcPr>
            <w:tcW w:w="707" w:type="dxa"/>
            <w:vMerge w:val="restart"/>
          </w:tcPr>
          <w:p>
            <w:pPr>
              <w:pStyle w:val="TableParagraph"/>
              <w:rPr>
                <w:sz w:val="24"/>
              </w:rPr>
            </w:pPr>
          </w:p>
          <w:p>
            <w:pPr>
              <w:pStyle w:val="TableParagraph"/>
              <w:spacing w:before="179"/>
              <w:ind w:left="130"/>
              <w:rPr>
                <w:sz w:val="24"/>
              </w:rPr>
            </w:pPr>
            <w:r>
              <w:rPr>
                <w:spacing w:val="-14"/>
                <w:sz w:val="24"/>
              </w:rPr>
              <w:t>联排</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val="restart"/>
          </w:tcPr>
          <w:p>
            <w:pPr>
              <w:pStyle w:val="TableParagraph"/>
              <w:spacing w:before="165"/>
              <w:ind w:left="130"/>
              <w:rPr>
                <w:sz w:val="24"/>
              </w:rPr>
            </w:pPr>
            <w:r>
              <w:rPr>
                <w:spacing w:val="-14"/>
                <w:sz w:val="24"/>
              </w:rPr>
              <w:t>双拼</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vMerge/>
            <w:tcBorders>
              <w:top w:val="nil"/>
            </w:tcBorders>
          </w:tcPr>
          <w:p>
            <w:pPr>
              <w:rPr>
                <w:sz w:val="2"/>
                <w:szCs w:val="2"/>
              </w:rPr>
            </w:pPr>
          </w:p>
        </w:tc>
        <w:tc>
          <w:tcPr>
            <w:tcW w:w="707" w:type="dxa"/>
          </w:tcPr>
          <w:p>
            <w:pPr>
              <w:pStyle w:val="TableParagraph"/>
              <w:spacing w:before="4" w:line="288" w:lineRule="exact"/>
              <w:ind w:left="115" w:right="89"/>
              <w:jc w:val="center"/>
              <w:rPr>
                <w:sz w:val="24"/>
              </w:rPr>
            </w:pPr>
            <w:r>
              <w:rPr>
                <w:spacing w:val="-14"/>
                <w:sz w:val="24"/>
              </w:rPr>
              <w:t>独栋</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tcBorders>
          </w:tcPr>
          <w:p>
            <w:pPr>
              <w:rPr>
                <w:sz w:val="2"/>
                <w:szCs w:val="2"/>
              </w:rPr>
            </w:pPr>
          </w:p>
        </w:tc>
        <w:tc>
          <w:tcPr>
            <w:tcW w:w="1080" w:type="dxa"/>
          </w:tcPr>
          <w:p>
            <w:pPr>
              <w:pStyle w:val="TableParagraph"/>
              <w:spacing w:before="4" w:line="288" w:lineRule="exact"/>
              <w:ind w:left="144" w:right="118"/>
              <w:jc w:val="center"/>
              <w:rPr>
                <w:sz w:val="24"/>
              </w:rPr>
            </w:pPr>
            <w:r>
              <w:rPr>
                <w:spacing w:val="-14"/>
                <w:sz w:val="24"/>
              </w:rPr>
              <w:t>商铺</w:t>
            </w:r>
          </w:p>
        </w:tc>
        <w:tc>
          <w:tcPr>
            <w:tcW w:w="707" w:type="dxa"/>
          </w:tcPr>
          <w:p>
            <w:pPr>
              <w:pStyle w:val="TableParagraph"/>
              <w:spacing w:before="4" w:line="288" w:lineRule="exact"/>
              <w:ind w:left="115" w:right="89"/>
              <w:jc w:val="center"/>
              <w:rPr>
                <w:sz w:val="24"/>
              </w:rPr>
            </w:pPr>
            <w:r>
              <w:rPr>
                <w:spacing w:val="-14"/>
                <w:sz w:val="24"/>
              </w:rPr>
              <w:t>临街</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val="restart"/>
            <w:tcBorders>
              <w:bottom w:val="nil"/>
            </w:tcBorders>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3"/>
              <w:rPr>
                <w:sz w:val="32"/>
              </w:rPr>
            </w:pPr>
          </w:p>
          <w:p>
            <w:pPr>
              <w:pStyle w:val="TableParagraph"/>
              <w:ind w:left="205"/>
              <w:rPr>
                <w:sz w:val="24"/>
              </w:rPr>
            </w:pPr>
            <w:r>
              <w:rPr>
                <w:spacing w:val="-18"/>
                <w:sz w:val="24"/>
              </w:rPr>
              <w:t>御进园</w:t>
            </w:r>
          </w:p>
        </w:tc>
        <w:tc>
          <w:tcPr>
            <w:tcW w:w="1080" w:type="dxa"/>
            <w:vMerge w:val="restart"/>
          </w:tcPr>
          <w:p>
            <w:pPr>
              <w:pStyle w:val="TableParagraph"/>
              <w:rPr>
                <w:sz w:val="24"/>
              </w:rPr>
            </w:pPr>
          </w:p>
          <w:p>
            <w:pPr>
              <w:pStyle w:val="TableParagraph"/>
              <w:rPr>
                <w:sz w:val="24"/>
              </w:rPr>
            </w:pPr>
          </w:p>
          <w:p>
            <w:pPr>
              <w:pStyle w:val="TableParagraph"/>
              <w:spacing w:before="9"/>
              <w:rPr>
                <w:sz w:val="27"/>
              </w:rPr>
            </w:pPr>
          </w:p>
          <w:p>
            <w:pPr>
              <w:pStyle w:val="TableParagraph"/>
              <w:ind w:left="316"/>
              <w:rPr>
                <w:sz w:val="24"/>
              </w:rPr>
            </w:pPr>
            <w:r>
              <w:rPr>
                <w:spacing w:val="-14"/>
                <w:sz w:val="24"/>
              </w:rPr>
              <w:t>多层</w:t>
            </w:r>
          </w:p>
        </w:tc>
        <w:tc>
          <w:tcPr>
            <w:tcW w:w="707" w:type="dxa"/>
            <w:vMerge w:val="restart"/>
          </w:tcPr>
          <w:p>
            <w:pPr>
              <w:pStyle w:val="TableParagraph"/>
              <w:rPr>
                <w:sz w:val="24"/>
              </w:rPr>
            </w:pPr>
          </w:p>
          <w:p>
            <w:pPr>
              <w:pStyle w:val="TableParagraph"/>
              <w:spacing w:before="179"/>
              <w:ind w:left="130"/>
              <w:rPr>
                <w:sz w:val="24"/>
              </w:rPr>
            </w:pPr>
            <w:r>
              <w:rPr>
                <w:spacing w:val="-14"/>
                <w:sz w:val="24"/>
              </w:rPr>
              <w:t>平层</w:t>
            </w:r>
          </w:p>
        </w:tc>
        <w:tc>
          <w:tcPr>
            <w:tcW w:w="1953" w:type="dxa"/>
            <w:tcBorders>
              <w:right w:val="dashed" w:sz="4" w:space="0" w:color="000000"/>
            </w:tcBorders>
          </w:tcPr>
          <w:p>
            <w:pPr>
              <w:pStyle w:val="TableParagraph"/>
              <w:spacing w:before="4" w:line="288" w:lineRule="exact"/>
              <w:ind w:left="108"/>
              <w:rPr>
                <w:sz w:val="24"/>
              </w:rPr>
            </w:pPr>
            <w:r>
              <w:rPr>
                <w:sz w:val="24"/>
              </w:rPr>
              <w:t>3</w:t>
            </w:r>
            <w:r>
              <w:rPr>
                <w:spacing w:val="-49"/>
                <w:sz w:val="24"/>
              </w:rPr>
              <w:t xml:space="preserve"> 室 </w:t>
            </w:r>
            <w:r>
              <w:rPr>
                <w:sz w:val="24"/>
              </w:rPr>
              <w:t>2</w:t>
            </w:r>
            <w:r>
              <w:rPr>
                <w:spacing w:val="-49"/>
                <w:sz w:val="24"/>
              </w:rPr>
              <w:t xml:space="preserve"> 厅 </w:t>
            </w:r>
            <w:r>
              <w:rPr>
                <w:sz w:val="24"/>
              </w:rPr>
              <w:t>2</w:t>
            </w:r>
            <w:r>
              <w:rPr>
                <w:spacing w:val="-40"/>
                <w:sz w:val="24"/>
              </w:rPr>
              <w:t xml:space="preserve"> 卫</w:t>
            </w: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val="restart"/>
          </w:tcPr>
          <w:p>
            <w:pPr>
              <w:pStyle w:val="TableParagraph"/>
              <w:spacing w:before="5"/>
              <w:rPr>
                <w:sz w:val="25"/>
              </w:rPr>
            </w:pPr>
          </w:p>
          <w:p>
            <w:pPr>
              <w:pStyle w:val="TableParagraph"/>
              <w:spacing w:before="1"/>
              <w:ind w:left="130"/>
              <w:rPr>
                <w:sz w:val="24"/>
              </w:rPr>
            </w:pPr>
            <w:r>
              <w:rPr>
                <w:spacing w:val="-14"/>
                <w:sz w:val="24"/>
              </w:rPr>
              <w:t>复式</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2"/>
          <w:jc w:val="left"/>
        </w:trPr>
        <w:tc>
          <w:tcPr>
            <w:tcW w:w="1080" w:type="dxa"/>
            <w:vMerge/>
            <w:tcBorders>
              <w:top w:val="nil"/>
              <w:bottom w:val="nil"/>
            </w:tcBorders>
          </w:tcPr>
          <w:p>
            <w:pPr>
              <w:rPr>
                <w:sz w:val="2"/>
                <w:szCs w:val="2"/>
              </w:rPr>
            </w:pPr>
          </w:p>
        </w:tc>
        <w:tc>
          <w:tcPr>
            <w:tcW w:w="1080" w:type="dxa"/>
            <w:vMerge w:val="restart"/>
          </w:tcPr>
          <w:p>
            <w:pPr>
              <w:pStyle w:val="TableParagraph"/>
              <w:rPr>
                <w:sz w:val="24"/>
              </w:rPr>
            </w:pPr>
          </w:p>
          <w:p>
            <w:pPr>
              <w:pStyle w:val="TableParagraph"/>
              <w:rPr>
                <w:sz w:val="24"/>
              </w:rPr>
            </w:pPr>
          </w:p>
          <w:p>
            <w:pPr>
              <w:pStyle w:val="TableParagraph"/>
              <w:spacing w:before="9"/>
              <w:rPr>
                <w:sz w:val="27"/>
              </w:rPr>
            </w:pPr>
          </w:p>
          <w:p>
            <w:pPr>
              <w:pStyle w:val="TableParagraph"/>
              <w:ind w:left="316"/>
              <w:rPr>
                <w:sz w:val="24"/>
              </w:rPr>
            </w:pPr>
            <w:r>
              <w:rPr>
                <w:spacing w:val="-14"/>
                <w:sz w:val="24"/>
              </w:rPr>
              <w:t>别墅</w:t>
            </w:r>
          </w:p>
        </w:tc>
        <w:tc>
          <w:tcPr>
            <w:tcW w:w="707" w:type="dxa"/>
            <w:vMerge w:val="restart"/>
          </w:tcPr>
          <w:p>
            <w:pPr>
              <w:pStyle w:val="TableParagraph"/>
              <w:rPr>
                <w:sz w:val="24"/>
              </w:rPr>
            </w:pPr>
          </w:p>
          <w:p>
            <w:pPr>
              <w:pStyle w:val="TableParagraph"/>
              <w:spacing w:before="179"/>
              <w:ind w:left="130"/>
              <w:rPr>
                <w:sz w:val="24"/>
              </w:rPr>
            </w:pPr>
            <w:r>
              <w:rPr>
                <w:spacing w:val="-14"/>
                <w:sz w:val="24"/>
              </w:rPr>
              <w:t>联排</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val="restart"/>
          </w:tcPr>
          <w:p>
            <w:pPr>
              <w:pStyle w:val="TableParagraph"/>
              <w:spacing w:before="165"/>
              <w:ind w:left="130"/>
              <w:rPr>
                <w:sz w:val="24"/>
              </w:rPr>
            </w:pPr>
            <w:r>
              <w:rPr>
                <w:spacing w:val="-14"/>
                <w:sz w:val="24"/>
              </w:rPr>
              <w:t>双拼</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vMerge/>
            <w:tcBorders>
              <w:top w:val="nil"/>
            </w:tcBorders>
          </w:tcPr>
          <w:p>
            <w:pPr>
              <w:rPr>
                <w:sz w:val="2"/>
                <w:szCs w:val="2"/>
              </w:rPr>
            </w:pP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bottom w:val="nil"/>
            </w:tcBorders>
          </w:tcPr>
          <w:p>
            <w:pPr>
              <w:rPr>
                <w:sz w:val="2"/>
                <w:szCs w:val="2"/>
              </w:rPr>
            </w:pPr>
          </w:p>
        </w:tc>
        <w:tc>
          <w:tcPr>
            <w:tcW w:w="1080" w:type="dxa"/>
            <w:vMerge/>
            <w:tcBorders>
              <w:top w:val="nil"/>
            </w:tcBorders>
          </w:tcPr>
          <w:p>
            <w:pPr>
              <w:rPr>
                <w:sz w:val="2"/>
                <w:szCs w:val="2"/>
              </w:rPr>
            </w:pPr>
          </w:p>
        </w:tc>
        <w:tc>
          <w:tcPr>
            <w:tcW w:w="707" w:type="dxa"/>
          </w:tcPr>
          <w:p>
            <w:pPr>
              <w:pStyle w:val="TableParagraph"/>
              <w:spacing w:before="4" w:line="288" w:lineRule="exact"/>
              <w:ind w:left="115" w:right="89"/>
              <w:jc w:val="center"/>
              <w:rPr>
                <w:sz w:val="24"/>
              </w:rPr>
            </w:pPr>
            <w:r>
              <w:rPr>
                <w:spacing w:val="-14"/>
                <w:sz w:val="24"/>
              </w:rPr>
              <w:t>独栋</w:t>
            </w:r>
          </w:p>
        </w:tc>
        <w:tc>
          <w:tcPr>
            <w:tcW w:w="1953" w:type="dxa"/>
            <w:tcBorders>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9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right w:val="dashed" w:sz="4" w:space="0" w:color="000000"/>
            </w:tcBorders>
          </w:tcPr>
          <w:p>
            <w:pPr>
              <w:pStyle w:val="TableParagraph"/>
              <w:rPr>
                <w:rFonts w:ascii="Times New Roman"/>
                <w:sz w:val="22"/>
              </w:rPr>
            </w:pPr>
          </w:p>
        </w:tc>
        <w:tc>
          <w:tcPr>
            <w:tcW w:w="1080" w:type="dxa"/>
            <w:tcBorders>
              <w:left w:val="dashed" w:sz="4" w:space="0" w:color="000000"/>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311"/>
          <w:jc w:val="left"/>
        </w:trPr>
        <w:tc>
          <w:tcPr>
            <w:tcW w:w="1080" w:type="dxa"/>
            <w:vMerge/>
            <w:tcBorders>
              <w:top w:val="nil"/>
              <w:bottom w:val="nil"/>
            </w:tcBorders>
          </w:tcPr>
          <w:p>
            <w:pPr>
              <w:rPr>
                <w:sz w:val="2"/>
                <w:szCs w:val="2"/>
              </w:rPr>
            </w:pPr>
          </w:p>
        </w:tc>
        <w:tc>
          <w:tcPr>
            <w:tcW w:w="1080" w:type="dxa"/>
            <w:tcBorders>
              <w:bottom w:val="nil"/>
            </w:tcBorders>
          </w:tcPr>
          <w:p>
            <w:pPr>
              <w:pStyle w:val="TableParagraph"/>
              <w:spacing w:before="4" w:line="288" w:lineRule="exact"/>
              <w:ind w:left="144" w:right="118"/>
              <w:jc w:val="center"/>
              <w:rPr>
                <w:sz w:val="24"/>
              </w:rPr>
            </w:pPr>
            <w:r>
              <w:rPr>
                <w:spacing w:val="-14"/>
                <w:sz w:val="24"/>
              </w:rPr>
              <w:t>商铺</w:t>
            </w:r>
          </w:p>
        </w:tc>
        <w:tc>
          <w:tcPr>
            <w:tcW w:w="707" w:type="dxa"/>
            <w:tcBorders>
              <w:bottom w:val="nil"/>
            </w:tcBorders>
          </w:tcPr>
          <w:p>
            <w:pPr>
              <w:pStyle w:val="TableParagraph"/>
              <w:spacing w:before="4" w:line="288" w:lineRule="exact"/>
              <w:ind w:left="115" w:right="89"/>
              <w:jc w:val="center"/>
              <w:rPr>
                <w:sz w:val="24"/>
              </w:rPr>
            </w:pPr>
            <w:r>
              <w:rPr>
                <w:spacing w:val="-14"/>
                <w:sz w:val="24"/>
              </w:rPr>
              <w:t>临街</w:t>
            </w:r>
          </w:p>
        </w:tc>
        <w:tc>
          <w:tcPr>
            <w:tcW w:w="1953" w:type="dxa"/>
            <w:vMerge w:val="restart"/>
            <w:tcBorders>
              <w:bottom w:val="nil"/>
            </w:tcBorders>
          </w:tcPr>
          <w:p>
            <w:pPr>
              <w:pStyle w:val="TableParagraph"/>
              <w:rPr>
                <w:rFonts w:ascii="Times New Roman"/>
                <w:sz w:val="22"/>
              </w:rPr>
            </w:pPr>
          </w:p>
        </w:tc>
        <w:tc>
          <w:tcPr>
            <w:tcW w:w="1080" w:type="dxa"/>
            <w:vMerge w:val="restart"/>
            <w:tcBorders>
              <w:bottom w:val="nil"/>
            </w:tcBorders>
          </w:tcPr>
          <w:p>
            <w:pPr>
              <w:pStyle w:val="TableParagraph"/>
              <w:rPr>
                <w:rFonts w:ascii="Times New Roman"/>
                <w:sz w:val="22"/>
              </w:rPr>
            </w:pPr>
          </w:p>
        </w:tc>
        <w:tc>
          <w:tcPr>
            <w:tcW w:w="980" w:type="dxa"/>
            <w:vMerge w:val="restart"/>
            <w:tcBorders>
              <w:bottom w:val="nil"/>
            </w:tcBorders>
          </w:tcPr>
          <w:p>
            <w:pPr>
              <w:pStyle w:val="TableParagraph"/>
              <w:rPr>
                <w:rFonts w:ascii="Times New Roman"/>
                <w:sz w:val="22"/>
              </w:rPr>
            </w:pPr>
          </w:p>
        </w:tc>
        <w:tc>
          <w:tcPr>
            <w:tcW w:w="1080" w:type="dxa"/>
            <w:vMerge w:val="restart"/>
            <w:tcBorders>
              <w:bottom w:val="nil"/>
            </w:tcBorders>
          </w:tcPr>
          <w:p>
            <w:pPr>
              <w:pStyle w:val="TableParagraph"/>
              <w:rPr>
                <w:rFonts w:ascii="Times New Roman"/>
                <w:sz w:val="22"/>
              </w:rPr>
            </w:pPr>
          </w:p>
        </w:tc>
        <w:tc>
          <w:tcPr>
            <w:tcW w:w="1080" w:type="dxa"/>
            <w:vMerge w:val="restart"/>
            <w:tcBorders>
              <w:bottom w:val="nil"/>
            </w:tcBorders>
          </w:tcPr>
          <w:p>
            <w:pPr>
              <w:pStyle w:val="TableParagraph"/>
              <w:rPr>
                <w:rFonts w:ascii="Times New Roman"/>
                <w:sz w:val="22"/>
              </w:rPr>
            </w:pPr>
          </w:p>
        </w:tc>
      </w:tr>
      <w:tr>
        <w:tblPrEx>
          <w:tblW w:w="0" w:type="auto"/>
          <w:jc w:val="left"/>
          <w:tblInd w:w="561" w:type="dxa"/>
          <w:tblLayout w:type="fixed"/>
          <w:tblCellMar>
            <w:top w:w="0" w:type="dxa"/>
            <w:left w:w="0" w:type="dxa"/>
            <w:bottom w:w="0" w:type="dxa"/>
            <w:right w:w="0" w:type="dxa"/>
          </w:tblCellMar>
          <w:tblLook w:val="01E0"/>
        </w:tblPrEx>
        <w:trPr>
          <w:trHeight w:val="630"/>
          <w:jc w:val="left"/>
        </w:trPr>
        <w:tc>
          <w:tcPr>
            <w:tcW w:w="2867" w:type="dxa"/>
            <w:gridSpan w:val="3"/>
            <w:tcBorders>
              <w:top w:val="nil"/>
              <w:bottom w:val="nil"/>
            </w:tcBorders>
          </w:tcPr>
          <w:p>
            <w:pPr>
              <w:pStyle w:val="TableParagraph"/>
              <w:spacing w:before="163"/>
              <w:ind w:left="1195" w:right="1169"/>
              <w:jc w:val="center"/>
              <w:rPr>
                <w:sz w:val="24"/>
              </w:rPr>
            </w:pPr>
            <w:r>
              <w:rPr>
                <w:spacing w:val="-14"/>
                <w:sz w:val="24"/>
              </w:rPr>
              <w:t>累计</w:t>
            </w:r>
          </w:p>
        </w:tc>
        <w:tc>
          <w:tcPr>
            <w:tcW w:w="1953" w:type="dxa"/>
            <w:vMerge/>
            <w:tcBorders>
              <w:top w:val="nil"/>
              <w:bottom w:val="nil"/>
            </w:tcBorders>
          </w:tcPr>
          <w:p>
            <w:pPr>
              <w:rPr>
                <w:sz w:val="2"/>
                <w:szCs w:val="2"/>
              </w:rPr>
            </w:pPr>
          </w:p>
        </w:tc>
        <w:tc>
          <w:tcPr>
            <w:tcW w:w="1080" w:type="dxa"/>
            <w:vMerge/>
            <w:tcBorders>
              <w:top w:val="nil"/>
              <w:bottom w:val="nil"/>
            </w:tcBorders>
          </w:tcPr>
          <w:p>
            <w:pPr>
              <w:rPr>
                <w:sz w:val="2"/>
                <w:szCs w:val="2"/>
              </w:rPr>
            </w:pPr>
          </w:p>
        </w:tc>
        <w:tc>
          <w:tcPr>
            <w:tcW w:w="980" w:type="dxa"/>
            <w:vMerge/>
            <w:tcBorders>
              <w:top w:val="nil"/>
              <w:bottom w:val="nil"/>
            </w:tcBorders>
          </w:tcPr>
          <w:p>
            <w:pPr>
              <w:rPr>
                <w:sz w:val="2"/>
                <w:szCs w:val="2"/>
              </w:rPr>
            </w:pPr>
          </w:p>
        </w:tc>
        <w:tc>
          <w:tcPr>
            <w:tcW w:w="1080" w:type="dxa"/>
            <w:vMerge/>
            <w:tcBorders>
              <w:top w:val="nil"/>
              <w:bottom w:val="nil"/>
            </w:tcBorders>
          </w:tcPr>
          <w:p>
            <w:pPr>
              <w:rPr>
                <w:sz w:val="2"/>
                <w:szCs w:val="2"/>
              </w:rPr>
            </w:pPr>
          </w:p>
        </w:tc>
        <w:tc>
          <w:tcPr>
            <w:tcW w:w="1080" w:type="dxa"/>
            <w:vMerge/>
            <w:tcBorders>
              <w:top w:val="nil"/>
              <w:bottom w:val="nil"/>
            </w:tcBorders>
          </w:tcPr>
          <w:p>
            <w:pPr>
              <w:rPr>
                <w:sz w:val="2"/>
                <w:szCs w:val="2"/>
              </w:rPr>
            </w:pPr>
          </w:p>
        </w:tc>
      </w:tr>
    </w:tbl>
    <w:p>
      <w:pPr>
        <w:spacing w:after="0"/>
        <w:rPr>
          <w:sz w:val="2"/>
          <w:szCs w:val="2"/>
        </w:rPr>
      </w:pPr>
      <w:r>
        <w:rPr>
          <w:sz w:val="2"/>
          <w:szCs w:val="2"/>
        </w:rPr>
        <w:br/>
      </w:r>
      <w:r>
        <w:rPr>
          <w:sz w:val="2"/>
          <w:szCs w:val="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https://d.book118.com/958122000141006041</w:t>
        </w:r>
      </w:hyperlink>
    </w:p>
    <w:p>
      <w:pPr>
        <w:spacing w:after="0"/>
        <w:rPr>
          <w:sz w:val="2"/>
          <w:szCs w:val="2"/>
        </w:rPr>
      </w:pPr>
    </w:p>
    <w:sectPr>
      <w:pgSz w:w="11910" w:h="16840"/>
      <w:pgMar w:top="1460" w:right="960" w:bottom="280" w:left="960" w:header="708" w:footer="708"/>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B8A70D8"/>
    <w:multiLevelType w:val="hybridMultilevel"/>
    <w:tmpl w:val="00000000"/>
    <w:lvl w:ilvl="0">
      <w:start w:val="1"/>
      <w:numFmt w:val="decimal"/>
      <w:lvlText w:val="%1）"/>
      <w:lvlJc w:val="left"/>
      <w:pPr>
        <w:ind w:left="931" w:hanging="360"/>
        <w:jc w:val="left"/>
      </w:pPr>
      <w:rPr>
        <w:rFonts w:ascii="Times New Roman" w:eastAsia="Times New Roman" w:hAnsi="Times New Roman" w:cs="Times New Roman" w:hint="default"/>
        <w:b w:val="0"/>
        <w:bCs w:val="0"/>
        <w:i w:val="0"/>
        <w:iCs w:val="0"/>
        <w:spacing w:val="-9"/>
        <w:w w:val="100"/>
        <w:sz w:val="22"/>
        <w:szCs w:val="22"/>
        <w:lang w:val="en-US" w:eastAsia="zh-CN" w:bidi="ar-SA"/>
      </w:rPr>
    </w:lvl>
    <w:lvl w:ilvl="1">
      <w:start w:val="0"/>
      <w:numFmt w:val="bullet"/>
      <w:lvlText w:val="•"/>
      <w:lvlJc w:val="left"/>
      <w:pPr>
        <w:ind w:left="1844" w:hanging="360"/>
      </w:pPr>
      <w:rPr>
        <w:rFonts w:hint="default"/>
        <w:lang w:val="en-US" w:eastAsia="zh-CN" w:bidi="ar-SA"/>
      </w:rPr>
    </w:lvl>
    <w:lvl w:ilvl="2">
      <w:start w:val="0"/>
      <w:numFmt w:val="bullet"/>
      <w:lvlText w:val="•"/>
      <w:lvlJc w:val="left"/>
      <w:pPr>
        <w:ind w:left="2749" w:hanging="360"/>
      </w:pPr>
      <w:rPr>
        <w:rFonts w:hint="default"/>
        <w:lang w:val="en-US" w:eastAsia="zh-CN" w:bidi="ar-SA"/>
      </w:rPr>
    </w:lvl>
    <w:lvl w:ilvl="3">
      <w:start w:val="0"/>
      <w:numFmt w:val="bullet"/>
      <w:lvlText w:val="•"/>
      <w:lvlJc w:val="left"/>
      <w:pPr>
        <w:ind w:left="3653" w:hanging="360"/>
      </w:pPr>
      <w:rPr>
        <w:rFonts w:hint="default"/>
        <w:lang w:val="en-US" w:eastAsia="zh-CN" w:bidi="ar-SA"/>
      </w:rPr>
    </w:lvl>
    <w:lvl w:ilvl="4">
      <w:start w:val="0"/>
      <w:numFmt w:val="bullet"/>
      <w:lvlText w:val="•"/>
      <w:lvlJc w:val="left"/>
      <w:pPr>
        <w:ind w:left="4558" w:hanging="360"/>
      </w:pPr>
      <w:rPr>
        <w:rFonts w:hint="default"/>
        <w:lang w:val="en-US" w:eastAsia="zh-CN" w:bidi="ar-SA"/>
      </w:rPr>
    </w:lvl>
    <w:lvl w:ilvl="5">
      <w:start w:val="0"/>
      <w:numFmt w:val="bullet"/>
      <w:lvlText w:val="•"/>
      <w:lvlJc w:val="left"/>
      <w:pPr>
        <w:ind w:left="5463" w:hanging="360"/>
      </w:pPr>
      <w:rPr>
        <w:rFonts w:hint="default"/>
        <w:lang w:val="en-US" w:eastAsia="zh-CN" w:bidi="ar-SA"/>
      </w:rPr>
    </w:lvl>
    <w:lvl w:ilvl="6">
      <w:start w:val="0"/>
      <w:numFmt w:val="bullet"/>
      <w:lvlText w:val="•"/>
      <w:lvlJc w:val="left"/>
      <w:pPr>
        <w:ind w:left="6367" w:hanging="360"/>
      </w:pPr>
      <w:rPr>
        <w:rFonts w:hint="default"/>
        <w:lang w:val="en-US" w:eastAsia="zh-CN" w:bidi="ar-SA"/>
      </w:rPr>
    </w:lvl>
    <w:lvl w:ilvl="7">
      <w:start w:val="0"/>
      <w:numFmt w:val="bullet"/>
      <w:lvlText w:val="•"/>
      <w:lvlJc w:val="left"/>
      <w:pPr>
        <w:ind w:left="7272" w:hanging="360"/>
      </w:pPr>
      <w:rPr>
        <w:rFonts w:hint="default"/>
        <w:lang w:val="en-US" w:eastAsia="zh-CN" w:bidi="ar-SA"/>
      </w:rPr>
    </w:lvl>
    <w:lvl w:ilvl="8">
      <w:start w:val="0"/>
      <w:numFmt w:val="bullet"/>
      <w:lvlText w:val="•"/>
      <w:lvlJc w:val="left"/>
      <w:pPr>
        <w:ind w:left="8176" w:hanging="360"/>
      </w:pPr>
      <w:rPr>
        <w:rFonts w:hint="default"/>
        <w:lang w:val="en-US" w:eastAsia="zh-CN" w:bidi="ar-SA"/>
      </w:rPr>
    </w:lvl>
  </w:abstractNum>
  <w:abstractNum w:abstractNumId="1">
    <w:nsid w:val="0F862BCB"/>
    <w:multiLevelType w:val="hybridMultilevel"/>
    <w:tmpl w:val="00000000"/>
    <w:lvl w:ilvl="0">
      <w:start w:val="4"/>
      <w:numFmt w:val="decimal"/>
      <w:lvlText w:val="%1"/>
      <w:lvlJc w:val="left"/>
      <w:pPr>
        <w:ind w:left="915" w:hanging="345"/>
        <w:jc w:val="left"/>
      </w:pPr>
      <w:rPr>
        <w:rFonts w:hint="default"/>
        <w:lang w:val="en-US" w:eastAsia="zh-CN" w:bidi="ar-SA"/>
      </w:rPr>
    </w:lvl>
    <w:lvl w:ilvl="1">
      <w:start w:val="1"/>
      <w:numFmt w:val="decimal"/>
      <w:lvlText w:val="%1.%2"/>
      <w:lvlJc w:val="left"/>
      <w:pPr>
        <w:ind w:left="915" w:hanging="345"/>
        <w:jc w:val="left"/>
      </w:pPr>
      <w:rPr>
        <w:rFonts w:ascii="宋体" w:eastAsia="宋体" w:hAnsi="宋体" w:cs="宋体" w:hint="default"/>
        <w:b w:val="0"/>
        <w:bCs w:val="0"/>
        <w:i w:val="0"/>
        <w:iCs w:val="0"/>
        <w:spacing w:val="-9"/>
        <w:w w:val="100"/>
        <w:sz w:val="22"/>
        <w:szCs w:val="22"/>
        <w:lang w:val="en-US" w:eastAsia="zh-CN" w:bidi="ar-SA"/>
      </w:rPr>
    </w:lvl>
    <w:lvl w:ilvl="2">
      <w:start w:val="0"/>
      <w:numFmt w:val="bullet"/>
      <w:lvlText w:val="•"/>
      <w:lvlJc w:val="left"/>
      <w:pPr>
        <w:ind w:left="2733" w:hanging="345"/>
      </w:pPr>
      <w:rPr>
        <w:rFonts w:hint="default"/>
        <w:lang w:val="en-US" w:eastAsia="zh-CN" w:bidi="ar-SA"/>
      </w:rPr>
    </w:lvl>
    <w:lvl w:ilvl="3">
      <w:start w:val="0"/>
      <w:numFmt w:val="bullet"/>
      <w:lvlText w:val="•"/>
      <w:lvlJc w:val="left"/>
      <w:pPr>
        <w:ind w:left="3639" w:hanging="345"/>
      </w:pPr>
      <w:rPr>
        <w:rFonts w:hint="default"/>
        <w:lang w:val="en-US" w:eastAsia="zh-CN" w:bidi="ar-SA"/>
      </w:rPr>
    </w:lvl>
    <w:lvl w:ilvl="4">
      <w:start w:val="0"/>
      <w:numFmt w:val="bullet"/>
      <w:lvlText w:val="•"/>
      <w:lvlJc w:val="left"/>
      <w:pPr>
        <w:ind w:left="4546" w:hanging="345"/>
      </w:pPr>
      <w:rPr>
        <w:rFonts w:hint="default"/>
        <w:lang w:val="en-US" w:eastAsia="zh-CN" w:bidi="ar-SA"/>
      </w:rPr>
    </w:lvl>
    <w:lvl w:ilvl="5">
      <w:start w:val="0"/>
      <w:numFmt w:val="bullet"/>
      <w:lvlText w:val="•"/>
      <w:lvlJc w:val="left"/>
      <w:pPr>
        <w:ind w:left="5453" w:hanging="345"/>
      </w:pPr>
      <w:rPr>
        <w:rFonts w:hint="default"/>
        <w:lang w:val="en-US" w:eastAsia="zh-CN" w:bidi="ar-SA"/>
      </w:rPr>
    </w:lvl>
    <w:lvl w:ilvl="6">
      <w:start w:val="0"/>
      <w:numFmt w:val="bullet"/>
      <w:lvlText w:val="•"/>
      <w:lvlJc w:val="left"/>
      <w:pPr>
        <w:ind w:left="6359" w:hanging="345"/>
      </w:pPr>
      <w:rPr>
        <w:rFonts w:hint="default"/>
        <w:lang w:val="en-US" w:eastAsia="zh-CN" w:bidi="ar-SA"/>
      </w:rPr>
    </w:lvl>
    <w:lvl w:ilvl="7">
      <w:start w:val="0"/>
      <w:numFmt w:val="bullet"/>
      <w:lvlText w:val="•"/>
      <w:lvlJc w:val="left"/>
      <w:pPr>
        <w:ind w:left="7266" w:hanging="345"/>
      </w:pPr>
      <w:rPr>
        <w:rFonts w:hint="default"/>
        <w:lang w:val="en-US" w:eastAsia="zh-CN" w:bidi="ar-SA"/>
      </w:rPr>
    </w:lvl>
    <w:lvl w:ilvl="8">
      <w:start w:val="0"/>
      <w:numFmt w:val="bullet"/>
      <w:lvlText w:val="•"/>
      <w:lvlJc w:val="left"/>
      <w:pPr>
        <w:ind w:left="8172" w:hanging="345"/>
      </w:pPr>
      <w:rPr>
        <w:rFonts w:hint="default"/>
        <w:lang w:val="en-US" w:eastAsia="zh-CN" w:bidi="ar-SA"/>
      </w:rPr>
    </w:lvl>
  </w:abstractNum>
  <w:abstractNum w:abstractNumId="2">
    <w:nsid w:val="1ABEA095"/>
    <w:multiLevelType w:val="hybridMultilevel"/>
    <w:tmpl w:val="00000000"/>
    <w:lvl w:ilvl="0">
      <w:start w:val="5"/>
      <w:numFmt w:val="decimal"/>
      <w:lvlText w:val="%1"/>
      <w:lvlJc w:val="left"/>
      <w:pPr>
        <w:ind w:left="915" w:hanging="345"/>
        <w:jc w:val="left"/>
      </w:pPr>
      <w:rPr>
        <w:rFonts w:hint="default"/>
        <w:lang w:val="en-US" w:eastAsia="zh-CN" w:bidi="ar-SA"/>
      </w:rPr>
    </w:lvl>
    <w:lvl w:ilvl="1">
      <w:start w:val="1"/>
      <w:numFmt w:val="decimal"/>
      <w:lvlText w:val="%1.%2"/>
      <w:lvlJc w:val="left"/>
      <w:pPr>
        <w:ind w:left="915" w:hanging="345"/>
        <w:jc w:val="left"/>
      </w:pPr>
      <w:rPr>
        <w:rFonts w:ascii="宋体" w:eastAsia="宋体" w:hAnsi="宋体" w:cs="宋体" w:hint="default"/>
        <w:b w:val="0"/>
        <w:bCs w:val="0"/>
        <w:i w:val="0"/>
        <w:iCs w:val="0"/>
        <w:spacing w:val="-9"/>
        <w:w w:val="100"/>
        <w:sz w:val="22"/>
        <w:szCs w:val="22"/>
        <w:lang w:val="en-US" w:eastAsia="zh-CN" w:bidi="ar-SA"/>
      </w:rPr>
    </w:lvl>
    <w:lvl w:ilvl="2">
      <w:start w:val="0"/>
      <w:numFmt w:val="bullet"/>
      <w:lvlText w:val="•"/>
      <w:lvlJc w:val="left"/>
      <w:pPr>
        <w:ind w:left="2733" w:hanging="345"/>
      </w:pPr>
      <w:rPr>
        <w:rFonts w:hint="default"/>
        <w:lang w:val="en-US" w:eastAsia="zh-CN" w:bidi="ar-SA"/>
      </w:rPr>
    </w:lvl>
    <w:lvl w:ilvl="3">
      <w:start w:val="0"/>
      <w:numFmt w:val="bullet"/>
      <w:lvlText w:val="•"/>
      <w:lvlJc w:val="left"/>
      <w:pPr>
        <w:ind w:left="3639" w:hanging="345"/>
      </w:pPr>
      <w:rPr>
        <w:rFonts w:hint="default"/>
        <w:lang w:val="en-US" w:eastAsia="zh-CN" w:bidi="ar-SA"/>
      </w:rPr>
    </w:lvl>
    <w:lvl w:ilvl="4">
      <w:start w:val="0"/>
      <w:numFmt w:val="bullet"/>
      <w:lvlText w:val="•"/>
      <w:lvlJc w:val="left"/>
      <w:pPr>
        <w:ind w:left="4546" w:hanging="345"/>
      </w:pPr>
      <w:rPr>
        <w:rFonts w:hint="default"/>
        <w:lang w:val="en-US" w:eastAsia="zh-CN" w:bidi="ar-SA"/>
      </w:rPr>
    </w:lvl>
    <w:lvl w:ilvl="5">
      <w:start w:val="0"/>
      <w:numFmt w:val="bullet"/>
      <w:lvlText w:val="•"/>
      <w:lvlJc w:val="left"/>
      <w:pPr>
        <w:ind w:left="5453" w:hanging="345"/>
      </w:pPr>
      <w:rPr>
        <w:rFonts w:hint="default"/>
        <w:lang w:val="en-US" w:eastAsia="zh-CN" w:bidi="ar-SA"/>
      </w:rPr>
    </w:lvl>
    <w:lvl w:ilvl="6">
      <w:start w:val="0"/>
      <w:numFmt w:val="bullet"/>
      <w:lvlText w:val="•"/>
      <w:lvlJc w:val="left"/>
      <w:pPr>
        <w:ind w:left="6359" w:hanging="345"/>
      </w:pPr>
      <w:rPr>
        <w:rFonts w:hint="default"/>
        <w:lang w:val="en-US" w:eastAsia="zh-CN" w:bidi="ar-SA"/>
      </w:rPr>
    </w:lvl>
    <w:lvl w:ilvl="7">
      <w:start w:val="0"/>
      <w:numFmt w:val="bullet"/>
      <w:lvlText w:val="•"/>
      <w:lvlJc w:val="left"/>
      <w:pPr>
        <w:ind w:left="7266" w:hanging="345"/>
      </w:pPr>
      <w:rPr>
        <w:rFonts w:hint="default"/>
        <w:lang w:val="en-US" w:eastAsia="zh-CN" w:bidi="ar-SA"/>
      </w:rPr>
    </w:lvl>
    <w:lvl w:ilvl="8">
      <w:start w:val="0"/>
      <w:numFmt w:val="bullet"/>
      <w:lvlText w:val="•"/>
      <w:lvlJc w:val="left"/>
      <w:pPr>
        <w:ind w:left="8172" w:hanging="345"/>
      </w:pPr>
      <w:rPr>
        <w:rFonts w:hint="default"/>
        <w:lang w:val="en-US" w:eastAsia="zh-CN" w:bidi="ar-SA"/>
      </w:rPr>
    </w:lvl>
  </w:abstractNum>
  <w:abstractNum w:abstractNumId="3">
    <w:nsid w:val="1FC9C603"/>
    <w:multiLevelType w:val="hybridMultilevel"/>
    <w:tmpl w:val="00000000"/>
    <w:lvl w:ilvl="0">
      <w:start w:val="1"/>
      <w:numFmt w:val="decimal"/>
      <w:lvlText w:val="%1"/>
      <w:lvlJc w:val="left"/>
      <w:pPr>
        <w:ind w:left="915" w:hanging="345"/>
        <w:jc w:val="left"/>
      </w:pPr>
      <w:rPr>
        <w:rFonts w:hint="default"/>
        <w:lang w:val="en-US" w:eastAsia="zh-CN" w:bidi="ar-SA"/>
      </w:rPr>
    </w:lvl>
    <w:lvl w:ilvl="1">
      <w:start w:val="1"/>
      <w:numFmt w:val="decimal"/>
      <w:lvlText w:val="%1.%2"/>
      <w:lvlJc w:val="left"/>
      <w:pPr>
        <w:ind w:left="915" w:hanging="345"/>
        <w:jc w:val="left"/>
      </w:pPr>
      <w:rPr>
        <w:rFonts w:ascii="宋体" w:eastAsia="宋体" w:hAnsi="宋体" w:cs="宋体" w:hint="default"/>
        <w:b w:val="0"/>
        <w:bCs w:val="0"/>
        <w:i w:val="0"/>
        <w:iCs w:val="0"/>
        <w:spacing w:val="-9"/>
        <w:w w:val="100"/>
        <w:sz w:val="22"/>
        <w:szCs w:val="22"/>
        <w:lang w:val="en-US" w:eastAsia="zh-CN" w:bidi="ar-SA"/>
      </w:rPr>
    </w:lvl>
    <w:lvl w:ilvl="2">
      <w:start w:val="0"/>
      <w:numFmt w:val="bullet"/>
      <w:lvlText w:val="•"/>
      <w:lvlJc w:val="left"/>
      <w:pPr>
        <w:ind w:left="2733" w:hanging="345"/>
      </w:pPr>
      <w:rPr>
        <w:rFonts w:hint="default"/>
        <w:lang w:val="en-US" w:eastAsia="zh-CN" w:bidi="ar-SA"/>
      </w:rPr>
    </w:lvl>
    <w:lvl w:ilvl="3">
      <w:start w:val="0"/>
      <w:numFmt w:val="bullet"/>
      <w:lvlText w:val="•"/>
      <w:lvlJc w:val="left"/>
      <w:pPr>
        <w:ind w:left="3639" w:hanging="345"/>
      </w:pPr>
      <w:rPr>
        <w:rFonts w:hint="default"/>
        <w:lang w:val="en-US" w:eastAsia="zh-CN" w:bidi="ar-SA"/>
      </w:rPr>
    </w:lvl>
    <w:lvl w:ilvl="4">
      <w:start w:val="0"/>
      <w:numFmt w:val="bullet"/>
      <w:lvlText w:val="•"/>
      <w:lvlJc w:val="left"/>
      <w:pPr>
        <w:ind w:left="4546" w:hanging="345"/>
      </w:pPr>
      <w:rPr>
        <w:rFonts w:hint="default"/>
        <w:lang w:val="en-US" w:eastAsia="zh-CN" w:bidi="ar-SA"/>
      </w:rPr>
    </w:lvl>
    <w:lvl w:ilvl="5">
      <w:start w:val="0"/>
      <w:numFmt w:val="bullet"/>
      <w:lvlText w:val="•"/>
      <w:lvlJc w:val="left"/>
      <w:pPr>
        <w:ind w:left="5453" w:hanging="345"/>
      </w:pPr>
      <w:rPr>
        <w:rFonts w:hint="default"/>
        <w:lang w:val="en-US" w:eastAsia="zh-CN" w:bidi="ar-SA"/>
      </w:rPr>
    </w:lvl>
    <w:lvl w:ilvl="6">
      <w:start w:val="0"/>
      <w:numFmt w:val="bullet"/>
      <w:lvlText w:val="•"/>
      <w:lvlJc w:val="left"/>
      <w:pPr>
        <w:ind w:left="6359" w:hanging="345"/>
      </w:pPr>
      <w:rPr>
        <w:rFonts w:hint="default"/>
        <w:lang w:val="en-US" w:eastAsia="zh-CN" w:bidi="ar-SA"/>
      </w:rPr>
    </w:lvl>
    <w:lvl w:ilvl="7">
      <w:start w:val="0"/>
      <w:numFmt w:val="bullet"/>
      <w:lvlText w:val="•"/>
      <w:lvlJc w:val="left"/>
      <w:pPr>
        <w:ind w:left="7266" w:hanging="345"/>
      </w:pPr>
      <w:rPr>
        <w:rFonts w:hint="default"/>
        <w:lang w:val="en-US" w:eastAsia="zh-CN" w:bidi="ar-SA"/>
      </w:rPr>
    </w:lvl>
    <w:lvl w:ilvl="8">
      <w:start w:val="0"/>
      <w:numFmt w:val="bullet"/>
      <w:lvlText w:val="•"/>
      <w:lvlJc w:val="left"/>
      <w:pPr>
        <w:ind w:left="8172" w:hanging="345"/>
      </w:pPr>
      <w:rPr>
        <w:rFonts w:hint="default"/>
        <w:lang w:val="en-US" w:eastAsia="zh-CN" w:bidi="ar-SA"/>
      </w:rPr>
    </w:lvl>
  </w:abstractNum>
  <w:abstractNum w:abstractNumId="4">
    <w:nsid w:val="208D4F5B"/>
    <w:multiLevelType w:val="hybridMultilevel"/>
    <w:tmpl w:val="00000000"/>
    <w:lvl w:ilvl="0">
      <w:start w:val="3"/>
      <w:numFmt w:val="decimal"/>
      <w:lvlText w:val="%1"/>
      <w:lvlJc w:val="left"/>
      <w:pPr>
        <w:ind w:left="1017" w:hanging="447"/>
        <w:jc w:val="left"/>
      </w:pPr>
      <w:rPr>
        <w:rFonts w:hint="default"/>
        <w:lang w:val="en-US" w:eastAsia="zh-CN" w:bidi="ar-SA"/>
      </w:rPr>
    </w:lvl>
    <w:lvl w:ilvl="1">
      <w:start w:val="1"/>
      <w:numFmt w:val="decimal"/>
      <w:lvlText w:val="%1.%2"/>
      <w:lvlJc w:val="left"/>
      <w:pPr>
        <w:ind w:left="1017" w:hanging="447"/>
        <w:jc w:val="left"/>
      </w:pPr>
      <w:rPr>
        <w:rFonts w:hint="default"/>
        <w:spacing w:val="-9"/>
        <w:w w:val="100"/>
        <w:lang w:val="en-US" w:eastAsia="zh-CN" w:bidi="ar-SA"/>
      </w:rPr>
    </w:lvl>
    <w:lvl w:ilvl="2">
      <w:start w:val="0"/>
      <w:numFmt w:val="bullet"/>
      <w:lvlText w:val="•"/>
      <w:lvlJc w:val="left"/>
      <w:pPr>
        <w:ind w:left="2813" w:hanging="447"/>
      </w:pPr>
      <w:rPr>
        <w:rFonts w:hint="default"/>
        <w:lang w:val="en-US" w:eastAsia="zh-CN" w:bidi="ar-SA"/>
      </w:rPr>
    </w:lvl>
    <w:lvl w:ilvl="3">
      <w:start w:val="0"/>
      <w:numFmt w:val="bullet"/>
      <w:lvlText w:val="•"/>
      <w:lvlJc w:val="left"/>
      <w:pPr>
        <w:ind w:left="3709" w:hanging="447"/>
      </w:pPr>
      <w:rPr>
        <w:rFonts w:hint="default"/>
        <w:lang w:val="en-US" w:eastAsia="zh-CN" w:bidi="ar-SA"/>
      </w:rPr>
    </w:lvl>
    <w:lvl w:ilvl="4">
      <w:start w:val="0"/>
      <w:numFmt w:val="bullet"/>
      <w:lvlText w:val="•"/>
      <w:lvlJc w:val="left"/>
      <w:pPr>
        <w:ind w:left="4606" w:hanging="447"/>
      </w:pPr>
      <w:rPr>
        <w:rFonts w:hint="default"/>
        <w:lang w:val="en-US" w:eastAsia="zh-CN" w:bidi="ar-SA"/>
      </w:rPr>
    </w:lvl>
    <w:lvl w:ilvl="5">
      <w:start w:val="0"/>
      <w:numFmt w:val="bullet"/>
      <w:lvlText w:val="•"/>
      <w:lvlJc w:val="left"/>
      <w:pPr>
        <w:ind w:left="5503" w:hanging="447"/>
      </w:pPr>
      <w:rPr>
        <w:rFonts w:hint="default"/>
        <w:lang w:val="en-US" w:eastAsia="zh-CN" w:bidi="ar-SA"/>
      </w:rPr>
    </w:lvl>
    <w:lvl w:ilvl="6">
      <w:start w:val="0"/>
      <w:numFmt w:val="bullet"/>
      <w:lvlText w:val="•"/>
      <w:lvlJc w:val="left"/>
      <w:pPr>
        <w:ind w:left="6399" w:hanging="447"/>
      </w:pPr>
      <w:rPr>
        <w:rFonts w:hint="default"/>
        <w:lang w:val="en-US" w:eastAsia="zh-CN" w:bidi="ar-SA"/>
      </w:rPr>
    </w:lvl>
    <w:lvl w:ilvl="7">
      <w:start w:val="0"/>
      <w:numFmt w:val="bullet"/>
      <w:lvlText w:val="•"/>
      <w:lvlJc w:val="left"/>
      <w:pPr>
        <w:ind w:left="7296" w:hanging="447"/>
      </w:pPr>
      <w:rPr>
        <w:rFonts w:hint="default"/>
        <w:lang w:val="en-US" w:eastAsia="zh-CN" w:bidi="ar-SA"/>
      </w:rPr>
    </w:lvl>
    <w:lvl w:ilvl="8">
      <w:start w:val="0"/>
      <w:numFmt w:val="bullet"/>
      <w:lvlText w:val="•"/>
      <w:lvlJc w:val="left"/>
      <w:pPr>
        <w:ind w:left="8192" w:hanging="447"/>
      </w:pPr>
      <w:rPr>
        <w:rFonts w:hint="default"/>
        <w:lang w:val="en-US" w:eastAsia="zh-CN" w:bidi="ar-SA"/>
      </w:rPr>
    </w:lvl>
  </w:abstractNum>
  <w:abstractNum w:abstractNumId="5">
    <w:nsid w:val="27B61A36"/>
    <w:multiLevelType w:val="hybridMultilevel"/>
    <w:tmpl w:val="00000000"/>
    <w:lvl w:ilvl="0">
      <w:start w:val="0"/>
      <w:numFmt w:val="bullet"/>
      <w:lvlText w:val="◆"/>
      <w:lvlJc w:val="left"/>
      <w:pPr>
        <w:ind w:left="571" w:hanging="241"/>
      </w:pPr>
      <w:rPr>
        <w:rFonts w:ascii="宋体" w:eastAsia="宋体" w:hAnsi="宋体" w:cs="宋体" w:hint="default"/>
        <w:b w:val="0"/>
        <w:bCs w:val="0"/>
        <w:i w:val="0"/>
        <w:iCs w:val="0"/>
        <w:spacing w:val="-17"/>
        <w:w w:val="100"/>
        <w:sz w:val="22"/>
        <w:szCs w:val="22"/>
        <w:lang w:val="en-US" w:eastAsia="zh-CN" w:bidi="ar-SA"/>
      </w:rPr>
    </w:lvl>
    <w:lvl w:ilvl="1">
      <w:start w:val="0"/>
      <w:numFmt w:val="bullet"/>
      <w:lvlText w:val="•"/>
      <w:lvlJc w:val="left"/>
      <w:pPr>
        <w:ind w:left="1520" w:hanging="241"/>
      </w:pPr>
      <w:rPr>
        <w:rFonts w:hint="default"/>
        <w:lang w:val="en-US" w:eastAsia="zh-CN" w:bidi="ar-SA"/>
      </w:rPr>
    </w:lvl>
    <w:lvl w:ilvl="2">
      <w:start w:val="0"/>
      <w:numFmt w:val="bullet"/>
      <w:lvlText w:val="•"/>
      <w:lvlJc w:val="left"/>
      <w:pPr>
        <w:ind w:left="2461" w:hanging="241"/>
      </w:pPr>
      <w:rPr>
        <w:rFonts w:hint="default"/>
        <w:lang w:val="en-US" w:eastAsia="zh-CN" w:bidi="ar-SA"/>
      </w:rPr>
    </w:lvl>
    <w:lvl w:ilvl="3">
      <w:start w:val="0"/>
      <w:numFmt w:val="bullet"/>
      <w:lvlText w:val="•"/>
      <w:lvlJc w:val="left"/>
      <w:pPr>
        <w:ind w:left="3401" w:hanging="241"/>
      </w:pPr>
      <w:rPr>
        <w:rFonts w:hint="default"/>
        <w:lang w:val="en-US" w:eastAsia="zh-CN" w:bidi="ar-SA"/>
      </w:rPr>
    </w:lvl>
    <w:lvl w:ilvl="4">
      <w:start w:val="0"/>
      <w:numFmt w:val="bullet"/>
      <w:lvlText w:val="•"/>
      <w:lvlJc w:val="left"/>
      <w:pPr>
        <w:ind w:left="4342"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23" w:hanging="241"/>
      </w:pPr>
      <w:rPr>
        <w:rFonts w:hint="default"/>
        <w:lang w:val="en-US" w:eastAsia="zh-CN" w:bidi="ar-SA"/>
      </w:rPr>
    </w:lvl>
    <w:lvl w:ilvl="7">
      <w:start w:val="0"/>
      <w:numFmt w:val="bullet"/>
      <w:lvlText w:val="•"/>
      <w:lvlJc w:val="left"/>
      <w:pPr>
        <w:ind w:left="7164" w:hanging="241"/>
      </w:pPr>
      <w:rPr>
        <w:rFonts w:hint="default"/>
        <w:lang w:val="en-US" w:eastAsia="zh-CN" w:bidi="ar-SA"/>
      </w:rPr>
    </w:lvl>
    <w:lvl w:ilvl="8">
      <w:start w:val="0"/>
      <w:numFmt w:val="bullet"/>
      <w:lvlText w:val="•"/>
      <w:lvlJc w:val="left"/>
      <w:pPr>
        <w:ind w:left="8104" w:hanging="241"/>
      </w:pPr>
      <w:rPr>
        <w:rFonts w:hint="default"/>
        <w:lang w:val="en-US" w:eastAsia="zh-CN" w:bidi="ar-SA"/>
      </w:rPr>
    </w:lvl>
  </w:abstractNum>
  <w:abstractNum w:abstractNumId="6">
    <w:nsid w:val="2C16EA48"/>
    <w:multiLevelType w:val="hybridMultilevel"/>
    <w:tmpl w:val="00000000"/>
    <w:lvl w:ilvl="0">
      <w:start w:val="1"/>
      <w:numFmt w:val="decimal"/>
      <w:lvlText w:val="%1"/>
      <w:lvlJc w:val="left"/>
      <w:pPr>
        <w:ind w:left="742" w:hanging="172"/>
        <w:jc w:val="left"/>
      </w:pPr>
      <w:rPr>
        <w:rFonts w:ascii="宋体" w:eastAsia="宋体" w:hAnsi="宋体" w:cs="宋体" w:hint="default"/>
        <w:b w:val="0"/>
        <w:bCs w:val="0"/>
        <w:i w:val="0"/>
        <w:iCs w:val="0"/>
        <w:w w:val="100"/>
        <w:sz w:val="24"/>
        <w:szCs w:val="24"/>
        <w:lang w:val="en-US" w:eastAsia="zh-CN" w:bidi="ar-SA"/>
      </w:rPr>
    </w:lvl>
    <w:lvl w:ilvl="1">
      <w:start w:val="1"/>
      <w:numFmt w:val="decimal"/>
      <w:lvlText w:val="%1.%2"/>
      <w:lvlJc w:val="left"/>
      <w:pPr>
        <w:ind w:left="915" w:hanging="345"/>
        <w:jc w:val="left"/>
      </w:pPr>
      <w:rPr>
        <w:rFonts w:hint="default"/>
        <w:spacing w:val="-9"/>
        <w:w w:val="100"/>
        <w:lang w:val="en-US" w:eastAsia="zh-CN" w:bidi="ar-SA"/>
      </w:rPr>
    </w:lvl>
    <w:lvl w:ilvl="2">
      <w:start w:val="0"/>
      <w:numFmt w:val="bullet"/>
      <w:lvlText w:val="•"/>
      <w:lvlJc w:val="left"/>
      <w:pPr>
        <w:ind w:left="1927" w:hanging="345"/>
      </w:pPr>
      <w:rPr>
        <w:rFonts w:hint="default"/>
        <w:lang w:val="en-US" w:eastAsia="zh-CN" w:bidi="ar-SA"/>
      </w:rPr>
    </w:lvl>
    <w:lvl w:ilvl="3">
      <w:start w:val="0"/>
      <w:numFmt w:val="bullet"/>
      <w:lvlText w:val="•"/>
      <w:lvlJc w:val="left"/>
      <w:pPr>
        <w:ind w:left="2934" w:hanging="345"/>
      </w:pPr>
      <w:rPr>
        <w:rFonts w:hint="default"/>
        <w:lang w:val="en-US" w:eastAsia="zh-CN" w:bidi="ar-SA"/>
      </w:rPr>
    </w:lvl>
    <w:lvl w:ilvl="4">
      <w:start w:val="0"/>
      <w:numFmt w:val="bullet"/>
      <w:lvlText w:val="•"/>
      <w:lvlJc w:val="left"/>
      <w:pPr>
        <w:ind w:left="3942" w:hanging="345"/>
      </w:pPr>
      <w:rPr>
        <w:rFonts w:hint="default"/>
        <w:lang w:val="en-US" w:eastAsia="zh-CN" w:bidi="ar-SA"/>
      </w:rPr>
    </w:lvl>
    <w:lvl w:ilvl="5">
      <w:start w:val="0"/>
      <w:numFmt w:val="bullet"/>
      <w:lvlText w:val="•"/>
      <w:lvlJc w:val="left"/>
      <w:pPr>
        <w:ind w:left="4949" w:hanging="345"/>
      </w:pPr>
      <w:rPr>
        <w:rFonts w:hint="default"/>
        <w:lang w:val="en-US" w:eastAsia="zh-CN" w:bidi="ar-SA"/>
      </w:rPr>
    </w:lvl>
    <w:lvl w:ilvl="6">
      <w:start w:val="0"/>
      <w:numFmt w:val="bullet"/>
      <w:lvlText w:val="•"/>
      <w:lvlJc w:val="left"/>
      <w:pPr>
        <w:ind w:left="5956" w:hanging="345"/>
      </w:pPr>
      <w:rPr>
        <w:rFonts w:hint="default"/>
        <w:lang w:val="en-US" w:eastAsia="zh-CN" w:bidi="ar-SA"/>
      </w:rPr>
    </w:lvl>
    <w:lvl w:ilvl="7">
      <w:start w:val="0"/>
      <w:numFmt w:val="bullet"/>
      <w:lvlText w:val="•"/>
      <w:lvlJc w:val="left"/>
      <w:pPr>
        <w:ind w:left="6964" w:hanging="345"/>
      </w:pPr>
      <w:rPr>
        <w:rFonts w:hint="default"/>
        <w:lang w:val="en-US" w:eastAsia="zh-CN" w:bidi="ar-SA"/>
      </w:rPr>
    </w:lvl>
    <w:lvl w:ilvl="8">
      <w:start w:val="0"/>
      <w:numFmt w:val="bullet"/>
      <w:lvlText w:val="•"/>
      <w:lvlJc w:val="left"/>
      <w:pPr>
        <w:ind w:left="7971" w:hanging="345"/>
      </w:pPr>
      <w:rPr>
        <w:rFonts w:hint="default"/>
        <w:lang w:val="en-US" w:eastAsia="zh-CN" w:bidi="ar-SA"/>
      </w:rPr>
    </w:lvl>
  </w:abstractNum>
  <w:abstractNum w:abstractNumId="7">
    <w:nsid w:val="3F3DB288"/>
    <w:multiLevelType w:val="hybridMultilevel"/>
    <w:tmpl w:val="00000000"/>
    <w:lvl w:ilvl="0">
      <w:start w:val="1"/>
      <w:numFmt w:val="lowerLetter"/>
      <w:lvlText w:val="%1"/>
      <w:lvlJc w:val="left"/>
      <w:pPr>
        <w:ind w:left="906" w:hanging="336"/>
        <w:jc w:val="left"/>
      </w:pPr>
      <w:rPr>
        <w:rFonts w:hint="default"/>
        <w:lang w:val="en-US" w:eastAsia="zh-CN" w:bidi="ar-SA"/>
      </w:rPr>
    </w:lvl>
    <w:lvl w:ilvl="1">
      <w:start w:val="1"/>
      <w:numFmt w:val="decimal"/>
      <w:lvlText w:val="%1.%2"/>
      <w:lvlJc w:val="left"/>
      <w:pPr>
        <w:ind w:left="906" w:hanging="336"/>
        <w:jc w:val="left"/>
      </w:pPr>
      <w:rPr>
        <w:rFonts w:ascii="Times New Roman" w:eastAsia="Times New Roman" w:hAnsi="Times New Roman" w:cs="Times New Roman" w:hint="default"/>
        <w:b/>
        <w:bCs/>
        <w:i w:val="0"/>
        <w:iCs w:val="0"/>
        <w:spacing w:val="-9"/>
        <w:w w:val="100"/>
        <w:sz w:val="24"/>
        <w:szCs w:val="24"/>
        <w:lang w:val="en-US" w:eastAsia="zh-CN" w:bidi="ar-SA"/>
      </w:rPr>
    </w:lvl>
    <w:lvl w:ilvl="2">
      <w:start w:val="0"/>
      <w:numFmt w:val="bullet"/>
      <w:lvlText w:val="•"/>
      <w:lvlJc w:val="left"/>
      <w:pPr>
        <w:ind w:left="2717" w:hanging="336"/>
      </w:pPr>
      <w:rPr>
        <w:rFonts w:hint="default"/>
        <w:lang w:val="en-US" w:eastAsia="zh-CN" w:bidi="ar-SA"/>
      </w:rPr>
    </w:lvl>
    <w:lvl w:ilvl="3">
      <w:start w:val="0"/>
      <w:numFmt w:val="bullet"/>
      <w:lvlText w:val="•"/>
      <w:lvlJc w:val="left"/>
      <w:pPr>
        <w:ind w:left="3625" w:hanging="336"/>
      </w:pPr>
      <w:rPr>
        <w:rFonts w:hint="default"/>
        <w:lang w:val="en-US" w:eastAsia="zh-CN" w:bidi="ar-SA"/>
      </w:rPr>
    </w:lvl>
    <w:lvl w:ilvl="4">
      <w:start w:val="0"/>
      <w:numFmt w:val="bullet"/>
      <w:lvlText w:val="•"/>
      <w:lvlJc w:val="left"/>
      <w:pPr>
        <w:ind w:left="4534" w:hanging="336"/>
      </w:pPr>
      <w:rPr>
        <w:rFonts w:hint="default"/>
        <w:lang w:val="en-US" w:eastAsia="zh-CN" w:bidi="ar-SA"/>
      </w:rPr>
    </w:lvl>
    <w:lvl w:ilvl="5">
      <w:start w:val="0"/>
      <w:numFmt w:val="bullet"/>
      <w:lvlText w:val="•"/>
      <w:lvlJc w:val="left"/>
      <w:pPr>
        <w:ind w:left="5443" w:hanging="336"/>
      </w:pPr>
      <w:rPr>
        <w:rFonts w:hint="default"/>
        <w:lang w:val="en-US" w:eastAsia="zh-CN" w:bidi="ar-SA"/>
      </w:rPr>
    </w:lvl>
    <w:lvl w:ilvl="6">
      <w:start w:val="0"/>
      <w:numFmt w:val="bullet"/>
      <w:lvlText w:val="•"/>
      <w:lvlJc w:val="left"/>
      <w:pPr>
        <w:ind w:left="6351" w:hanging="336"/>
      </w:pPr>
      <w:rPr>
        <w:rFonts w:hint="default"/>
        <w:lang w:val="en-US" w:eastAsia="zh-CN" w:bidi="ar-SA"/>
      </w:rPr>
    </w:lvl>
    <w:lvl w:ilvl="7">
      <w:start w:val="0"/>
      <w:numFmt w:val="bullet"/>
      <w:lvlText w:val="•"/>
      <w:lvlJc w:val="left"/>
      <w:pPr>
        <w:ind w:left="7260" w:hanging="336"/>
      </w:pPr>
      <w:rPr>
        <w:rFonts w:hint="default"/>
        <w:lang w:val="en-US" w:eastAsia="zh-CN" w:bidi="ar-SA"/>
      </w:rPr>
    </w:lvl>
    <w:lvl w:ilvl="8">
      <w:start w:val="0"/>
      <w:numFmt w:val="bullet"/>
      <w:lvlText w:val="•"/>
      <w:lvlJc w:val="left"/>
      <w:pPr>
        <w:ind w:left="8168" w:hanging="336"/>
      </w:pPr>
      <w:rPr>
        <w:rFonts w:hint="default"/>
        <w:lang w:val="en-US" w:eastAsia="zh-CN" w:bidi="ar-SA"/>
      </w:rPr>
    </w:lvl>
  </w:abstractNum>
  <w:abstractNum w:abstractNumId="8">
    <w:nsid w:val="496A2A05"/>
    <w:multiLevelType w:val="hybridMultilevel"/>
    <w:tmpl w:val="00000000"/>
    <w:lvl w:ilvl="0">
      <w:start w:val="0"/>
      <w:numFmt w:val="bullet"/>
      <w:lvlText w:val="●"/>
      <w:lvlJc w:val="left"/>
      <w:pPr>
        <w:ind w:left="571" w:hanging="241"/>
      </w:pPr>
      <w:rPr>
        <w:rFonts w:ascii="宋体" w:eastAsia="宋体" w:hAnsi="宋体" w:cs="宋体" w:hint="default"/>
        <w:b w:val="0"/>
        <w:bCs w:val="0"/>
        <w:i/>
        <w:iCs/>
        <w:spacing w:val="-17"/>
        <w:w w:val="100"/>
        <w:sz w:val="22"/>
        <w:szCs w:val="22"/>
        <w:lang w:val="en-US" w:eastAsia="zh-CN" w:bidi="ar-SA"/>
      </w:rPr>
    </w:lvl>
    <w:lvl w:ilvl="1">
      <w:start w:val="0"/>
      <w:numFmt w:val="bullet"/>
      <w:lvlText w:val="•"/>
      <w:lvlJc w:val="left"/>
      <w:pPr>
        <w:ind w:left="1520" w:hanging="241"/>
      </w:pPr>
      <w:rPr>
        <w:rFonts w:hint="default"/>
        <w:lang w:val="en-US" w:eastAsia="zh-CN" w:bidi="ar-SA"/>
      </w:rPr>
    </w:lvl>
    <w:lvl w:ilvl="2">
      <w:start w:val="0"/>
      <w:numFmt w:val="bullet"/>
      <w:lvlText w:val="•"/>
      <w:lvlJc w:val="left"/>
      <w:pPr>
        <w:ind w:left="2461" w:hanging="241"/>
      </w:pPr>
      <w:rPr>
        <w:rFonts w:hint="default"/>
        <w:lang w:val="en-US" w:eastAsia="zh-CN" w:bidi="ar-SA"/>
      </w:rPr>
    </w:lvl>
    <w:lvl w:ilvl="3">
      <w:start w:val="0"/>
      <w:numFmt w:val="bullet"/>
      <w:lvlText w:val="•"/>
      <w:lvlJc w:val="left"/>
      <w:pPr>
        <w:ind w:left="3401" w:hanging="241"/>
      </w:pPr>
      <w:rPr>
        <w:rFonts w:hint="default"/>
        <w:lang w:val="en-US" w:eastAsia="zh-CN" w:bidi="ar-SA"/>
      </w:rPr>
    </w:lvl>
    <w:lvl w:ilvl="4">
      <w:start w:val="0"/>
      <w:numFmt w:val="bullet"/>
      <w:lvlText w:val="•"/>
      <w:lvlJc w:val="left"/>
      <w:pPr>
        <w:ind w:left="4342"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23" w:hanging="241"/>
      </w:pPr>
      <w:rPr>
        <w:rFonts w:hint="default"/>
        <w:lang w:val="en-US" w:eastAsia="zh-CN" w:bidi="ar-SA"/>
      </w:rPr>
    </w:lvl>
    <w:lvl w:ilvl="7">
      <w:start w:val="0"/>
      <w:numFmt w:val="bullet"/>
      <w:lvlText w:val="•"/>
      <w:lvlJc w:val="left"/>
      <w:pPr>
        <w:ind w:left="7164" w:hanging="241"/>
      </w:pPr>
      <w:rPr>
        <w:rFonts w:hint="default"/>
        <w:lang w:val="en-US" w:eastAsia="zh-CN" w:bidi="ar-SA"/>
      </w:rPr>
    </w:lvl>
    <w:lvl w:ilvl="8">
      <w:start w:val="0"/>
      <w:numFmt w:val="bullet"/>
      <w:lvlText w:val="•"/>
      <w:lvlJc w:val="left"/>
      <w:pPr>
        <w:ind w:left="8104" w:hanging="241"/>
      </w:pPr>
      <w:rPr>
        <w:rFonts w:hint="default"/>
        <w:lang w:val="en-US" w:eastAsia="zh-CN" w:bidi="ar-SA"/>
      </w:rPr>
    </w:lvl>
  </w:abstractNum>
  <w:abstractNum w:abstractNumId="9">
    <w:nsid w:val="4CB96B3B"/>
    <w:multiLevelType w:val="hybridMultilevel"/>
    <w:tmpl w:val="00000000"/>
    <w:lvl w:ilvl="0">
      <w:start w:val="3"/>
      <w:numFmt w:val="decimal"/>
      <w:lvlText w:val="%1"/>
      <w:lvlJc w:val="left"/>
      <w:pPr>
        <w:ind w:left="915" w:hanging="345"/>
        <w:jc w:val="left"/>
      </w:pPr>
      <w:rPr>
        <w:rFonts w:hint="default"/>
        <w:lang w:val="en-US" w:eastAsia="zh-CN" w:bidi="ar-SA"/>
      </w:rPr>
    </w:lvl>
    <w:lvl w:ilvl="1">
      <w:start w:val="1"/>
      <w:numFmt w:val="decimal"/>
      <w:lvlText w:val="%1.%2"/>
      <w:lvlJc w:val="left"/>
      <w:pPr>
        <w:ind w:left="915" w:hanging="345"/>
        <w:jc w:val="left"/>
      </w:pPr>
      <w:rPr>
        <w:rFonts w:ascii="宋体" w:eastAsia="宋体" w:hAnsi="宋体" w:cs="宋体" w:hint="default"/>
        <w:b w:val="0"/>
        <w:bCs w:val="0"/>
        <w:i w:val="0"/>
        <w:iCs w:val="0"/>
        <w:spacing w:val="-9"/>
        <w:w w:val="100"/>
        <w:sz w:val="22"/>
        <w:szCs w:val="22"/>
        <w:lang w:val="en-US" w:eastAsia="zh-CN" w:bidi="ar-SA"/>
      </w:rPr>
    </w:lvl>
    <w:lvl w:ilvl="2">
      <w:start w:val="0"/>
      <w:numFmt w:val="bullet"/>
      <w:lvlText w:val="●"/>
      <w:lvlJc w:val="left"/>
      <w:pPr>
        <w:ind w:left="571" w:hanging="241"/>
      </w:pPr>
      <w:rPr>
        <w:rFonts w:ascii="宋体" w:eastAsia="宋体" w:hAnsi="宋体" w:cs="宋体" w:hint="default"/>
        <w:b w:val="0"/>
        <w:bCs w:val="0"/>
        <w:i/>
        <w:iCs/>
        <w:spacing w:val="-17"/>
        <w:w w:val="100"/>
        <w:sz w:val="22"/>
        <w:szCs w:val="22"/>
        <w:lang w:val="en-US" w:eastAsia="zh-CN" w:bidi="ar-SA"/>
      </w:rPr>
    </w:lvl>
    <w:lvl w:ilvl="3">
      <w:start w:val="0"/>
      <w:numFmt w:val="bullet"/>
      <w:lvlText w:val="•"/>
      <w:lvlJc w:val="left"/>
      <w:pPr>
        <w:ind w:left="2053" w:hanging="241"/>
      </w:pPr>
      <w:rPr>
        <w:rFonts w:hint="default"/>
        <w:lang w:val="en-US" w:eastAsia="zh-CN" w:bidi="ar-SA"/>
      </w:rPr>
    </w:lvl>
    <w:lvl w:ilvl="4">
      <w:start w:val="0"/>
      <w:numFmt w:val="bullet"/>
      <w:lvlText w:val="•"/>
      <w:lvlJc w:val="left"/>
      <w:pPr>
        <w:ind w:left="3186" w:hanging="241"/>
      </w:pPr>
      <w:rPr>
        <w:rFonts w:hint="default"/>
        <w:lang w:val="en-US" w:eastAsia="zh-CN" w:bidi="ar-SA"/>
      </w:rPr>
    </w:lvl>
    <w:lvl w:ilvl="5">
      <w:start w:val="0"/>
      <w:numFmt w:val="bullet"/>
      <w:lvlText w:val="•"/>
      <w:lvlJc w:val="left"/>
      <w:pPr>
        <w:ind w:left="4319" w:hanging="241"/>
      </w:pPr>
      <w:rPr>
        <w:rFonts w:hint="default"/>
        <w:lang w:val="en-US" w:eastAsia="zh-CN" w:bidi="ar-SA"/>
      </w:rPr>
    </w:lvl>
    <w:lvl w:ilvl="6">
      <w:start w:val="0"/>
      <w:numFmt w:val="bullet"/>
      <w:lvlText w:val="•"/>
      <w:lvlJc w:val="left"/>
      <w:pPr>
        <w:ind w:left="5453" w:hanging="241"/>
      </w:pPr>
      <w:rPr>
        <w:rFonts w:hint="default"/>
        <w:lang w:val="en-US" w:eastAsia="zh-CN" w:bidi="ar-SA"/>
      </w:rPr>
    </w:lvl>
    <w:lvl w:ilvl="7">
      <w:start w:val="0"/>
      <w:numFmt w:val="bullet"/>
      <w:lvlText w:val="•"/>
      <w:lvlJc w:val="left"/>
      <w:pPr>
        <w:ind w:left="6586" w:hanging="241"/>
      </w:pPr>
      <w:rPr>
        <w:rFonts w:hint="default"/>
        <w:lang w:val="en-US" w:eastAsia="zh-CN" w:bidi="ar-SA"/>
      </w:rPr>
    </w:lvl>
    <w:lvl w:ilvl="8">
      <w:start w:val="0"/>
      <w:numFmt w:val="bullet"/>
      <w:lvlText w:val="•"/>
      <w:lvlJc w:val="left"/>
      <w:pPr>
        <w:ind w:left="7719" w:hanging="241"/>
      </w:pPr>
      <w:rPr>
        <w:rFonts w:hint="default"/>
        <w:lang w:val="en-US" w:eastAsia="zh-CN" w:bidi="ar-SA"/>
      </w:rPr>
    </w:lvl>
  </w:abstractNum>
  <w:abstractNum w:abstractNumId="10">
    <w:nsid w:val="56BF5BBD"/>
    <w:multiLevelType w:val="hybridMultilevel"/>
    <w:tmpl w:val="00000000"/>
    <w:lvl w:ilvl="0">
      <w:start w:val="1"/>
      <w:numFmt w:val="decimal"/>
      <w:lvlText w:val="%1）"/>
      <w:lvlJc w:val="left"/>
      <w:pPr>
        <w:ind w:left="931" w:hanging="360"/>
        <w:jc w:val="left"/>
      </w:pPr>
      <w:rPr>
        <w:rFonts w:ascii="Microsoft JhengHei" w:eastAsia="Microsoft JhengHei" w:hAnsi="Microsoft JhengHei" w:cs="Microsoft JhengHei" w:hint="default"/>
        <w:b/>
        <w:bCs/>
        <w:i w:val="0"/>
        <w:iCs w:val="0"/>
        <w:spacing w:val="-8"/>
        <w:w w:val="83"/>
        <w:sz w:val="22"/>
        <w:szCs w:val="22"/>
        <w:lang w:val="en-US" w:eastAsia="zh-CN" w:bidi="ar-SA"/>
      </w:rPr>
    </w:lvl>
    <w:lvl w:ilvl="1">
      <w:start w:val="0"/>
      <w:numFmt w:val="bullet"/>
      <w:lvlText w:val="•"/>
      <w:lvlJc w:val="left"/>
      <w:pPr>
        <w:ind w:left="1844" w:hanging="360"/>
      </w:pPr>
      <w:rPr>
        <w:rFonts w:hint="default"/>
        <w:lang w:val="en-US" w:eastAsia="zh-CN" w:bidi="ar-SA"/>
      </w:rPr>
    </w:lvl>
    <w:lvl w:ilvl="2">
      <w:start w:val="0"/>
      <w:numFmt w:val="bullet"/>
      <w:lvlText w:val="•"/>
      <w:lvlJc w:val="left"/>
      <w:pPr>
        <w:ind w:left="2749" w:hanging="360"/>
      </w:pPr>
      <w:rPr>
        <w:rFonts w:hint="default"/>
        <w:lang w:val="en-US" w:eastAsia="zh-CN" w:bidi="ar-SA"/>
      </w:rPr>
    </w:lvl>
    <w:lvl w:ilvl="3">
      <w:start w:val="0"/>
      <w:numFmt w:val="bullet"/>
      <w:lvlText w:val="•"/>
      <w:lvlJc w:val="left"/>
      <w:pPr>
        <w:ind w:left="3653" w:hanging="360"/>
      </w:pPr>
      <w:rPr>
        <w:rFonts w:hint="default"/>
        <w:lang w:val="en-US" w:eastAsia="zh-CN" w:bidi="ar-SA"/>
      </w:rPr>
    </w:lvl>
    <w:lvl w:ilvl="4">
      <w:start w:val="0"/>
      <w:numFmt w:val="bullet"/>
      <w:lvlText w:val="•"/>
      <w:lvlJc w:val="left"/>
      <w:pPr>
        <w:ind w:left="4558" w:hanging="360"/>
      </w:pPr>
      <w:rPr>
        <w:rFonts w:hint="default"/>
        <w:lang w:val="en-US" w:eastAsia="zh-CN" w:bidi="ar-SA"/>
      </w:rPr>
    </w:lvl>
    <w:lvl w:ilvl="5">
      <w:start w:val="0"/>
      <w:numFmt w:val="bullet"/>
      <w:lvlText w:val="•"/>
      <w:lvlJc w:val="left"/>
      <w:pPr>
        <w:ind w:left="5463" w:hanging="360"/>
      </w:pPr>
      <w:rPr>
        <w:rFonts w:hint="default"/>
        <w:lang w:val="en-US" w:eastAsia="zh-CN" w:bidi="ar-SA"/>
      </w:rPr>
    </w:lvl>
    <w:lvl w:ilvl="6">
      <w:start w:val="0"/>
      <w:numFmt w:val="bullet"/>
      <w:lvlText w:val="•"/>
      <w:lvlJc w:val="left"/>
      <w:pPr>
        <w:ind w:left="6367" w:hanging="360"/>
      </w:pPr>
      <w:rPr>
        <w:rFonts w:hint="default"/>
        <w:lang w:val="en-US" w:eastAsia="zh-CN" w:bidi="ar-SA"/>
      </w:rPr>
    </w:lvl>
    <w:lvl w:ilvl="7">
      <w:start w:val="0"/>
      <w:numFmt w:val="bullet"/>
      <w:lvlText w:val="•"/>
      <w:lvlJc w:val="left"/>
      <w:pPr>
        <w:ind w:left="7272" w:hanging="360"/>
      </w:pPr>
      <w:rPr>
        <w:rFonts w:hint="default"/>
        <w:lang w:val="en-US" w:eastAsia="zh-CN" w:bidi="ar-SA"/>
      </w:rPr>
    </w:lvl>
    <w:lvl w:ilvl="8">
      <w:start w:val="0"/>
      <w:numFmt w:val="bullet"/>
      <w:lvlText w:val="•"/>
      <w:lvlJc w:val="left"/>
      <w:pPr>
        <w:ind w:left="8176" w:hanging="360"/>
      </w:pPr>
      <w:rPr>
        <w:rFonts w:hint="default"/>
        <w:lang w:val="en-US" w:eastAsia="zh-CN" w:bidi="ar-SA"/>
      </w:rPr>
    </w:lvl>
  </w:abstractNum>
  <w:abstractNum w:abstractNumId="11">
    <w:nsid w:val="57A2850A"/>
    <w:multiLevelType w:val="hybridMultilevel"/>
    <w:tmpl w:val="00000000"/>
    <w:lvl w:ilvl="0">
      <w:start w:val="2"/>
      <w:numFmt w:val="decimal"/>
      <w:lvlText w:val="%1"/>
      <w:lvlJc w:val="left"/>
      <w:pPr>
        <w:ind w:left="915" w:hanging="345"/>
        <w:jc w:val="left"/>
      </w:pPr>
      <w:rPr>
        <w:rFonts w:hint="default"/>
        <w:lang w:val="en-US" w:eastAsia="zh-CN" w:bidi="ar-SA"/>
      </w:rPr>
    </w:lvl>
    <w:lvl w:ilvl="1">
      <w:start w:val="1"/>
      <w:numFmt w:val="decimal"/>
      <w:lvlText w:val="%1.%2"/>
      <w:lvlJc w:val="left"/>
      <w:pPr>
        <w:ind w:left="915" w:hanging="345"/>
        <w:jc w:val="left"/>
      </w:pPr>
      <w:rPr>
        <w:rFonts w:ascii="宋体" w:eastAsia="宋体" w:hAnsi="宋体" w:cs="宋体" w:hint="default"/>
        <w:b w:val="0"/>
        <w:bCs w:val="0"/>
        <w:i w:val="0"/>
        <w:iCs w:val="0"/>
        <w:spacing w:val="-9"/>
        <w:w w:val="100"/>
        <w:sz w:val="22"/>
        <w:szCs w:val="22"/>
        <w:lang w:val="en-US" w:eastAsia="zh-CN" w:bidi="ar-SA"/>
      </w:rPr>
    </w:lvl>
    <w:lvl w:ilvl="2">
      <w:start w:val="0"/>
      <w:numFmt w:val="bullet"/>
      <w:lvlText w:val="•"/>
      <w:lvlJc w:val="left"/>
      <w:pPr>
        <w:ind w:left="2733" w:hanging="345"/>
      </w:pPr>
      <w:rPr>
        <w:rFonts w:hint="default"/>
        <w:lang w:val="en-US" w:eastAsia="zh-CN" w:bidi="ar-SA"/>
      </w:rPr>
    </w:lvl>
    <w:lvl w:ilvl="3">
      <w:start w:val="0"/>
      <w:numFmt w:val="bullet"/>
      <w:lvlText w:val="•"/>
      <w:lvlJc w:val="left"/>
      <w:pPr>
        <w:ind w:left="3639" w:hanging="345"/>
      </w:pPr>
      <w:rPr>
        <w:rFonts w:hint="default"/>
        <w:lang w:val="en-US" w:eastAsia="zh-CN" w:bidi="ar-SA"/>
      </w:rPr>
    </w:lvl>
    <w:lvl w:ilvl="4">
      <w:start w:val="0"/>
      <w:numFmt w:val="bullet"/>
      <w:lvlText w:val="•"/>
      <w:lvlJc w:val="left"/>
      <w:pPr>
        <w:ind w:left="4546" w:hanging="345"/>
      </w:pPr>
      <w:rPr>
        <w:rFonts w:hint="default"/>
        <w:lang w:val="en-US" w:eastAsia="zh-CN" w:bidi="ar-SA"/>
      </w:rPr>
    </w:lvl>
    <w:lvl w:ilvl="5">
      <w:start w:val="0"/>
      <w:numFmt w:val="bullet"/>
      <w:lvlText w:val="•"/>
      <w:lvlJc w:val="left"/>
      <w:pPr>
        <w:ind w:left="5453" w:hanging="345"/>
      </w:pPr>
      <w:rPr>
        <w:rFonts w:hint="default"/>
        <w:lang w:val="en-US" w:eastAsia="zh-CN" w:bidi="ar-SA"/>
      </w:rPr>
    </w:lvl>
    <w:lvl w:ilvl="6">
      <w:start w:val="0"/>
      <w:numFmt w:val="bullet"/>
      <w:lvlText w:val="•"/>
      <w:lvlJc w:val="left"/>
      <w:pPr>
        <w:ind w:left="6359" w:hanging="345"/>
      </w:pPr>
      <w:rPr>
        <w:rFonts w:hint="default"/>
        <w:lang w:val="en-US" w:eastAsia="zh-CN" w:bidi="ar-SA"/>
      </w:rPr>
    </w:lvl>
    <w:lvl w:ilvl="7">
      <w:start w:val="0"/>
      <w:numFmt w:val="bullet"/>
      <w:lvlText w:val="•"/>
      <w:lvlJc w:val="left"/>
      <w:pPr>
        <w:ind w:left="7266" w:hanging="345"/>
      </w:pPr>
      <w:rPr>
        <w:rFonts w:hint="default"/>
        <w:lang w:val="en-US" w:eastAsia="zh-CN" w:bidi="ar-SA"/>
      </w:rPr>
    </w:lvl>
    <w:lvl w:ilvl="8">
      <w:start w:val="0"/>
      <w:numFmt w:val="bullet"/>
      <w:lvlText w:val="•"/>
      <w:lvlJc w:val="left"/>
      <w:pPr>
        <w:ind w:left="8172" w:hanging="345"/>
      </w:pPr>
      <w:rPr>
        <w:rFonts w:hint="default"/>
        <w:lang w:val="en-US" w:eastAsia="zh-CN" w:bidi="ar-SA"/>
      </w:rPr>
    </w:lvl>
  </w:abstractNum>
  <w:abstractNum w:abstractNumId="12">
    <w:nsid w:val="59B5B2D0"/>
    <w:multiLevelType w:val="hybridMultilevel"/>
    <w:tmpl w:val="00000000"/>
    <w:lvl w:ilvl="0">
      <w:start w:val="2"/>
      <w:numFmt w:val="decimal"/>
      <w:lvlText w:val="%1"/>
      <w:lvlJc w:val="left"/>
      <w:pPr>
        <w:ind w:left="915" w:hanging="345"/>
        <w:jc w:val="left"/>
      </w:pPr>
      <w:rPr>
        <w:rFonts w:hint="default"/>
        <w:lang w:val="en-US" w:eastAsia="zh-CN" w:bidi="ar-SA"/>
      </w:rPr>
    </w:lvl>
    <w:lvl w:ilvl="1">
      <w:start w:val="1"/>
      <w:numFmt w:val="decimal"/>
      <w:lvlText w:val="%1.%2"/>
      <w:lvlJc w:val="left"/>
      <w:pPr>
        <w:ind w:left="915" w:hanging="345"/>
        <w:jc w:val="left"/>
      </w:pPr>
      <w:rPr>
        <w:rFonts w:ascii="宋体" w:eastAsia="宋体" w:hAnsi="宋体" w:cs="宋体" w:hint="default"/>
        <w:b w:val="0"/>
        <w:bCs w:val="0"/>
        <w:i w:val="0"/>
        <w:iCs w:val="0"/>
        <w:spacing w:val="-9"/>
        <w:w w:val="100"/>
        <w:sz w:val="22"/>
        <w:szCs w:val="22"/>
        <w:lang w:val="en-US" w:eastAsia="zh-CN" w:bidi="ar-SA"/>
      </w:rPr>
    </w:lvl>
    <w:lvl w:ilvl="2">
      <w:start w:val="0"/>
      <w:numFmt w:val="bullet"/>
      <w:lvlText w:val="•"/>
      <w:lvlJc w:val="left"/>
      <w:pPr>
        <w:ind w:left="2733" w:hanging="345"/>
      </w:pPr>
      <w:rPr>
        <w:rFonts w:hint="default"/>
        <w:lang w:val="en-US" w:eastAsia="zh-CN" w:bidi="ar-SA"/>
      </w:rPr>
    </w:lvl>
    <w:lvl w:ilvl="3">
      <w:start w:val="0"/>
      <w:numFmt w:val="bullet"/>
      <w:lvlText w:val="•"/>
      <w:lvlJc w:val="left"/>
      <w:pPr>
        <w:ind w:left="3639" w:hanging="345"/>
      </w:pPr>
      <w:rPr>
        <w:rFonts w:hint="default"/>
        <w:lang w:val="en-US" w:eastAsia="zh-CN" w:bidi="ar-SA"/>
      </w:rPr>
    </w:lvl>
    <w:lvl w:ilvl="4">
      <w:start w:val="0"/>
      <w:numFmt w:val="bullet"/>
      <w:lvlText w:val="•"/>
      <w:lvlJc w:val="left"/>
      <w:pPr>
        <w:ind w:left="4546" w:hanging="345"/>
      </w:pPr>
      <w:rPr>
        <w:rFonts w:hint="default"/>
        <w:lang w:val="en-US" w:eastAsia="zh-CN" w:bidi="ar-SA"/>
      </w:rPr>
    </w:lvl>
    <w:lvl w:ilvl="5">
      <w:start w:val="0"/>
      <w:numFmt w:val="bullet"/>
      <w:lvlText w:val="•"/>
      <w:lvlJc w:val="left"/>
      <w:pPr>
        <w:ind w:left="5453" w:hanging="345"/>
      </w:pPr>
      <w:rPr>
        <w:rFonts w:hint="default"/>
        <w:lang w:val="en-US" w:eastAsia="zh-CN" w:bidi="ar-SA"/>
      </w:rPr>
    </w:lvl>
    <w:lvl w:ilvl="6">
      <w:start w:val="0"/>
      <w:numFmt w:val="bullet"/>
      <w:lvlText w:val="•"/>
      <w:lvlJc w:val="left"/>
      <w:pPr>
        <w:ind w:left="6359" w:hanging="345"/>
      </w:pPr>
      <w:rPr>
        <w:rFonts w:hint="default"/>
        <w:lang w:val="en-US" w:eastAsia="zh-CN" w:bidi="ar-SA"/>
      </w:rPr>
    </w:lvl>
    <w:lvl w:ilvl="7">
      <w:start w:val="0"/>
      <w:numFmt w:val="bullet"/>
      <w:lvlText w:val="•"/>
      <w:lvlJc w:val="left"/>
      <w:pPr>
        <w:ind w:left="7266" w:hanging="345"/>
      </w:pPr>
      <w:rPr>
        <w:rFonts w:hint="default"/>
        <w:lang w:val="en-US" w:eastAsia="zh-CN" w:bidi="ar-SA"/>
      </w:rPr>
    </w:lvl>
    <w:lvl w:ilvl="8">
      <w:start w:val="0"/>
      <w:numFmt w:val="bullet"/>
      <w:lvlText w:val="•"/>
      <w:lvlJc w:val="left"/>
      <w:pPr>
        <w:ind w:left="8172" w:hanging="345"/>
      </w:pPr>
      <w:rPr>
        <w:rFonts w:hint="default"/>
        <w:lang w:val="en-US" w:eastAsia="zh-CN" w:bidi="ar-SA"/>
      </w:rPr>
    </w:lvl>
  </w:abstractNum>
  <w:abstractNum w:abstractNumId="13">
    <w:nsid w:val="5ED2D6A3"/>
    <w:multiLevelType w:val="hybridMultilevel"/>
    <w:tmpl w:val="00000000"/>
    <w:lvl w:ilvl="0">
      <w:start w:val="3"/>
      <w:numFmt w:val="decimal"/>
      <w:lvlText w:val="%1"/>
      <w:lvlJc w:val="left"/>
      <w:pPr>
        <w:ind w:left="915" w:hanging="345"/>
        <w:jc w:val="left"/>
      </w:pPr>
      <w:rPr>
        <w:rFonts w:hint="default"/>
        <w:lang w:val="en-US" w:eastAsia="zh-CN" w:bidi="ar-SA"/>
      </w:rPr>
    </w:lvl>
    <w:lvl w:ilvl="1">
      <w:start w:val="1"/>
      <w:numFmt w:val="decimal"/>
      <w:lvlText w:val="%1.%2"/>
      <w:lvlJc w:val="left"/>
      <w:pPr>
        <w:ind w:left="915" w:hanging="345"/>
        <w:jc w:val="left"/>
      </w:pPr>
      <w:rPr>
        <w:rFonts w:ascii="宋体" w:eastAsia="宋体" w:hAnsi="宋体" w:cs="宋体" w:hint="default"/>
        <w:b w:val="0"/>
        <w:bCs w:val="0"/>
        <w:i w:val="0"/>
        <w:iCs w:val="0"/>
        <w:spacing w:val="-9"/>
        <w:w w:val="100"/>
        <w:sz w:val="22"/>
        <w:szCs w:val="22"/>
        <w:lang w:val="en-US" w:eastAsia="zh-CN" w:bidi="ar-SA"/>
      </w:rPr>
    </w:lvl>
    <w:lvl w:ilvl="2">
      <w:start w:val="0"/>
      <w:numFmt w:val="bullet"/>
      <w:lvlText w:val="•"/>
      <w:lvlJc w:val="left"/>
      <w:pPr>
        <w:ind w:left="2733" w:hanging="345"/>
      </w:pPr>
      <w:rPr>
        <w:rFonts w:hint="default"/>
        <w:lang w:val="en-US" w:eastAsia="zh-CN" w:bidi="ar-SA"/>
      </w:rPr>
    </w:lvl>
    <w:lvl w:ilvl="3">
      <w:start w:val="0"/>
      <w:numFmt w:val="bullet"/>
      <w:lvlText w:val="•"/>
      <w:lvlJc w:val="left"/>
      <w:pPr>
        <w:ind w:left="3639" w:hanging="345"/>
      </w:pPr>
      <w:rPr>
        <w:rFonts w:hint="default"/>
        <w:lang w:val="en-US" w:eastAsia="zh-CN" w:bidi="ar-SA"/>
      </w:rPr>
    </w:lvl>
    <w:lvl w:ilvl="4">
      <w:start w:val="0"/>
      <w:numFmt w:val="bullet"/>
      <w:lvlText w:val="•"/>
      <w:lvlJc w:val="left"/>
      <w:pPr>
        <w:ind w:left="4546" w:hanging="345"/>
      </w:pPr>
      <w:rPr>
        <w:rFonts w:hint="default"/>
        <w:lang w:val="en-US" w:eastAsia="zh-CN" w:bidi="ar-SA"/>
      </w:rPr>
    </w:lvl>
    <w:lvl w:ilvl="5">
      <w:start w:val="0"/>
      <w:numFmt w:val="bullet"/>
      <w:lvlText w:val="•"/>
      <w:lvlJc w:val="left"/>
      <w:pPr>
        <w:ind w:left="5453" w:hanging="345"/>
      </w:pPr>
      <w:rPr>
        <w:rFonts w:hint="default"/>
        <w:lang w:val="en-US" w:eastAsia="zh-CN" w:bidi="ar-SA"/>
      </w:rPr>
    </w:lvl>
    <w:lvl w:ilvl="6">
      <w:start w:val="0"/>
      <w:numFmt w:val="bullet"/>
      <w:lvlText w:val="•"/>
      <w:lvlJc w:val="left"/>
      <w:pPr>
        <w:ind w:left="6359" w:hanging="345"/>
      </w:pPr>
      <w:rPr>
        <w:rFonts w:hint="default"/>
        <w:lang w:val="en-US" w:eastAsia="zh-CN" w:bidi="ar-SA"/>
      </w:rPr>
    </w:lvl>
    <w:lvl w:ilvl="7">
      <w:start w:val="0"/>
      <w:numFmt w:val="bullet"/>
      <w:lvlText w:val="•"/>
      <w:lvlJc w:val="left"/>
      <w:pPr>
        <w:ind w:left="7266" w:hanging="345"/>
      </w:pPr>
      <w:rPr>
        <w:rFonts w:hint="default"/>
        <w:lang w:val="en-US" w:eastAsia="zh-CN" w:bidi="ar-SA"/>
      </w:rPr>
    </w:lvl>
    <w:lvl w:ilvl="8">
      <w:start w:val="0"/>
      <w:numFmt w:val="bullet"/>
      <w:lvlText w:val="•"/>
      <w:lvlJc w:val="left"/>
      <w:pPr>
        <w:ind w:left="8172" w:hanging="345"/>
      </w:pPr>
      <w:rPr>
        <w:rFonts w:hint="default"/>
        <w:lang w:val="en-US" w:eastAsia="zh-CN" w:bidi="ar-SA"/>
      </w:rPr>
    </w:lvl>
  </w:abstractNum>
  <w:abstractNum w:abstractNumId="14">
    <w:nsid w:val="632DD47A"/>
    <w:multiLevelType w:val="hybridMultilevel"/>
    <w:tmpl w:val="00000000"/>
    <w:lvl w:ilvl="0">
      <w:start w:val="6"/>
      <w:numFmt w:val="decimal"/>
      <w:lvlText w:val="%1"/>
      <w:lvlJc w:val="left"/>
      <w:pPr>
        <w:ind w:left="915" w:hanging="345"/>
        <w:jc w:val="left"/>
      </w:pPr>
      <w:rPr>
        <w:rFonts w:hint="default"/>
        <w:lang w:val="en-US" w:eastAsia="zh-CN" w:bidi="ar-SA"/>
      </w:rPr>
    </w:lvl>
    <w:lvl w:ilvl="1">
      <w:start w:val="1"/>
      <w:numFmt w:val="decimal"/>
      <w:lvlText w:val="%1.%2"/>
      <w:lvlJc w:val="left"/>
      <w:pPr>
        <w:ind w:left="915" w:hanging="345"/>
        <w:jc w:val="left"/>
      </w:pPr>
      <w:rPr>
        <w:rFonts w:ascii="宋体" w:eastAsia="宋体" w:hAnsi="宋体" w:cs="宋体" w:hint="default"/>
        <w:b w:val="0"/>
        <w:bCs w:val="0"/>
        <w:i w:val="0"/>
        <w:iCs w:val="0"/>
        <w:spacing w:val="-9"/>
        <w:w w:val="100"/>
        <w:sz w:val="22"/>
        <w:szCs w:val="22"/>
        <w:lang w:val="en-US" w:eastAsia="zh-CN" w:bidi="ar-SA"/>
      </w:rPr>
    </w:lvl>
    <w:lvl w:ilvl="2">
      <w:start w:val="0"/>
      <w:numFmt w:val="bullet"/>
      <w:lvlText w:val="•"/>
      <w:lvlJc w:val="left"/>
      <w:pPr>
        <w:ind w:left="2733" w:hanging="345"/>
      </w:pPr>
      <w:rPr>
        <w:rFonts w:hint="default"/>
        <w:lang w:val="en-US" w:eastAsia="zh-CN" w:bidi="ar-SA"/>
      </w:rPr>
    </w:lvl>
    <w:lvl w:ilvl="3">
      <w:start w:val="0"/>
      <w:numFmt w:val="bullet"/>
      <w:lvlText w:val="•"/>
      <w:lvlJc w:val="left"/>
      <w:pPr>
        <w:ind w:left="3639" w:hanging="345"/>
      </w:pPr>
      <w:rPr>
        <w:rFonts w:hint="default"/>
        <w:lang w:val="en-US" w:eastAsia="zh-CN" w:bidi="ar-SA"/>
      </w:rPr>
    </w:lvl>
    <w:lvl w:ilvl="4">
      <w:start w:val="0"/>
      <w:numFmt w:val="bullet"/>
      <w:lvlText w:val="•"/>
      <w:lvlJc w:val="left"/>
      <w:pPr>
        <w:ind w:left="4546" w:hanging="345"/>
      </w:pPr>
      <w:rPr>
        <w:rFonts w:hint="default"/>
        <w:lang w:val="en-US" w:eastAsia="zh-CN" w:bidi="ar-SA"/>
      </w:rPr>
    </w:lvl>
    <w:lvl w:ilvl="5">
      <w:start w:val="0"/>
      <w:numFmt w:val="bullet"/>
      <w:lvlText w:val="•"/>
      <w:lvlJc w:val="left"/>
      <w:pPr>
        <w:ind w:left="5453" w:hanging="345"/>
      </w:pPr>
      <w:rPr>
        <w:rFonts w:hint="default"/>
        <w:lang w:val="en-US" w:eastAsia="zh-CN" w:bidi="ar-SA"/>
      </w:rPr>
    </w:lvl>
    <w:lvl w:ilvl="6">
      <w:start w:val="0"/>
      <w:numFmt w:val="bullet"/>
      <w:lvlText w:val="•"/>
      <w:lvlJc w:val="left"/>
      <w:pPr>
        <w:ind w:left="6359" w:hanging="345"/>
      </w:pPr>
      <w:rPr>
        <w:rFonts w:hint="default"/>
        <w:lang w:val="en-US" w:eastAsia="zh-CN" w:bidi="ar-SA"/>
      </w:rPr>
    </w:lvl>
    <w:lvl w:ilvl="7">
      <w:start w:val="0"/>
      <w:numFmt w:val="bullet"/>
      <w:lvlText w:val="•"/>
      <w:lvlJc w:val="left"/>
      <w:pPr>
        <w:ind w:left="7266" w:hanging="345"/>
      </w:pPr>
      <w:rPr>
        <w:rFonts w:hint="default"/>
        <w:lang w:val="en-US" w:eastAsia="zh-CN" w:bidi="ar-SA"/>
      </w:rPr>
    </w:lvl>
    <w:lvl w:ilvl="8">
      <w:start w:val="0"/>
      <w:numFmt w:val="bullet"/>
      <w:lvlText w:val="•"/>
      <w:lvlJc w:val="left"/>
      <w:pPr>
        <w:ind w:left="8172" w:hanging="345"/>
      </w:pPr>
      <w:rPr>
        <w:rFonts w:hint="default"/>
        <w:lang w:val="en-US" w:eastAsia="zh-CN" w:bidi="ar-SA"/>
      </w:rPr>
    </w:lvl>
  </w:abstractNum>
  <w:abstractNum w:abstractNumId="15">
    <w:nsid w:val="711E1738"/>
    <w:multiLevelType w:val="hybridMultilevel"/>
    <w:tmpl w:val="00000000"/>
    <w:lvl w:ilvl="0">
      <w:start w:val="1"/>
      <w:numFmt w:val="decimal"/>
      <w:lvlText w:val="%1）"/>
      <w:lvlJc w:val="left"/>
      <w:pPr>
        <w:ind w:left="931" w:hanging="360"/>
        <w:jc w:val="left"/>
      </w:pPr>
      <w:rPr>
        <w:rFonts w:ascii="Times New Roman" w:eastAsia="Times New Roman" w:hAnsi="Times New Roman" w:cs="Times New Roman" w:hint="default"/>
        <w:b w:val="0"/>
        <w:bCs w:val="0"/>
        <w:i w:val="0"/>
        <w:iCs w:val="0"/>
        <w:spacing w:val="-9"/>
        <w:w w:val="100"/>
        <w:sz w:val="22"/>
        <w:szCs w:val="22"/>
        <w:lang w:val="en-US" w:eastAsia="zh-CN" w:bidi="ar-SA"/>
      </w:rPr>
    </w:lvl>
    <w:lvl w:ilvl="1">
      <w:start w:val="0"/>
      <w:numFmt w:val="bullet"/>
      <w:lvlText w:val="•"/>
      <w:lvlJc w:val="left"/>
      <w:pPr>
        <w:ind w:left="1844" w:hanging="360"/>
      </w:pPr>
      <w:rPr>
        <w:rFonts w:hint="default"/>
        <w:lang w:val="en-US" w:eastAsia="zh-CN" w:bidi="ar-SA"/>
      </w:rPr>
    </w:lvl>
    <w:lvl w:ilvl="2">
      <w:start w:val="0"/>
      <w:numFmt w:val="bullet"/>
      <w:lvlText w:val="•"/>
      <w:lvlJc w:val="left"/>
      <w:pPr>
        <w:ind w:left="2749" w:hanging="360"/>
      </w:pPr>
      <w:rPr>
        <w:rFonts w:hint="default"/>
        <w:lang w:val="en-US" w:eastAsia="zh-CN" w:bidi="ar-SA"/>
      </w:rPr>
    </w:lvl>
    <w:lvl w:ilvl="3">
      <w:start w:val="0"/>
      <w:numFmt w:val="bullet"/>
      <w:lvlText w:val="•"/>
      <w:lvlJc w:val="left"/>
      <w:pPr>
        <w:ind w:left="3653" w:hanging="360"/>
      </w:pPr>
      <w:rPr>
        <w:rFonts w:hint="default"/>
        <w:lang w:val="en-US" w:eastAsia="zh-CN" w:bidi="ar-SA"/>
      </w:rPr>
    </w:lvl>
    <w:lvl w:ilvl="4">
      <w:start w:val="0"/>
      <w:numFmt w:val="bullet"/>
      <w:lvlText w:val="•"/>
      <w:lvlJc w:val="left"/>
      <w:pPr>
        <w:ind w:left="4558" w:hanging="360"/>
      </w:pPr>
      <w:rPr>
        <w:rFonts w:hint="default"/>
        <w:lang w:val="en-US" w:eastAsia="zh-CN" w:bidi="ar-SA"/>
      </w:rPr>
    </w:lvl>
    <w:lvl w:ilvl="5">
      <w:start w:val="0"/>
      <w:numFmt w:val="bullet"/>
      <w:lvlText w:val="•"/>
      <w:lvlJc w:val="left"/>
      <w:pPr>
        <w:ind w:left="5463" w:hanging="360"/>
      </w:pPr>
      <w:rPr>
        <w:rFonts w:hint="default"/>
        <w:lang w:val="en-US" w:eastAsia="zh-CN" w:bidi="ar-SA"/>
      </w:rPr>
    </w:lvl>
    <w:lvl w:ilvl="6">
      <w:start w:val="0"/>
      <w:numFmt w:val="bullet"/>
      <w:lvlText w:val="•"/>
      <w:lvlJc w:val="left"/>
      <w:pPr>
        <w:ind w:left="6367" w:hanging="360"/>
      </w:pPr>
      <w:rPr>
        <w:rFonts w:hint="default"/>
        <w:lang w:val="en-US" w:eastAsia="zh-CN" w:bidi="ar-SA"/>
      </w:rPr>
    </w:lvl>
    <w:lvl w:ilvl="7">
      <w:start w:val="0"/>
      <w:numFmt w:val="bullet"/>
      <w:lvlText w:val="•"/>
      <w:lvlJc w:val="left"/>
      <w:pPr>
        <w:ind w:left="7272" w:hanging="360"/>
      </w:pPr>
      <w:rPr>
        <w:rFonts w:hint="default"/>
        <w:lang w:val="en-US" w:eastAsia="zh-CN" w:bidi="ar-SA"/>
      </w:rPr>
    </w:lvl>
    <w:lvl w:ilvl="8">
      <w:start w:val="0"/>
      <w:numFmt w:val="bullet"/>
      <w:lvlText w:val="•"/>
      <w:lvlJc w:val="left"/>
      <w:pPr>
        <w:ind w:left="8176" w:hanging="360"/>
      </w:pPr>
      <w:rPr>
        <w:rFonts w:hint="default"/>
        <w:lang w:val="en-US" w:eastAsia="zh-CN" w:bidi="ar-SA"/>
      </w:rPr>
    </w:lvl>
  </w:abstractNum>
  <w:abstractNum w:abstractNumId="16">
    <w:nsid w:val="78DBB764"/>
    <w:multiLevelType w:val="hybridMultilevel"/>
    <w:tmpl w:val="00000000"/>
    <w:lvl w:ilvl="0">
      <w:start w:val="1"/>
      <w:numFmt w:val="decimal"/>
      <w:lvlText w:val="%1）"/>
      <w:lvlJc w:val="left"/>
      <w:pPr>
        <w:ind w:left="956" w:hanging="386"/>
        <w:jc w:val="left"/>
      </w:pPr>
      <w:rPr>
        <w:rFonts w:ascii="Times New Roman" w:eastAsia="Times New Roman" w:hAnsi="Times New Roman" w:cs="Times New Roman" w:hint="default"/>
        <w:b w:val="0"/>
        <w:bCs w:val="0"/>
        <w:i w:val="0"/>
        <w:iCs w:val="0"/>
        <w:spacing w:val="-9"/>
        <w:w w:val="100"/>
        <w:sz w:val="24"/>
        <w:szCs w:val="24"/>
        <w:lang w:val="en-US" w:eastAsia="zh-CN" w:bidi="ar-SA"/>
      </w:rPr>
    </w:lvl>
    <w:lvl w:ilvl="1">
      <w:start w:val="0"/>
      <w:numFmt w:val="bullet"/>
      <w:lvlText w:val="•"/>
      <w:lvlJc w:val="left"/>
      <w:pPr>
        <w:ind w:left="1862" w:hanging="386"/>
      </w:pPr>
      <w:rPr>
        <w:rFonts w:hint="default"/>
        <w:lang w:val="en-US" w:eastAsia="zh-CN" w:bidi="ar-SA"/>
      </w:rPr>
    </w:lvl>
    <w:lvl w:ilvl="2">
      <w:start w:val="0"/>
      <w:numFmt w:val="bullet"/>
      <w:lvlText w:val="•"/>
      <w:lvlJc w:val="left"/>
      <w:pPr>
        <w:ind w:left="2765" w:hanging="386"/>
      </w:pPr>
      <w:rPr>
        <w:rFonts w:hint="default"/>
        <w:lang w:val="en-US" w:eastAsia="zh-CN" w:bidi="ar-SA"/>
      </w:rPr>
    </w:lvl>
    <w:lvl w:ilvl="3">
      <w:start w:val="0"/>
      <w:numFmt w:val="bullet"/>
      <w:lvlText w:val="•"/>
      <w:lvlJc w:val="left"/>
      <w:pPr>
        <w:ind w:left="3667" w:hanging="386"/>
      </w:pPr>
      <w:rPr>
        <w:rFonts w:hint="default"/>
        <w:lang w:val="en-US" w:eastAsia="zh-CN" w:bidi="ar-SA"/>
      </w:rPr>
    </w:lvl>
    <w:lvl w:ilvl="4">
      <w:start w:val="0"/>
      <w:numFmt w:val="bullet"/>
      <w:lvlText w:val="•"/>
      <w:lvlJc w:val="left"/>
      <w:pPr>
        <w:ind w:left="4570" w:hanging="386"/>
      </w:pPr>
      <w:rPr>
        <w:rFonts w:hint="default"/>
        <w:lang w:val="en-US" w:eastAsia="zh-CN" w:bidi="ar-SA"/>
      </w:rPr>
    </w:lvl>
    <w:lvl w:ilvl="5">
      <w:start w:val="0"/>
      <w:numFmt w:val="bullet"/>
      <w:lvlText w:val="•"/>
      <w:lvlJc w:val="left"/>
      <w:pPr>
        <w:ind w:left="5473" w:hanging="386"/>
      </w:pPr>
      <w:rPr>
        <w:rFonts w:hint="default"/>
        <w:lang w:val="en-US" w:eastAsia="zh-CN" w:bidi="ar-SA"/>
      </w:rPr>
    </w:lvl>
    <w:lvl w:ilvl="6">
      <w:start w:val="0"/>
      <w:numFmt w:val="bullet"/>
      <w:lvlText w:val="•"/>
      <w:lvlJc w:val="left"/>
      <w:pPr>
        <w:ind w:left="6375" w:hanging="386"/>
      </w:pPr>
      <w:rPr>
        <w:rFonts w:hint="default"/>
        <w:lang w:val="en-US" w:eastAsia="zh-CN" w:bidi="ar-SA"/>
      </w:rPr>
    </w:lvl>
    <w:lvl w:ilvl="7">
      <w:start w:val="0"/>
      <w:numFmt w:val="bullet"/>
      <w:lvlText w:val="•"/>
      <w:lvlJc w:val="left"/>
      <w:pPr>
        <w:ind w:left="7278" w:hanging="386"/>
      </w:pPr>
      <w:rPr>
        <w:rFonts w:hint="default"/>
        <w:lang w:val="en-US" w:eastAsia="zh-CN" w:bidi="ar-SA"/>
      </w:rPr>
    </w:lvl>
    <w:lvl w:ilvl="8">
      <w:start w:val="0"/>
      <w:numFmt w:val="bullet"/>
      <w:lvlText w:val="•"/>
      <w:lvlJc w:val="left"/>
      <w:pPr>
        <w:ind w:left="8180" w:hanging="386"/>
      </w:pPr>
      <w:rPr>
        <w:rFonts w:hint="default"/>
        <w:lang w:val="en-US" w:eastAsia="zh-CN" w:bidi="ar-SA"/>
      </w:rPr>
    </w:lvl>
  </w:abstractNum>
  <w:abstractNum w:abstractNumId="17">
    <w:nsid w:val="7F8ADC6C"/>
    <w:multiLevelType w:val="hybridMultilevel"/>
    <w:tmpl w:val="00000000"/>
    <w:lvl w:ilvl="0">
      <w:start w:val="0"/>
      <w:numFmt w:val="bullet"/>
      <w:lvlText w:val=""/>
      <w:lvlJc w:val="left"/>
      <w:pPr>
        <w:ind w:left="571" w:hanging="420"/>
      </w:pPr>
      <w:rPr>
        <w:rFonts w:ascii="Wingdings" w:eastAsia="Wingdings" w:hAnsi="Wingdings" w:cs="Wingdings" w:hint="default"/>
        <w:b w:val="0"/>
        <w:bCs w:val="0"/>
        <w:i w:val="0"/>
        <w:iCs w:val="0"/>
        <w:w w:val="100"/>
        <w:sz w:val="24"/>
        <w:szCs w:val="24"/>
        <w:lang w:val="en-US" w:eastAsia="zh-CN" w:bidi="ar-SA"/>
      </w:rPr>
    </w:lvl>
    <w:lvl w:ilvl="1">
      <w:start w:val="0"/>
      <w:numFmt w:val="bullet"/>
      <w:lvlText w:val="•"/>
      <w:lvlJc w:val="left"/>
      <w:pPr>
        <w:ind w:left="1520" w:hanging="420"/>
      </w:pPr>
      <w:rPr>
        <w:rFonts w:hint="default"/>
        <w:lang w:val="en-US" w:eastAsia="zh-CN" w:bidi="ar-SA"/>
      </w:rPr>
    </w:lvl>
    <w:lvl w:ilvl="2">
      <w:start w:val="0"/>
      <w:numFmt w:val="bullet"/>
      <w:lvlText w:val="•"/>
      <w:lvlJc w:val="left"/>
      <w:pPr>
        <w:ind w:left="2461" w:hanging="420"/>
      </w:pPr>
      <w:rPr>
        <w:rFonts w:hint="default"/>
        <w:lang w:val="en-US" w:eastAsia="zh-CN" w:bidi="ar-SA"/>
      </w:rPr>
    </w:lvl>
    <w:lvl w:ilvl="3">
      <w:start w:val="0"/>
      <w:numFmt w:val="bullet"/>
      <w:lvlText w:val="•"/>
      <w:lvlJc w:val="left"/>
      <w:pPr>
        <w:ind w:left="3401" w:hanging="420"/>
      </w:pPr>
      <w:rPr>
        <w:rFonts w:hint="default"/>
        <w:lang w:val="en-US" w:eastAsia="zh-CN" w:bidi="ar-SA"/>
      </w:rPr>
    </w:lvl>
    <w:lvl w:ilvl="4">
      <w:start w:val="0"/>
      <w:numFmt w:val="bullet"/>
      <w:lvlText w:val="•"/>
      <w:lvlJc w:val="left"/>
      <w:pPr>
        <w:ind w:left="4342" w:hanging="420"/>
      </w:pPr>
      <w:rPr>
        <w:rFonts w:hint="default"/>
        <w:lang w:val="en-US" w:eastAsia="zh-CN" w:bidi="ar-SA"/>
      </w:rPr>
    </w:lvl>
    <w:lvl w:ilvl="5">
      <w:start w:val="0"/>
      <w:numFmt w:val="bullet"/>
      <w:lvlText w:val="•"/>
      <w:lvlJc w:val="left"/>
      <w:pPr>
        <w:ind w:left="5283" w:hanging="420"/>
      </w:pPr>
      <w:rPr>
        <w:rFonts w:hint="default"/>
        <w:lang w:val="en-US" w:eastAsia="zh-CN" w:bidi="ar-SA"/>
      </w:rPr>
    </w:lvl>
    <w:lvl w:ilvl="6">
      <w:start w:val="0"/>
      <w:numFmt w:val="bullet"/>
      <w:lvlText w:val="•"/>
      <w:lvlJc w:val="left"/>
      <w:pPr>
        <w:ind w:left="6223" w:hanging="420"/>
      </w:pPr>
      <w:rPr>
        <w:rFonts w:hint="default"/>
        <w:lang w:val="en-US" w:eastAsia="zh-CN" w:bidi="ar-SA"/>
      </w:rPr>
    </w:lvl>
    <w:lvl w:ilvl="7">
      <w:start w:val="0"/>
      <w:numFmt w:val="bullet"/>
      <w:lvlText w:val="•"/>
      <w:lvlJc w:val="left"/>
      <w:pPr>
        <w:ind w:left="7164" w:hanging="420"/>
      </w:pPr>
      <w:rPr>
        <w:rFonts w:hint="default"/>
        <w:lang w:val="en-US" w:eastAsia="zh-CN" w:bidi="ar-SA"/>
      </w:rPr>
    </w:lvl>
    <w:lvl w:ilvl="8">
      <w:start w:val="0"/>
      <w:numFmt w:val="bullet"/>
      <w:lvlText w:val="•"/>
      <w:lvlJc w:val="left"/>
      <w:pPr>
        <w:ind w:left="8104" w:hanging="420"/>
      </w:pPr>
      <w:rPr>
        <w:rFonts w:hint="default"/>
        <w:lang w:val="en-US" w:eastAsia="zh-CN" w:bidi="ar-SA"/>
      </w:rPr>
    </w:lvl>
  </w:abstractNum>
  <w:num w:numId="1">
    <w:abstractNumId w:val="12"/>
  </w:num>
  <w:num w:numId="2">
    <w:abstractNumId w:val="7"/>
  </w:num>
  <w:num w:numId="3">
    <w:abstractNumId w:val="6"/>
  </w:num>
  <w:num w:numId="4">
    <w:abstractNumId w:val="14"/>
  </w:num>
  <w:num w:numId="5">
    <w:abstractNumId w:val="2"/>
  </w:num>
  <w:num w:numId="6">
    <w:abstractNumId w:val="1"/>
  </w:num>
  <w:num w:numId="7">
    <w:abstractNumId w:val="13"/>
  </w:num>
  <w:num w:numId="8">
    <w:abstractNumId w:val="11"/>
  </w:num>
  <w:num w:numId="9">
    <w:abstractNumId w:val="3"/>
  </w:num>
  <w:num w:numId="10">
    <w:abstractNumId w:val="17"/>
  </w:num>
  <w:num w:numId="11">
    <w:abstractNumId w:val="8"/>
  </w:num>
  <w:num w:numId="12">
    <w:abstractNumId w:val="10"/>
  </w:num>
  <w:num w:numId="13">
    <w:abstractNumId w:val="16"/>
  </w:num>
  <w:num w:numId="14">
    <w:abstractNumId w:val="5"/>
  </w:num>
  <w:num w:numId="15">
    <w:abstractNumId w:val="0"/>
  </w:num>
  <w:num w:numId="16">
    <w:abstractNumId w:val="15"/>
  </w:num>
  <w:num w:numId="17">
    <w:abstractNumId w:val="9"/>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571"/>
      <w:outlineLvl w:val="0"/>
    </w:pPr>
    <w:rPr>
      <w:rFonts w:ascii="Microsoft JhengHei" w:eastAsia="Microsoft JhengHei" w:hAnsi="Microsoft JhengHei" w:cs="Microsoft JhengHei"/>
      <w:b/>
      <w:bCs/>
      <w:sz w:val="28"/>
      <w:szCs w:val="28"/>
      <w:lang w:val="en-US" w:eastAsia="zh-CN" w:bidi="ar-SA"/>
    </w:rPr>
  </w:style>
  <w:style w:type="paragraph" w:styleId="Heading2">
    <w:name w:val="heading 2"/>
    <w:basedOn w:val="Normal"/>
    <w:uiPriority w:val="1"/>
    <w:qFormat/>
    <w:pPr>
      <w:ind w:left="571"/>
      <w:outlineLvl w:val="1"/>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9"/>
      <w:ind w:left="571"/>
    </w:pPr>
    <w:rPr>
      <w:rFonts w:ascii="宋体" w:eastAsia="宋体" w:hAnsi="宋体" w:cs="宋体"/>
      <w:sz w:val="21"/>
      <w:szCs w:val="21"/>
      <w:lang w:val="en-US" w:eastAsia="zh-CN" w:bidi="ar-SA"/>
    </w:rPr>
  </w:style>
  <w:style w:type="paragraph" w:styleId="TOC2">
    <w:name w:val="toc 2"/>
    <w:basedOn w:val="Normal"/>
    <w:uiPriority w:val="1"/>
    <w:qFormat/>
    <w:pPr>
      <w:spacing w:before="107"/>
      <w:ind w:left="571"/>
    </w:pPr>
    <w:rPr>
      <w:rFonts w:ascii="宋体" w:eastAsia="宋体" w:hAnsi="宋体" w:cs="宋体"/>
      <w:sz w:val="20"/>
      <w:szCs w:val="20"/>
      <w:lang w:val="en-US" w:eastAsia="zh-CN" w:bidi="ar-SA"/>
    </w:rPr>
  </w:style>
  <w:style w:type="paragraph" w:styleId="TOC3">
    <w:name w:val="toc 3"/>
    <w:basedOn w:val="Normal"/>
    <w:uiPriority w:val="1"/>
    <w:qFormat/>
    <w:pPr>
      <w:spacing w:before="188"/>
      <w:ind w:left="571"/>
    </w:pPr>
    <w:rPr>
      <w:rFonts w:ascii="宋体" w:eastAsia="宋体" w:hAnsi="宋体" w:cs="宋体"/>
      <w:sz w:val="18"/>
      <w:szCs w:val="18"/>
      <w:lang w:val="en-US" w:eastAsia="zh-CN" w:bidi="ar-SA"/>
    </w:rPr>
  </w:style>
  <w:style w:type="paragraph" w:styleId="TOC4">
    <w:name w:val="toc 4"/>
    <w:basedOn w:val="Normal"/>
    <w:uiPriority w:val="1"/>
    <w:qFormat/>
    <w:pPr>
      <w:spacing w:before="56"/>
      <w:ind w:left="781"/>
    </w:pPr>
    <w:rPr>
      <w:rFonts w:ascii="宋体" w:eastAsia="宋体" w:hAnsi="宋体" w:cs="宋体"/>
      <w:sz w:val="20"/>
      <w:szCs w:val="20"/>
      <w:lang w:val="en-US" w:eastAsia="zh-CN" w:bidi="ar-SA"/>
    </w:rPr>
  </w:style>
  <w:style w:type="paragraph" w:styleId="TOC5">
    <w:name w:val="toc 5"/>
    <w:basedOn w:val="Normal"/>
    <w:uiPriority w:val="1"/>
    <w:qFormat/>
    <w:pPr>
      <w:spacing w:before="56"/>
      <w:ind w:left="991"/>
    </w:pPr>
    <w:rPr>
      <w:rFonts w:ascii="宋体" w:eastAsia="宋体" w:hAnsi="宋体" w:cs="宋体"/>
      <w:sz w:val="20"/>
      <w:szCs w:val="20"/>
      <w:lang w:val="en-US" w:eastAsia="zh-CN" w:bidi="ar-SA"/>
    </w:rPr>
  </w:style>
  <w:style w:type="paragraph" w:styleId="BodyText">
    <w:name w:val="Body Text"/>
    <w:basedOn w:val="Normal"/>
    <w:uiPriority w:val="1"/>
    <w:qFormat/>
    <w:pPr>
      <w:ind w:left="571"/>
    </w:pPr>
    <w:rPr>
      <w:rFonts w:ascii="宋体" w:eastAsia="宋体" w:hAnsi="宋体" w:cs="宋体"/>
      <w:i/>
      <w:iCs/>
      <w:sz w:val="24"/>
      <w:szCs w:val="24"/>
      <w:lang w:val="en-US" w:eastAsia="zh-CN" w:bidi="ar-SA"/>
    </w:rPr>
  </w:style>
  <w:style w:type="paragraph" w:styleId="Title">
    <w:name w:val="Title"/>
    <w:basedOn w:val="Normal"/>
    <w:uiPriority w:val="1"/>
    <w:qFormat/>
    <w:pPr>
      <w:ind w:left="3403" w:right="3389"/>
      <w:jc w:val="center"/>
    </w:pPr>
    <w:rPr>
      <w:rFonts w:ascii="Microsoft JhengHei" w:eastAsia="Microsoft JhengHei" w:hAnsi="Microsoft JhengHei" w:cs="Microsoft JhengHei"/>
      <w:b/>
      <w:bCs/>
      <w:sz w:val="52"/>
      <w:szCs w:val="52"/>
      <w:lang w:val="en-US" w:eastAsia="zh-CN" w:bidi="ar-SA"/>
    </w:rPr>
  </w:style>
  <w:style w:type="paragraph" w:styleId="ListParagraph">
    <w:name w:val="List Paragraph"/>
    <w:basedOn w:val="Normal"/>
    <w:uiPriority w:val="1"/>
    <w:qFormat/>
    <w:pPr>
      <w:ind w:left="915" w:hanging="345"/>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58122000141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2024-03-01T04:06:38Z</dcterms:created>
  <dcterms:modified xsi:type="dcterms:W3CDTF">2024-03-01T04:06:38Z</dcterms:modified>
</cp:coreProperties>
</file>