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center"/>
        <w:textAlignment w:val="auto"/>
        <w:rPr>
          <w:rFonts w:ascii="宋体" w:eastAsia="宋体" w:hAnsi="宋体" w:cs="宋体" w:hint="eastAsia"/>
          <w:outline w:val="0"/>
          <w:shadow w:val="0"/>
          <w:emboss w:val="0"/>
          <w:imprint w:val="0"/>
          <w:vanish w:val="0"/>
          <w:w w:val="100"/>
          <w:sz w:val="28"/>
          <w:szCs w:val="28"/>
          <w:u w:val="none"/>
          <w:lang w:eastAsia="zh-CN"/>
        </w:rPr>
      </w:pPr>
      <w:bookmarkStart w:id="0" w:name="_GoBack"/>
      <w:bookmarkEnd w:id="0"/>
      <w:r>
        <w:rPr>
          <w:rFonts w:ascii="宋体" w:eastAsia="宋体" w:hAnsi="宋体" w:cs="宋体" w:hint="eastAsia"/>
          <w:outline w:val="0"/>
          <w:shadow w:val="0"/>
          <w:emboss w:val="0"/>
          <w:imprint w:val="0"/>
          <w:vanish w:val="0"/>
          <w:w w:val="100"/>
          <w:sz w:val="28"/>
          <w:szCs w:val="28"/>
          <w:u w:val="none"/>
          <w:lang w:eastAsia="zh-CN"/>
        </w:rPr>
        <w:t>银行柜员考试：建行柜员合规考试（最新版）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1、多选 以下关于前台业务授权说法正确的是（）。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A.办理现金付款5万元（不含）以上，资金转账50万元（含）以上的业务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B.监控账户、保证金账户、财政零余额账户、法人透支账户等需</w:t>
      </w:r>
      <w:r>
        <w:rPr>
          <w:rFonts w:ascii="宋体" w:eastAsia="宋体" w:hAnsi="宋体" w:cs="宋体" w:hint="eastAsia"/>
          <w:outline w:val="0"/>
          <w:shadow w:val="0"/>
          <w:emboss w:val="0"/>
          <w:imprint w:val="0"/>
          <w:vanish w:val="0"/>
          <w:w w:val="100"/>
          <w:sz w:val="28"/>
          <w:szCs w:val="28"/>
          <w:u w:val="none"/>
          <w:lang w:eastAsia="zh-CN"/>
        </w:rPr>
        <w:t>（江南博哥）</w:t>
      </w:r>
      <w:r>
        <w:rPr>
          <w:rFonts w:ascii="宋体" w:eastAsia="宋体" w:hAnsi="宋体" w:cs="宋体" w:hint="eastAsia"/>
          <w:outline w:val="0"/>
          <w:shadow w:val="0"/>
          <w:emboss w:val="0"/>
          <w:imprint w:val="0"/>
          <w:vanish w:val="0"/>
          <w:w w:val="100"/>
          <w:sz w:val="28"/>
          <w:szCs w:val="28"/>
          <w:u w:val="none"/>
        </w:rPr>
        <w:t>开户机构审批的特殊账户业务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C.自制/补制凭证类业务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D.业务编码为102001的对公账户向个人结算账户的转账业务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2、单选 （）是指能管理或驱动客户账户，具备资金收付、划转及清算功能，能够直接为外部客户提供交易类产品和服务的业务系统。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A.营业性系统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B.生产系统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C.实时处理系统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D.批量处理系统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E.备份系统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3、多选 理财卡白金卡客户名下的龙卡通账户可享受（）优惠。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A.免收年费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B.免收异地通存交易手续费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C.免收补卡/换卡手续费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D.异地转账交易手续费下浮50%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E.免收挂失手续费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4、多选 卓越卡的营销亮点有（）。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A.卓越企业信用名片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B.提升企业品牌形象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C.节约企业财务费用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D.为持卡人提供高额航空保障和优惠商旅服务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E.专享东航购票折扣优惠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5、多选 “借贷通”POS机的消费顺序包括（）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A.优先使用存款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B.优先使用贷款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C.只使用存款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D.只使用贷款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6、多选 客户信用评级可以在以下方面发挥重要作用（）。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pgSz w:w="11906" w:h="16838"/>
          <w:pgMar w:top="1440" w:right="1080" w:bottom="1440" w:left="1080" w:header="851" w:footer="992" w:gutter="0"/>
          <w:cols w:num="1" w:space="425"/>
          <w:docGrid w:type="lines" w:linePitch="312" w:charSpace="0"/>
        </w:sectPr>
      </w:pPr>
      <w:r>
        <w:rPr>
          <w:rFonts w:ascii="宋体" w:eastAsia="宋体" w:hAnsi="宋体" w:cs="宋体" w:hint="eastAsia"/>
          <w:outline w:val="0"/>
          <w:shadow w:val="0"/>
          <w:emboss w:val="0"/>
          <w:imprint w:val="0"/>
          <w:vanish w:val="0"/>
          <w:w w:val="100"/>
          <w:sz w:val="28"/>
          <w:szCs w:val="28"/>
          <w:u w:val="none"/>
        </w:rPr>
        <w:t>A.客户营销与准入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B.经济资本计量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C.授信审批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D.信贷授权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E.产品定价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7、单选 自助设备下箱体保险柜密码每（）应更改一次，每次更改都须当场如实填写并封存，交直管领导保管。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A.半年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B.三个月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C.二个月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D.一个月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8、单选 下面哪一项产品不属于供应链融资系列产品（）。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A.动产质押</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B.国内保理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C.保单融资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D.保函</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9、单选 目前河南分行个人客户短信银行收费标准是多少？（）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A.包月3元，包年30元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B.包月2元，包年24元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C.包月2元，包年30元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D.包月1元，包年10元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10、单选 使用我行标准白金信用卡购机票可获赠（）万元高额航空意外险。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A.1000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B.500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D.20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E.10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11、单选 金库岗位设置应遵循（）的原则。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A.不兼容岗位相分离、相互制约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B.没有原则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C.不兼容岗位相分离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D.不兼容岗位相互制约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2"/>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12、单选 善融商务分为几个商城（）.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A.1个</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B.2个</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C.3个</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D.4个</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13、多选 综合财富规划的特点有（）。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A.依靠客户经理主观臆断</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B.建立在私人银行客户的生命周期基础上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C.运用专业的资产配置模型和统一的财富规划标准流程和工具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D.为私人银行客户量身定制综合化、个性化和专业化的财富规划报告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14、多选 业务部门单位对账职责分工包括（）。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A.组织贷款客户对账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B.汇总统计对账结果</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C.协助做好单位客户信息变更的收集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D.协助催收逾期未回执的对账回单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15、单选 员工（）截留客户电子证书.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A.可以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B.不可以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C.有的时候可以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16、单选 个人助业贷款的对象为临时资金周转需要和从事生产经营的个人，主要为（）.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A.中高收入的白领人士</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B.优质公司中高级管理人员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C.个人消费贷款的优质客户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D.从事合法经营的个私经营者</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17、多选 购车分期的中高收入客户是指（）。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A.可核实个人年收入≥6万元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B.可核实个人年收入≥8万元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C.可核实家庭年收入≥10万元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D.可核实家庭年收入≥12万元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18、多选 采取法律手段追索是我行不良贷款清收保全的重要方式，法律手段追索方式有（）、申请债务人破产还债等。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3"/>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A.诉讼</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B.仲裁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C.申请支付令</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D.申请执行公证书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E.协议抵债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19、单选 私人银行主要满足客户的哪些需求？（）</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A.个人金融需求</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B.家庭或家族理财需求</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C.事业发展融资需求</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D.个人、家庭及事业发展全方位需求</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20、多选 破产、关闭、解散、撤销类的核销个性材料有（）。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A.破产文件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B.关闭文件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C.解散证明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D.撤销决定文件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E.财产清偿证明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21、多选 有追索权保理业务的特点是（）。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A.卖方企业向银行转让应收账款，取得货币资金后可增加现金流，加速资金周转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B.银行分担企业的应收账款管理和催收工作</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C.卖方企业不承担因赊销带来的收账风险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D.如银行到期未收到买方付款，则由卖方按约定无条件回购该应收账款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22、多选 龙卡商城为龙卡持卡人提供（）服务。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A.缴纳公共事业费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B.在线购物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C.增值服务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D.消费信贷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23、单选 银行保管箱库房按照（）的标准设计建造。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A.营业网点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B.金库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C.自助银行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D.档案室</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4"/>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24、单选 目前，纳入产品覆盖度考核的个人客户产品有（）个大类产品。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B.8</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C.11</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D.21</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E.27</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25、多选 集中整点的人民币现金须符合“五好钱捆”要求，做到（）。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A.点准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B.挑净</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C.墩齐</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D.捆紧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E.盖章清楚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26、多选 营运稽核系统是指（）的风险管理应用系统。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A.以营业性系统交易业务数据和会计凭证电子影像为基础</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B.根据定制的稽核模型及参数生成预警信息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C.由稽核人员实现预警信息处理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D.监测人员及时发送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27、多选 员工应当遵守建设银行关于保守商业秘密的各项规定，禁止发生以下行为（）。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A.未经授权在公众网发布新产品研发规划</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B.在客户营销过程中谈论尚属保密范围的信息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C.未经批准以建设银行员工名义在微博上发布理财产品消息。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D.接受外单位的业务咨询向其传送有关财务数据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28、多选 我行要对商户POS交易进行监控，对商户经营中出现异样情况（）分析可能出现的问题，开展交易情况调查并采取相应措施。</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A.商户疑似套现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B.商户交易额巨大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C.商户交易量骤增骤减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D.POS机使用频率频繁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29、单选 建设银行于（）成立为一家股份制商业银行。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A.2004年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B.2003年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C.2005年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5"/>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D.2006年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E.1995年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30、单选 员工应当（）建设银行的房产、设备、车辆、器材、办公用品等财产.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A.正常使用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B.妥善保护并合理使用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C.最大程度利用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31、多选 钻白卡客户权益包含以下哪些内容（）？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A.全球机场贵宾厅服务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B.全球无限秘书服务礼遇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C.家庭健康关爱服务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D.高额保险组合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E.双倍永久积分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32、单选 客户违约认定中的系统自动认定是指系统根据客户历史数据，将出现债务逾期超过（）或存在不良债务的客户认定为违约。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A.30天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B.60天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C.90天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D.15天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E.违约观察期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33、单选 员工在履行岗位职责中，对了解、发现的有关问题，在向上级行报告时，应（）.</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A.上报小问题，掩盖大问题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B.如实全面报告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C.报喜不报忧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34、单选 银行账户信用风险暴露分为（）大类别。</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A.6</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C.7</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D.8</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6"/>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35、单选 贷款发放后，客户经理应收集客户支用的申请及相关材料，按照银监会制定的（）要求，采用受托支付方式的，应收集整理客户贷款用途相关资料，采用自主支付方式的，应要求客户提交支付计划，办理支付申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A.《贷款通则》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B.《商业银行法》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C.《内控管理指引》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D.“三个办法一个指引”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36、单选 个人消费贷款中额度贷款的额度最高为单户（）万元。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C.300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D.500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37、单选 私人银行机场嘉宾服务不包括（）。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A.代购机票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B.协办登机牌和行李托运</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C.快速安检通道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D.嘉宾休息室</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38、单选 直驻B2B商户入驻资质条件中，我行存量评级客户，且系统评级在什么级别（）.</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A.BBB级（含）以上的（小企业a-级）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B.BB级（含）以上的（小企业a-级）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C.AAA级（含）以上的（小企业a-级）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D.AA级（含）以上的（小企业a-级）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39、多选 以下客户可以办理“小额贷”业务的有（）。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A.小企业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B.个体工商户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C.自然人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D.大中型企业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40、单选 全额资金计价以资金转移定价系统为依托，该系统英文简称（）。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A.FTP</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B.ALM</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C.RWA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D.CCBS</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E.ERPF</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7"/>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41、多选 现阶段，“借贷通”开放的对象主要是（）和（）目标客户。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A.善融商务个人小额贷款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B.善融商务个人助业贷款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C.个人消费贷款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42、多选 客户信用评级申报类型包括（）。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A.新增评级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B.重检评级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C.复议评级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D.以上都不是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43、多选 下列可以作为建设银行个人权利质押贷款的权利质押的有（）。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A.未到期本外币定期储蓄存单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B.凭证式国债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C.储蓄国债（电子式）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D.建设银行认可的其它权利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E.股票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44、单选 以下哪项不是私人银行内部环境的特点？（）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A.尊贵</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B.大众化</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C.舒适</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D.私密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45、单选 2002年建设银行在全国开始实施个人住房贷款（）品牌战略，并率先推出公积金委托提取还贷业务。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A.“乐当家”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B.“乐有家”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C.“乐得家”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D.“房易安”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46、多选 建设银行员工行为规范中对员工工作纪律的要求包括（）。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A.依法合规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B.遵章守纪</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C.廉洁从业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D.服从大局</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E.爱岗敬业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8"/>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47、多选 建设银行主要承担的市场风险类型包括（）。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A.操作风险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B.利率风险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C.汇率风险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D.商品价格风险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E.信用风险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48、单选 每日整点结束后，未成捆现金放入（）保管。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A.保险柜</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B.文件柜</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C.库存现金专用尾箱入现金库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D.库存现金专用尾箱入尾箱库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49、单选 银行承兑汇票办理贴现时，承兑银行在异地的，贴现天数应另加（）天划款时间？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C.3</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50、多选 二级分行业务部门负责调账申请的（）审核工作。</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A.规范性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B.真实性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C.准确性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D.及时性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E.完整性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51、多选 单位协议存款是我行经中国人民银行批准，面向（）等特定客户开办的三年或五年期以上单位本币定期存款，仅限于银行法人与特定企（事）业法人签订协议存款合同后，开立协议存款凭证。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A.保险公司法人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B.全国社会保障基金理事会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C.养老保险个人账户基金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D.国家邮政储蓄银行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52、单选 汇得盈外币理财产品的购买起点是等值（）美元。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A.1000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B.5000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9"/>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C.9000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D.10000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53、单选 客户王先生已持有一张龙卡信用卡主卡，额度为1万元，现又申请另一张主卡，额度为2万元，该客户个人信用额度为（）。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C.3万元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D.4万元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E.5万元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54、多选 以下属于民本通达——医疗健民综合服务方案子方案的是（）。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A.名院发展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B.数字医院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C.固本强基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D.新型医购</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55、单选 对新发放信贷资产、风险程度发生显著变化的信贷资产及上级行要求进行重检的信贷资产，应实时调整分类，并在（）完成。</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A.本年内</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B.本季度内</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C.下个月初</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D.十个工作日内</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E.五个工作日内</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56、多选 自动取款机可提供（）项交易。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A.存款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B.取款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C.查询余额</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D.转账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E.改密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57、单选 柜面监测（）可同时发送二级分行业务归口管理部门和营业机构核查，对风险概率相对较高的，只发送二级分行核查。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A.特级监测信息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B.一级监测信息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C.二级监测信息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D.三级监测信息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10"/>
          <w:cols w:num="1" w:space="425"/>
          <w:titlePg w:val="0"/>
          <w:docGrid w:type="lines" w:linePitch="312" w:charSpace="0"/>
        </w:sect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58、单选 需经人民银行批准后支取现金的专用存款账户是（）。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A.财政预算外资金账户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B.期货交易保证金账户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C.单位银行卡账户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D.基本建设资金账户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59、单选 “成长之路”业务要求企业经营情况稳定，原则上成立年限在（）年（含）以上。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C.3</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60、多选 个贷业务审批结论有（）。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A.续议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B.同意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C.不同意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D.退回</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E.复议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61、多选 资产收益权理财产品企业可转让的特定资产包括（）。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A.企业的商业承兑汇票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B.应收账款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C.其它应收款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D.存货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E.固定资产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62、单选 营业性系统日常作业流程中的日间处理不包括（）。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A.日间监控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B.工前准备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C.业务分析和处理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D.特殊业务处理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E.参数维护</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63、单选 以下不属于表内贸易融资业务的是（）。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A.打包贷款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B.出口商业发票融资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11"/>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C.海外代付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D.出口议付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E.委托付款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64、多选 河南建行互联网站是我行重要的（）和（），是网上的建设银行，是展示产品、市场营销的首选渠道。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A.门户网站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B.信息宣传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C.经营渠道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D.营销渠道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E.服务窗口</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65、单选 以下不属于非金融企业债务融资工具的是（）。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A.短期融资券</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B.公司债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C.中期票据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D.非公开定向发行债务融资工具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66、多选 中国建设银行股份有限公司员工行为规范对员工履职要求有哪些（）。</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A.勤勉尽责</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B.精通业务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C.团队协作</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D.认真执行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E.控制风险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67、多选 对公客户信用评级申报包括（）环节。</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A.尽职调查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B.初始评级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C.系统评级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D.等级建议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68、单选 我行大白金客户可享受全国三甲医院贵宾预约挂号、全年可享受（）次全程导诊服务，持卡人本人和（）名亲属共享。</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A.3，3</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B.3，2</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C.3，1</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D.5，3</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12"/>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E.5，2</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69、单选 建行私人银行贵宾专线服务电话为（）.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A.95533</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B.400-88-95533</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C.400-820-0588</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D.021-3869-0588</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70、多选 评价个人商业用房贷款借款申请人还款能力的主要依据有（）。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A.所购商业用房的经营前景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B.所购商业用房的经营收入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C.所购商业用房的出租收入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D.所购商业用房的市场价值</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E.所购商业用房的市场价格</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71、单选 我行账户贵金属双向交易人民币类账户最小交易单位为（）。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A.1克</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B.10克</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C.100克</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D.2克</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72、单选 国内保理业务中预付款担保方式为（）。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A.信用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B.抵押</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C.质押</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D.保证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73、多选 下列有关自助设备下箱体钥匙保管，叙述正确的是（）。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A.下箱体钥匙须放入专门的保险箱专人保管或日终寄金库保管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B.钥匙的使用执行“作业领用，使用后交回”制度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C.钥匙实行个人负责制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D.严禁下箱体钥匙使用后由使用者自行管理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E.每次使用都须严格登记。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74、单选 建设银行河南省分行是1999年经国家建设部批准的（）级造价咨询单位。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A.甲</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13"/>
          <w:cols w:num="1" w:space="425"/>
          <w:titlePg w:val="0"/>
          <w:docGrid w:type="lines" w:linePitch="312" w:charSpace="0"/>
        </w:sect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75、单选 以下不属于前台受理审核事项的是（）。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A.凭证是否真实、票面是否整洁，有无复印、涂改、挖补、剪裁、暗记等变造痕迹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B.凭证票面要素及附件是否完整、无遗漏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C.凭证背书是否正确、连续，背书粘单是否规范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D.支付密码校验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76、单选 银联龙卡通磁条卡有效期（）。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A.3年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B.5年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C.10年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D.20年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E.无有效期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77、单选 我行为持卡人提供一定期限内的对账单免费补寄服务，持卡人申请补寄最近（）个月内的对账单免费。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A.3</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B.6</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C.9</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D.12</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E.18</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78、多选 稽核、监测作业中采集的生产数据资料、文档资料应（）。</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A.严格执行有关保密规定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B.不得随意泄露</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C.确保我行客户信息安全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D.可以随意传播</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79、单选 2010年2月，总行下发《中国建设银行不良贷款客户存款账户扣收业务操作流程》规定，公司类不良贷款客户存款账户扣收分为账户信息查询、账户甄别和（）扣收三个步骤。</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A.存款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B.固定资产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C.流动资产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D.贷款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14"/>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80、单选 反映银行对损失的覆盖率水平以及银行持续经营能力的指标是（）。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A.违约概率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B.置信水平</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C.违约风险暴露</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D.持有期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E.违约损失率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81、单选 一个手机号码能注册（）房e通个人用户。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A.1个</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B.不超过3个</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C.不超过5个</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D.不限</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82、多选 严禁贴现资金违规使用，违规使用情况包括（）。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A.严禁贴现资金直接回流出票人或直接前手</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B.严禁贴现资金流向证券、期货、信托等公司</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C.严禁用于我行承兑业务保证金、股本权益性投资等建设银行和监管部门所禁止的信贷资金用途</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83、单选 上报分期商户审批流程正确的是（）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A.商户审批-系统注册-签署协议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B.签署协议-商户审批-系统注册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C.商户审批-签署协议-系统注册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D.签署协议-系统注册-商户审批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84、单选 二级分行营运管理部门负责进行初审的调账业务，应在审核中保证（）。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A.申请表的规范性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B.相关账务流水的真实性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C.问题描述的准确性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D.申请事项上报的及时性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E.问题描述和申请事项两方面各要素的完整性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85、多选 个人网上银行的产品特点（）。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A.便捷易用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B.安全可靠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C.经济实惠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D.功能丰富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15"/>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E.服务超值</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86、多选 系统内调账业务应遵循的原则是（）。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A.分级审批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B.方便快捷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C.责任明晰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D.真实准确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E.风险可控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87、单选 违约概率是指债务人未来（）发生违约的可能性。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A.一个月内</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B.半年内</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C.一年内</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D.三至五年内</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E.十年内</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88、单选 账单分期的申请时间是（）.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A.随时可以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B.刷卡时直接申请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C.消费交易入账后至最近一期账单日前3个工作日期间。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D.账单日次日至最后还款日之间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89、单选 商业银行网点开办代理保险业务必须取得保险监督管理部门印发的（）。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 xml:space="preserve">A.保险兼业代理业务许可证 </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 xml:space="preserve">B.营业执照 </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 xml:space="preserve">C.组织机构代码证 </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 xml:space="preserve">D.金融许可证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90、单选 “自有住房”是指借款人依法拥有（）的住房。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A.所有权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B.使用权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C.处置权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D.收益权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91、单选 POS脱机功能包括（）。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A.签到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B.消费交易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C.查询流水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D.消费撤销交易</w:t>
      </w:r>
      <w:r>
        <w:rPr>
          <w:rFonts w:ascii="宋体" w:eastAsia="宋体" w:hAnsi="宋体" w:cs="宋体"/>
          <w:outline w:val="0"/>
          <w:shadow w:val="0"/>
          <w:emboss w:val="0"/>
          <w:imprint w:val="0"/>
          <w:vanish w:val="0"/>
          <w:w w:val="100"/>
          <w:sz w:val="28"/>
          <w:szCs w:val="28"/>
          <w:u w:val="none"/>
        </w:rPr>
        <w:br/>
      </w:r>
      <w:r>
        <w:rPr>
          <w:rFonts w:ascii="宋体" w:eastAsia="宋体" w:hAnsi="宋体" w:cs="宋体"/>
          <w:outline w:val="0"/>
          <w:shadow w:val="0"/>
          <w:emboss w:val="0"/>
          <w:imprint w:val="0"/>
          <w:vanish w:val="0"/>
          <w:w w:val="100"/>
          <w:sz w:val="28"/>
          <w:szCs w:val="28"/>
          <w:u w:val="none"/>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https://d.book118.com/958127103135006036</w:t>
        </w:r>
      </w:hyperlink>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p>
    <w:sectPr>
      <w:type w:val="nextPage"/>
      <w:pgSz w:w="11906" w:h="16838"/>
      <w:pgMar w:top="1440" w:right="1080" w:bottom="1440" w:left="1080" w:header="851" w:footer="992" w:gutter="0"/>
      <w:pgNumType w:start="1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063E"/>
    <w:rsid w:val="002B1D86"/>
    <w:rsid w:val="00C0063E"/>
    <w:rsid w:val="15C72EDD"/>
    <w:rsid w:val="3E797C65"/>
    <w:rsid w:val="46EA13EC"/>
  </w:rsids>
  <w:docVars>
    <w:docVar w:name="commondata" w:val="eyJoZGlkIjoiMzIxODdiYzkyZWJiMzc1YmY5NThiYjgyMjcxMWRjMm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uiPriority="0" w:unhideWhenUsed="0" w:qFormat="1"/>
    <w:lsdException w:name="footer" w:semiHidden="0" w:uiPriority="0" w:unhideWhenUsed="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uiPriority="0" w:unhideWhenUsed="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semiHidden="0" w:uiPriority="0" w:unhideWhenUsed="0" w:qFormat="1"/>
    <w:lsdException w:name="HTML Acronym"/>
    <w:lsdException w:name="HTML Address"/>
    <w:lsdException w:name="HTML Cite"/>
    <w:lsdException w:name="HTML Code"/>
    <w:lsdException w:name="HTML Definition"/>
    <w:lsdException w:name="HTML Keyboard"/>
    <w:lsdException w:name="HTML Preformatted" w:semiHidden="0" w:uiPriority="0" w:unhideWhenUsed="0" w:qFormat="1"/>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link w:val="1"/>
    <w:autoRedefine/>
    <w:qFormat/>
    <w:pPr>
      <w:widowControl/>
      <w:spacing w:beforeAutospacing="1" w:afterAutospacing="1"/>
      <w:jc w:val="left"/>
      <w:outlineLvl w:val="0"/>
    </w:pPr>
    <w:rPr>
      <w:rFonts w:ascii="宋体" w:eastAsia="宋体" w:hAnsi="宋体" w:cs="Times New Roman" w:hint="eastAsia"/>
      <w:b/>
      <w:bCs/>
      <w:kern w:val="44"/>
      <w:sz w:val="48"/>
      <w:szCs w:val="48"/>
    </w:rPr>
  </w:style>
  <w:style w:type="paragraph" w:styleId="Heading2">
    <w:name w:val="heading 2"/>
    <w:basedOn w:val="Normal"/>
    <w:next w:val="Normal"/>
    <w:link w:val="2"/>
    <w:autoRedefine/>
    <w:semiHidden/>
    <w:unhideWhenUsed/>
    <w:qFormat/>
    <w:pPr>
      <w:widowControl/>
      <w:spacing w:beforeAutospacing="1" w:afterAutospacing="1"/>
      <w:jc w:val="left"/>
      <w:outlineLvl w:val="1"/>
    </w:pPr>
    <w:rPr>
      <w:rFonts w:ascii="宋体" w:eastAsia="宋体" w:hAnsi="宋体" w:cs="Times New Roman" w:hint="eastAsia"/>
      <w:b/>
      <w:bCs/>
      <w:kern w:val="0"/>
      <w:sz w:val="36"/>
      <w:szCs w:val="36"/>
    </w:rPr>
  </w:style>
  <w:style w:type="paragraph" w:styleId="Heading3">
    <w:name w:val="heading 3"/>
    <w:basedOn w:val="Normal"/>
    <w:next w:val="Normal"/>
    <w:link w:val="3"/>
    <w:autoRedefine/>
    <w:semiHidden/>
    <w:unhideWhenUsed/>
    <w:qFormat/>
    <w:pPr>
      <w:widowControl/>
      <w:spacing w:beforeAutospacing="1" w:afterAutospacing="1"/>
      <w:jc w:val="left"/>
      <w:outlineLvl w:val="2"/>
    </w:pPr>
    <w:rPr>
      <w:rFonts w:ascii="宋体" w:eastAsia="宋体" w:hAnsi="宋体" w:cs="Times New Roman" w:hint="eastAsia"/>
      <w:b/>
      <w:bCs/>
      <w:kern w:val="0"/>
      <w:sz w:val="27"/>
      <w:szCs w:val="27"/>
    </w:rPr>
  </w:style>
  <w:style w:type="paragraph" w:styleId="Heading4">
    <w:name w:val="heading 4"/>
    <w:basedOn w:val="Normal"/>
    <w:next w:val="Normal"/>
    <w:link w:val="4"/>
    <w:autoRedefine/>
    <w:semiHidden/>
    <w:unhideWhenUsed/>
    <w:qFormat/>
    <w:pPr>
      <w:widowControl/>
      <w:spacing w:beforeAutospacing="1" w:afterAutospacing="1"/>
      <w:jc w:val="left"/>
      <w:outlineLvl w:val="3"/>
    </w:pPr>
    <w:rPr>
      <w:rFonts w:ascii="宋体" w:eastAsia="宋体" w:hAnsi="宋体" w:cs="Times New Roman" w:hint="eastAsia"/>
      <w:b/>
      <w:bCs/>
      <w:kern w:val="0"/>
      <w:sz w:val="24"/>
      <w:szCs w:val="24"/>
    </w:rPr>
  </w:style>
  <w:style w:type="paragraph" w:styleId="Heading5">
    <w:name w:val="heading 5"/>
    <w:basedOn w:val="Normal"/>
    <w:next w:val="Normal"/>
    <w:link w:val="5"/>
    <w:autoRedefine/>
    <w:semiHidden/>
    <w:unhideWhenUsed/>
    <w:qFormat/>
    <w:pPr>
      <w:widowControl/>
      <w:spacing w:beforeAutospacing="1" w:afterAutospacing="1"/>
      <w:jc w:val="left"/>
      <w:outlineLvl w:val="4"/>
    </w:pPr>
    <w:rPr>
      <w:rFonts w:ascii="宋体" w:eastAsia="宋体" w:hAnsi="宋体" w:cs="Times New Roman" w:hint="eastAsia"/>
      <w:b/>
      <w:bCs/>
      <w:kern w:val="0"/>
      <w:sz w:val="20"/>
      <w:szCs w:val="20"/>
    </w:rPr>
  </w:style>
  <w:style w:type="paragraph" w:styleId="Heading6">
    <w:name w:val="heading 6"/>
    <w:basedOn w:val="Normal"/>
    <w:next w:val="Normal"/>
    <w:link w:val="6"/>
    <w:autoRedefine/>
    <w:semiHidden/>
    <w:unhideWhenUsed/>
    <w:qFormat/>
    <w:pPr>
      <w:widowControl/>
      <w:spacing w:beforeAutospacing="1" w:afterAutospacing="1"/>
      <w:jc w:val="left"/>
      <w:outlineLvl w:val="5"/>
    </w:pPr>
    <w:rPr>
      <w:rFonts w:ascii="宋体" w:eastAsia="宋体" w:hAnsi="宋体" w:cs="Times New Roman" w:hint="eastAsia"/>
      <w:b/>
      <w:bCs/>
      <w:kern w:val="0"/>
      <w:sz w:val="15"/>
      <w:szCs w:val="15"/>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Footer">
    <w:name w:val="footer"/>
    <w:basedOn w:val="Normal"/>
    <w:link w:val="a0"/>
    <w:autoRedefine/>
    <w:qFormat/>
    <w:pPr>
      <w:widowControl/>
      <w:tabs>
        <w:tab w:val="center" w:pos="4153"/>
        <w:tab w:val="right" w:pos="8306"/>
      </w:tabs>
      <w:snapToGrid w:val="0"/>
      <w:jc w:val="left"/>
    </w:pPr>
    <w:rPr>
      <w:rFonts w:asciiTheme="minorEastAsia" w:hAnsiTheme="minorEastAsia" w:cs="Times New Roman"/>
      <w:kern w:val="0"/>
      <w:sz w:val="18"/>
      <w:szCs w:val="18"/>
    </w:rPr>
  </w:style>
  <w:style w:type="paragraph" w:styleId="Header">
    <w:name w:val="header"/>
    <w:basedOn w:val="Normal"/>
    <w:link w:val="a"/>
    <w:autoRedefine/>
    <w:qFormat/>
    <w:pPr>
      <w:widowControl/>
      <w:tabs>
        <w:tab w:val="center" w:pos="4153"/>
        <w:tab w:val="right" w:pos="8306"/>
      </w:tabs>
      <w:snapToGrid w:val="0"/>
      <w:jc w:val="center"/>
    </w:pPr>
    <w:rPr>
      <w:rFonts w:asciiTheme="minorEastAsia" w:hAnsiTheme="minorEastAsia" w:cs="Times New Roman"/>
      <w:kern w:val="0"/>
      <w:sz w:val="18"/>
      <w:szCs w:val="18"/>
    </w:rPr>
  </w:style>
  <w:style w:type="paragraph" w:styleId="HTMLPreformatted">
    <w:name w:val="HTML Preformatted"/>
    <w:basedOn w:val="Normal"/>
    <w:link w:val="HTML"/>
    <w:autoRedefine/>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Times New Roman" w:hint="eastAsia"/>
      <w:kern w:val="0"/>
      <w:sz w:val="24"/>
      <w:szCs w:val="24"/>
    </w:rPr>
  </w:style>
  <w:style w:type="paragraph" w:styleId="NormalWeb">
    <w:name w:val="Normal (Web)"/>
    <w:basedOn w:val="Normal"/>
    <w:autoRedefine/>
    <w:qFormat/>
    <w:pPr>
      <w:widowControl/>
      <w:spacing w:beforeAutospacing="1" w:afterAutospacing="1"/>
      <w:jc w:val="left"/>
    </w:pPr>
    <w:rPr>
      <w:rFonts w:asciiTheme="minorEastAsia" w:hAnsiTheme="minorEastAsia" w:cs="Times New Roman"/>
      <w:kern w:val="0"/>
      <w:sz w:val="24"/>
      <w:szCs w:val="24"/>
    </w:rPr>
  </w:style>
  <w:style w:type="character" w:styleId="Hyperlink">
    <w:name w:val="Hyperlink"/>
    <w:basedOn w:val="DefaultParagraphFont"/>
    <w:autoRedefine/>
    <w:qFormat/>
    <w:rPr>
      <w:color w:val="0000FF"/>
      <w:u w:val="single"/>
    </w:rPr>
  </w:style>
  <w:style w:type="character" w:customStyle="1" w:styleId="1">
    <w:name w:val="标题 1 字符"/>
    <w:basedOn w:val="DefaultParagraphFont"/>
    <w:link w:val="Heading1"/>
    <w:autoRedefine/>
    <w:qFormat/>
    <w:rPr>
      <w:rFonts w:ascii="宋体" w:eastAsia="宋体" w:hAnsi="宋体" w:cs="Times New Roman"/>
      <w:b/>
      <w:bCs/>
      <w:kern w:val="44"/>
      <w:sz w:val="48"/>
      <w:szCs w:val="48"/>
    </w:rPr>
  </w:style>
  <w:style w:type="character" w:customStyle="1" w:styleId="2">
    <w:name w:val="标题 2 字符"/>
    <w:basedOn w:val="DefaultParagraphFont"/>
    <w:link w:val="Heading2"/>
    <w:autoRedefine/>
    <w:semiHidden/>
    <w:qFormat/>
    <w:rPr>
      <w:rFonts w:ascii="宋体" w:eastAsia="宋体" w:hAnsi="宋体" w:cs="Times New Roman"/>
      <w:b/>
      <w:bCs/>
      <w:kern w:val="0"/>
      <w:sz w:val="36"/>
      <w:szCs w:val="36"/>
    </w:rPr>
  </w:style>
  <w:style w:type="character" w:customStyle="1" w:styleId="3">
    <w:name w:val="标题 3 字符"/>
    <w:basedOn w:val="DefaultParagraphFont"/>
    <w:link w:val="Heading3"/>
    <w:autoRedefine/>
    <w:semiHidden/>
    <w:qFormat/>
    <w:rPr>
      <w:rFonts w:ascii="宋体" w:eastAsia="宋体" w:hAnsi="宋体" w:cs="Times New Roman"/>
      <w:b/>
      <w:bCs/>
      <w:kern w:val="0"/>
      <w:sz w:val="27"/>
      <w:szCs w:val="27"/>
    </w:rPr>
  </w:style>
  <w:style w:type="character" w:customStyle="1" w:styleId="4">
    <w:name w:val="标题 4 字符"/>
    <w:basedOn w:val="DefaultParagraphFont"/>
    <w:link w:val="Heading4"/>
    <w:autoRedefine/>
    <w:semiHidden/>
    <w:qFormat/>
    <w:rPr>
      <w:rFonts w:ascii="宋体" w:eastAsia="宋体" w:hAnsi="宋体" w:cs="Times New Roman"/>
      <w:b/>
      <w:bCs/>
      <w:kern w:val="0"/>
      <w:sz w:val="24"/>
      <w:szCs w:val="24"/>
    </w:rPr>
  </w:style>
  <w:style w:type="character" w:customStyle="1" w:styleId="5">
    <w:name w:val="标题 5 字符"/>
    <w:basedOn w:val="DefaultParagraphFont"/>
    <w:link w:val="Heading5"/>
    <w:autoRedefine/>
    <w:semiHidden/>
    <w:qFormat/>
    <w:rPr>
      <w:rFonts w:ascii="宋体" w:eastAsia="宋体" w:hAnsi="宋体" w:cs="Times New Roman"/>
      <w:b/>
      <w:bCs/>
      <w:kern w:val="0"/>
      <w:sz w:val="20"/>
      <w:szCs w:val="20"/>
    </w:rPr>
  </w:style>
  <w:style w:type="character" w:customStyle="1" w:styleId="6">
    <w:name w:val="标题 6 字符"/>
    <w:basedOn w:val="DefaultParagraphFont"/>
    <w:link w:val="Heading6"/>
    <w:autoRedefine/>
    <w:semiHidden/>
    <w:qFormat/>
    <w:rPr>
      <w:rFonts w:ascii="宋体" w:eastAsia="宋体" w:hAnsi="宋体" w:cs="Times New Roman"/>
      <w:b/>
      <w:bCs/>
      <w:kern w:val="0"/>
      <w:sz w:val="15"/>
      <w:szCs w:val="15"/>
    </w:rPr>
  </w:style>
  <w:style w:type="character" w:customStyle="1" w:styleId="HTML">
    <w:name w:val="HTML 预设格式 字符"/>
    <w:basedOn w:val="DefaultParagraphFont"/>
    <w:link w:val="HTMLPreformatted"/>
    <w:autoRedefine/>
    <w:qFormat/>
    <w:rPr>
      <w:rFonts w:ascii="宋体" w:eastAsia="宋体" w:hAnsi="宋体" w:cs="Times New Roman"/>
      <w:kern w:val="0"/>
      <w:sz w:val="24"/>
      <w:szCs w:val="24"/>
    </w:rPr>
  </w:style>
  <w:style w:type="character" w:customStyle="1" w:styleId="a">
    <w:name w:val="页眉 字符"/>
    <w:basedOn w:val="DefaultParagraphFont"/>
    <w:link w:val="Header"/>
    <w:autoRedefine/>
    <w:qFormat/>
    <w:rPr>
      <w:rFonts w:asciiTheme="minorEastAsia" w:hAnsiTheme="minorEastAsia" w:cs="Times New Roman"/>
      <w:kern w:val="0"/>
      <w:sz w:val="18"/>
      <w:szCs w:val="18"/>
    </w:rPr>
  </w:style>
  <w:style w:type="character" w:customStyle="1" w:styleId="a0">
    <w:name w:val="页脚 字符"/>
    <w:basedOn w:val="DefaultParagraphFont"/>
    <w:link w:val="Footer"/>
    <w:autoRedefine/>
    <w:qFormat/>
    <w:rPr>
      <w:rFonts w:asciiTheme="minorEastAsia" w:hAnsiTheme="minorEastAsia" w:cs="Times New Roman"/>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58127103135006036"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2700</Words>
  <Characters>15396</Characters>
  <Application>Microsoft Office Word</Application>
  <DocSecurity>0</DocSecurity>
  <Lines>128</Lines>
  <Paragraphs>36</Paragraphs>
  <ScaleCrop>false</ScaleCrop>
  <Company/>
  <LinksUpToDate>false</LinksUpToDate>
  <CharactersWithSpaces>18060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江南博哥</cp:lastModifiedBy>
  <cp:revision>1</cp:revision>
  <dcterms:created xsi:type="dcterms:W3CDTF">2024-02-06T00:25:00Z</dcterms:created>
  <dcterms:modified xsi:type="dcterms:W3CDTF">2024-02-20T01:03:18Z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41D3FD49CEF7444A9EFD7BD236D7A32A_13</vt:lpwstr>
  </property>
  <property fmtid="{D5CDD505-2E9C-101B-9397-08002B2CF9AE}" pid="3" name="KSOProductBuildVer">
    <vt:lpwstr>2052-12.1.0.16250</vt:lpwstr>
  </property>
</Properties>
</file>