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0"/>
        <w:ind w:left="0" w:firstLine="0"/>
        <w:rPr>
          <w:rFonts w:ascii="Times New Roman"/>
          <w:sz w:val="20"/>
        </w:rPr>
      </w:pPr>
    </w:p>
    <w:p>
      <w:pPr>
        <w:pStyle w:val="BodyText"/>
        <w:spacing w:before="1"/>
        <w:ind w:left="0" w:firstLine="0"/>
        <w:rPr>
          <w:rFonts w:ascii="Times New Roman"/>
          <w:sz w:val="19"/>
        </w:rPr>
      </w:pPr>
    </w:p>
    <w:p>
      <w:pPr>
        <w:pStyle w:val="Title"/>
      </w:pPr>
      <w:r>
        <w:t>背压机组集控人员培训标准</w:t>
      </w:r>
    </w:p>
    <w:p>
      <w:pPr>
        <w:spacing w:after="0"/>
        <w:sectPr>
          <w:type w:val="continuous"/>
          <w:pgSz w:w="11910" w:h="16840"/>
          <w:pgMar w:top="1580" w:right="920" w:bottom="280" w:left="1280" w:header="708" w:footer="708"/>
          <w:cols w:space="708"/>
        </w:sectPr>
      </w:pPr>
    </w:p>
    <w:p>
      <w:pPr>
        <w:pStyle w:val="BodyText"/>
        <w:spacing w:before="0"/>
        <w:ind w:left="0" w:firstLine="0"/>
        <w:rPr>
          <w:rFonts w:ascii="黑体"/>
          <w:sz w:val="20"/>
        </w:rPr>
      </w:pPr>
    </w:p>
    <w:p>
      <w:pPr>
        <w:pStyle w:val="BodyText"/>
        <w:spacing w:before="0"/>
        <w:ind w:left="0" w:firstLine="0"/>
        <w:rPr>
          <w:rFonts w:ascii="黑体"/>
          <w:sz w:val="20"/>
        </w:rPr>
      </w:pPr>
    </w:p>
    <w:p>
      <w:pPr>
        <w:pStyle w:val="BodyText"/>
        <w:spacing w:before="1"/>
        <w:ind w:left="0" w:firstLine="0"/>
        <w:rPr>
          <w:rFonts w:ascii="黑体"/>
          <w:sz w:val="19"/>
        </w:rPr>
      </w:pPr>
    </w:p>
    <w:p>
      <w:pPr>
        <w:tabs>
          <w:tab w:val="left" w:pos="959"/>
          <w:tab w:val="left" w:pos="1919"/>
        </w:tabs>
        <w:spacing w:before="55"/>
        <w:ind w:left="0" w:right="74" w:firstLine="0"/>
        <w:jc w:val="center"/>
        <w:rPr>
          <w:rFonts w:ascii="黑体" w:eastAsia="黑体" w:hint="eastAsia"/>
          <w:sz w:val="32"/>
        </w:rPr>
      </w:pPr>
      <w:r>
        <w:rPr>
          <w:rFonts w:ascii="黑体" w:eastAsia="黑体" w:hint="eastAsia"/>
          <w:sz w:val="32"/>
        </w:rPr>
        <w:t>、</w:t>
        <w:tab/>
        <w:t>目</w:t>
        <w:tab/>
        <w:t>次</w:t>
      </w:r>
    </w:p>
    <w:p>
      <w:pPr>
        <w:pStyle w:val="BodyText"/>
        <w:spacing w:before="0"/>
        <w:ind w:left="0" w:firstLine="0"/>
        <w:rPr>
          <w:rFonts w:ascii="黑体"/>
          <w:sz w:val="32"/>
        </w:rPr>
      </w:pPr>
    </w:p>
    <w:p>
      <w:pPr>
        <w:pStyle w:val="BodyText"/>
        <w:spacing w:before="0"/>
        <w:ind w:left="0" w:firstLine="0"/>
        <w:rPr>
          <w:rFonts w:ascii="黑体"/>
          <w:sz w:val="32"/>
        </w:rPr>
      </w:pPr>
    </w:p>
    <w:p>
      <w:pPr>
        <w:pStyle w:val="BodyText"/>
        <w:spacing w:before="3"/>
        <w:ind w:left="0" w:firstLine="0"/>
        <w:rPr>
          <w:rFonts w:ascii="黑体"/>
          <w:sz w:val="35"/>
        </w:rPr>
      </w:pPr>
    </w:p>
    <w:p>
      <w:pPr>
        <w:pStyle w:val="ListParagraph"/>
        <w:numPr>
          <w:ilvl w:val="0"/>
          <w:numId w:val="40"/>
        </w:numPr>
        <w:tabs>
          <w:tab w:val="left" w:pos="452"/>
          <w:tab w:val="left" w:pos="453"/>
          <w:tab w:val="right" w:leader="dot" w:pos="9480"/>
        </w:tabs>
        <w:spacing w:before="0" w:after="0" w:line="240" w:lineRule="auto"/>
        <w:ind w:left="452" w:right="0" w:hanging="315"/>
        <w:jc w:val="left"/>
        <w:rPr>
          <w:sz w:val="21"/>
        </w:rPr>
      </w:pPr>
      <w:hyperlink w:anchor="_bookmark0" w:history="1">
        <w:r>
          <w:rPr>
            <w:sz w:val="21"/>
          </w:rPr>
          <w:t>范围</w:t>
          <w:tab/>
          <w:t>1</w:t>
        </w:r>
      </w:hyperlink>
    </w:p>
    <w:p>
      <w:pPr>
        <w:pStyle w:val="ListParagraph"/>
        <w:numPr>
          <w:ilvl w:val="0"/>
          <w:numId w:val="40"/>
        </w:numPr>
        <w:tabs>
          <w:tab w:val="left" w:pos="452"/>
          <w:tab w:val="left" w:pos="453"/>
          <w:tab w:val="right" w:leader="dot" w:pos="9480"/>
        </w:tabs>
        <w:spacing w:before="132" w:after="0" w:line="240" w:lineRule="auto"/>
        <w:ind w:left="452" w:right="0" w:hanging="315"/>
        <w:jc w:val="left"/>
        <w:rPr>
          <w:sz w:val="21"/>
        </w:rPr>
      </w:pPr>
      <w:hyperlink w:anchor="_bookmark1" w:history="1">
        <w:r>
          <w:rPr>
            <w:sz w:val="21"/>
          </w:rPr>
          <w:t>规范性引用文件</w:t>
          <w:tab/>
          <w:t>1</w:t>
        </w:r>
      </w:hyperlink>
    </w:p>
    <w:p>
      <w:pPr>
        <w:pStyle w:val="ListParagraph"/>
        <w:numPr>
          <w:ilvl w:val="0"/>
          <w:numId w:val="40"/>
        </w:numPr>
        <w:tabs>
          <w:tab w:val="left" w:pos="452"/>
          <w:tab w:val="left" w:pos="453"/>
          <w:tab w:val="right" w:leader="dot" w:pos="9480"/>
        </w:tabs>
        <w:spacing w:before="132" w:after="0" w:line="240" w:lineRule="auto"/>
        <w:ind w:left="452" w:right="0" w:hanging="315"/>
        <w:jc w:val="left"/>
        <w:rPr>
          <w:sz w:val="21"/>
        </w:rPr>
      </w:pPr>
      <w:hyperlink w:anchor="_bookmark2" w:history="1">
        <w:r>
          <w:rPr>
            <w:sz w:val="21"/>
          </w:rPr>
          <w:t>术语和定义</w:t>
          <w:tab/>
          <w:t>1</w:t>
        </w:r>
      </w:hyperlink>
    </w:p>
    <w:p>
      <w:pPr>
        <w:pStyle w:val="ListParagraph"/>
        <w:numPr>
          <w:ilvl w:val="0"/>
          <w:numId w:val="40"/>
        </w:numPr>
        <w:tabs>
          <w:tab w:val="left" w:pos="452"/>
          <w:tab w:val="left" w:pos="453"/>
          <w:tab w:val="right" w:leader="dot" w:pos="9480"/>
        </w:tabs>
        <w:spacing w:before="129" w:after="0" w:line="240" w:lineRule="auto"/>
        <w:ind w:left="452" w:right="0" w:hanging="315"/>
        <w:jc w:val="left"/>
        <w:rPr>
          <w:sz w:val="21"/>
        </w:rPr>
      </w:pPr>
      <w:hyperlink w:anchor="_bookmark3" w:history="1">
        <w:r>
          <w:rPr>
            <w:sz w:val="21"/>
          </w:rPr>
          <w:t>总体要求</w:t>
          <w:tab/>
          <w:t>2</w:t>
        </w:r>
      </w:hyperlink>
    </w:p>
    <w:p>
      <w:pPr>
        <w:pStyle w:val="ListParagraph"/>
        <w:numPr>
          <w:ilvl w:val="0"/>
          <w:numId w:val="40"/>
        </w:numPr>
        <w:tabs>
          <w:tab w:val="left" w:pos="452"/>
          <w:tab w:val="left" w:pos="453"/>
          <w:tab w:val="right" w:leader="dot" w:pos="9480"/>
        </w:tabs>
        <w:spacing w:before="132" w:after="0" w:line="240" w:lineRule="auto"/>
        <w:ind w:left="452" w:right="0" w:hanging="315"/>
        <w:jc w:val="left"/>
        <w:rPr>
          <w:sz w:val="21"/>
        </w:rPr>
      </w:pPr>
      <w:hyperlink w:anchor="_bookmark4" w:history="1">
        <w:r>
          <w:rPr>
            <w:sz w:val="21"/>
          </w:rPr>
          <w:t>培训内容</w:t>
          <w:tab/>
          <w:t>2</w:t>
        </w:r>
      </w:hyperlink>
    </w:p>
    <w:p>
      <w:pPr>
        <w:pStyle w:val="ListParagraph"/>
        <w:numPr>
          <w:ilvl w:val="0"/>
          <w:numId w:val="40"/>
        </w:numPr>
        <w:tabs>
          <w:tab w:val="left" w:pos="452"/>
          <w:tab w:val="left" w:pos="453"/>
          <w:tab w:val="right" w:leader="dot" w:pos="9482"/>
        </w:tabs>
        <w:spacing w:before="131" w:after="0" w:line="240" w:lineRule="auto"/>
        <w:ind w:left="452" w:right="0" w:hanging="315"/>
        <w:jc w:val="left"/>
        <w:rPr>
          <w:sz w:val="21"/>
        </w:rPr>
      </w:pPr>
      <w:hyperlink w:anchor="_bookmark5" w:history="1">
        <w:r>
          <w:rPr>
            <w:sz w:val="21"/>
          </w:rPr>
          <w:t>培训组织</w:t>
          <w:tab/>
          <w:t>30</w:t>
        </w:r>
      </w:hyperlink>
    </w:p>
    <w:p>
      <w:pPr>
        <w:pStyle w:val="ListParagraph"/>
        <w:numPr>
          <w:ilvl w:val="0"/>
          <w:numId w:val="40"/>
        </w:numPr>
        <w:tabs>
          <w:tab w:val="left" w:pos="452"/>
          <w:tab w:val="left" w:pos="453"/>
          <w:tab w:val="right" w:leader="dot" w:pos="9482"/>
        </w:tabs>
        <w:spacing w:before="130" w:after="0" w:line="240" w:lineRule="auto"/>
        <w:ind w:left="452" w:right="0" w:hanging="315"/>
        <w:jc w:val="left"/>
        <w:rPr>
          <w:sz w:val="21"/>
        </w:rPr>
      </w:pPr>
      <w:hyperlink w:anchor="_bookmark6" w:history="1">
        <w:r>
          <w:rPr>
            <w:sz w:val="21"/>
          </w:rPr>
          <w:t>培训考核</w:t>
          <w:tab/>
          <w:t>32</w:t>
        </w:r>
      </w:hyperlink>
    </w:p>
    <w:p>
      <w:pPr>
        <w:spacing w:after="0" w:line="240" w:lineRule="auto"/>
        <w:jc w:val="left"/>
        <w:rPr>
          <w:sz w:val="21"/>
        </w:rPr>
        <w:sectPr>
          <w:footerReference w:type="default" r:id="rId4"/>
          <w:pgSz w:w="11910" w:h="16840"/>
          <w:pgMar w:top="1580" w:right="920" w:bottom="1340" w:left="1280" w:header="0" w:footer="1141"/>
          <w:pgNumType w:start="2"/>
          <w:cols w:space="708"/>
        </w:sectPr>
      </w:pPr>
    </w:p>
    <w:p>
      <w:pPr>
        <w:spacing w:before="372"/>
        <w:ind w:left="2" w:right="74" w:firstLine="0"/>
        <w:jc w:val="center"/>
        <w:rPr>
          <w:rFonts w:ascii="黑体" w:eastAsia="黑体" w:hint="eastAsia"/>
          <w:sz w:val="32"/>
        </w:rPr>
      </w:pPr>
      <w:r>
        <w:rPr>
          <w:rFonts w:ascii="黑体" w:eastAsia="黑体" w:hint="eastAsia"/>
          <w:sz w:val="32"/>
        </w:rPr>
        <w:t>背压机组集控人员培训标准</w:t>
      </w:r>
    </w:p>
    <w:p>
      <w:pPr>
        <w:pStyle w:val="BodyText"/>
        <w:spacing w:before="0"/>
        <w:ind w:left="0" w:firstLine="0"/>
        <w:rPr>
          <w:rFonts w:ascii="黑体"/>
          <w:sz w:val="20"/>
        </w:rPr>
      </w:pPr>
    </w:p>
    <w:p>
      <w:pPr>
        <w:pStyle w:val="BodyText"/>
        <w:spacing w:before="6"/>
        <w:ind w:left="0" w:firstLine="0"/>
        <w:rPr>
          <w:rFonts w:ascii="黑体"/>
          <w:sz w:val="20"/>
        </w:rPr>
      </w:pPr>
    </w:p>
    <w:p>
      <w:pPr>
        <w:pStyle w:val="ListParagraph"/>
        <w:numPr>
          <w:ilvl w:val="0"/>
          <w:numId w:val="41"/>
        </w:numPr>
        <w:tabs>
          <w:tab w:val="left" w:pos="452"/>
          <w:tab w:val="left" w:pos="453"/>
        </w:tabs>
        <w:spacing w:before="0" w:after="0" w:line="240" w:lineRule="auto"/>
        <w:ind w:left="452" w:right="0" w:hanging="315"/>
        <w:jc w:val="left"/>
        <w:rPr>
          <w:rFonts w:ascii="黑体" w:eastAsia="黑体" w:hint="eastAsia"/>
          <w:sz w:val="21"/>
        </w:rPr>
      </w:pPr>
      <w:bookmarkStart w:id="0" w:name="1　范围"/>
      <w:bookmarkEnd w:id="0"/>
      <w:bookmarkStart w:id="1" w:name="_bookmark0"/>
      <w:bookmarkEnd w:id="1"/>
      <w:r>
        <w:rPr>
          <w:rFonts w:ascii="黑体" w:eastAsia="黑体" w:hint="eastAsia"/>
          <w:sz w:val="21"/>
        </w:rPr>
        <w:t>范围</w:t>
      </w:r>
    </w:p>
    <w:p>
      <w:pPr>
        <w:pStyle w:val="BodyText"/>
        <w:spacing w:before="12"/>
        <w:ind w:left="0" w:firstLine="0"/>
        <w:rPr>
          <w:rFonts w:ascii="黑体"/>
          <w:sz w:val="18"/>
        </w:rPr>
      </w:pPr>
    </w:p>
    <w:p>
      <w:pPr>
        <w:pStyle w:val="BodyText"/>
        <w:spacing w:before="0" w:line="244" w:lineRule="auto"/>
        <w:ind w:left="138" w:right="212" w:firstLine="420"/>
      </w:pPr>
      <w:r>
        <w:rPr>
          <w:spacing w:val="-4"/>
          <w:w w:val="95"/>
        </w:rPr>
        <w:t xml:space="preserve">本标准规定了背压型火力发电机组集控运行人员培训过程在培训内容、培训组织、培训评估等方面   </w:t>
      </w:r>
      <w:r>
        <w:rPr>
          <w:spacing w:val="-4"/>
        </w:rPr>
        <w:t>的规范。</w:t>
      </w:r>
    </w:p>
    <w:p>
      <w:pPr>
        <w:pStyle w:val="BodyText"/>
        <w:spacing w:before="0" w:line="244" w:lineRule="auto"/>
        <w:ind w:left="138" w:right="215" w:firstLine="420"/>
      </w:pPr>
      <w:r>
        <w:t>本标准适用于25MW—125MW背压型火力发电机组集控人员的培训过程、内容，其他功率等级的背压型火电机组可参照执行。</w:t>
      </w:r>
    </w:p>
    <w:p>
      <w:pPr>
        <w:pStyle w:val="BodyText"/>
        <w:spacing w:before="1"/>
        <w:ind w:left="0" w:firstLine="0"/>
        <w:rPr>
          <w:sz w:val="18"/>
        </w:rPr>
      </w:pPr>
    </w:p>
    <w:p>
      <w:pPr>
        <w:pStyle w:val="ListParagraph"/>
        <w:numPr>
          <w:ilvl w:val="0"/>
          <w:numId w:val="41"/>
        </w:numPr>
        <w:tabs>
          <w:tab w:val="left" w:pos="452"/>
          <w:tab w:val="left" w:pos="453"/>
        </w:tabs>
        <w:spacing w:before="0" w:after="0" w:line="240" w:lineRule="auto"/>
        <w:ind w:left="452" w:right="0" w:hanging="315"/>
        <w:jc w:val="left"/>
        <w:rPr>
          <w:rFonts w:ascii="黑体" w:eastAsia="黑体" w:hint="eastAsia"/>
          <w:sz w:val="21"/>
        </w:rPr>
      </w:pPr>
      <w:bookmarkStart w:id="2" w:name="2　规范性引用文件"/>
      <w:bookmarkEnd w:id="2"/>
      <w:bookmarkStart w:id="3" w:name="_bookmark1"/>
      <w:bookmarkEnd w:id="3"/>
      <w:r>
        <w:rPr>
          <w:rFonts w:ascii="黑体" w:eastAsia="黑体" w:hint="eastAsia"/>
          <w:sz w:val="21"/>
        </w:rPr>
        <w:t>规范性引用文件</w:t>
      </w:r>
    </w:p>
    <w:p>
      <w:pPr>
        <w:pStyle w:val="BodyText"/>
        <w:spacing w:before="1"/>
        <w:ind w:left="0" w:firstLine="0"/>
        <w:rPr>
          <w:rFonts w:ascii="黑体"/>
          <w:sz w:val="19"/>
        </w:rPr>
      </w:pPr>
    </w:p>
    <w:p>
      <w:pPr>
        <w:pStyle w:val="BodyText"/>
        <w:spacing w:before="0" w:line="242" w:lineRule="auto"/>
        <w:ind w:left="138" w:right="108"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spacing w:before="1"/>
        <w:ind w:left="558" w:firstLine="0"/>
      </w:pPr>
      <w:r>
        <w:t>GB/T 26863-2011 火电站监控系统术语</w:t>
      </w:r>
    </w:p>
    <w:p>
      <w:pPr>
        <w:pStyle w:val="BodyText"/>
        <w:spacing w:before="4"/>
        <w:ind w:left="558" w:firstLine="0"/>
      </w:pPr>
      <w:r>
        <w:t>GB/T 36285-2018 火力发电厂汽轮机电液控制系统技术条件</w:t>
      </w:r>
    </w:p>
    <w:p>
      <w:pPr>
        <w:pStyle w:val="BodyText"/>
        <w:spacing w:line="244" w:lineRule="auto"/>
        <w:ind w:left="558" w:right="4316" w:firstLine="0"/>
      </w:pPr>
      <w:r>
        <w:t>GB/T 36293-2018 火力发电厂分散控制系统技术条件GB13223-2011火电厂大气污染物排放标准</w:t>
      </w:r>
    </w:p>
    <w:p>
      <w:pPr>
        <w:pStyle w:val="BodyText"/>
        <w:spacing w:before="0" w:line="265" w:lineRule="exact"/>
        <w:ind w:left="558" w:firstLine="0"/>
      </w:pPr>
      <w:r>
        <w:t>GB/T 30370 火力发电机组一次调频试验及性能验收导则</w:t>
      </w:r>
    </w:p>
    <w:p>
      <w:pPr>
        <w:pStyle w:val="BodyText"/>
        <w:spacing w:before="3"/>
        <w:ind w:left="558" w:firstLine="0"/>
      </w:pPr>
      <w:r>
        <w:t>GB 38755-2019 电力系统安全稳定导则</w:t>
      </w:r>
    </w:p>
    <w:p>
      <w:pPr>
        <w:pStyle w:val="BodyText"/>
        <w:spacing w:before="4"/>
        <w:ind w:left="558" w:firstLine="0"/>
      </w:pPr>
      <w:r>
        <w:t>DL/T 1210 火力发电厂自动发电控制性能测试验收规程</w:t>
      </w:r>
    </w:p>
    <w:p>
      <w:pPr>
        <w:pStyle w:val="BodyText"/>
        <w:ind w:left="558" w:firstLine="0"/>
      </w:pPr>
      <w:r>
        <w:t>GB/T 14285-2006 继电保护和安全自动装置技术规程</w:t>
      </w:r>
    </w:p>
    <w:p>
      <w:pPr>
        <w:pStyle w:val="BodyText"/>
        <w:spacing w:before="5"/>
        <w:ind w:left="558" w:firstLine="0"/>
      </w:pPr>
      <w:r>
        <w:t>GB 50229 火力发电厂与变电站设计防火标准</w:t>
      </w:r>
    </w:p>
    <w:p>
      <w:pPr>
        <w:pStyle w:val="BodyText"/>
        <w:spacing w:before="11"/>
        <w:ind w:left="0" w:firstLine="0"/>
        <w:rPr>
          <w:sz w:val="18"/>
        </w:rPr>
      </w:pPr>
    </w:p>
    <w:p>
      <w:pPr>
        <w:pStyle w:val="ListParagraph"/>
        <w:numPr>
          <w:ilvl w:val="0"/>
          <w:numId w:val="41"/>
        </w:numPr>
        <w:tabs>
          <w:tab w:val="left" w:pos="452"/>
          <w:tab w:val="left" w:pos="453"/>
        </w:tabs>
        <w:spacing w:before="0" w:after="0" w:line="240" w:lineRule="auto"/>
        <w:ind w:left="452" w:right="0" w:hanging="315"/>
        <w:jc w:val="left"/>
        <w:rPr>
          <w:rFonts w:ascii="黑体" w:eastAsia="黑体" w:hint="eastAsia"/>
          <w:sz w:val="21"/>
        </w:rPr>
      </w:pPr>
      <w:bookmarkStart w:id="4" w:name="3　术语和定义"/>
      <w:bookmarkEnd w:id="4"/>
      <w:bookmarkStart w:id="5" w:name="_bookmark2"/>
      <w:bookmarkEnd w:id="5"/>
      <w:r>
        <w:rPr>
          <w:rFonts w:ascii="黑体" w:eastAsia="黑体" w:hint="eastAsia"/>
          <w:sz w:val="21"/>
        </w:rPr>
        <w:t>术语和定义</w:t>
      </w:r>
    </w:p>
    <w:p>
      <w:pPr>
        <w:pStyle w:val="BodyText"/>
        <w:spacing w:before="1"/>
        <w:ind w:left="0" w:firstLine="0"/>
        <w:rPr>
          <w:rFonts w:ascii="黑体"/>
          <w:sz w:val="19"/>
        </w:rPr>
      </w:pPr>
    </w:p>
    <w:p>
      <w:pPr>
        <w:pStyle w:val="BodyText"/>
        <w:spacing w:before="0" w:line="242" w:lineRule="auto"/>
        <w:ind w:left="138" w:right="211" w:firstLine="420"/>
      </w:pPr>
      <w:r>
        <w:drawing>
          <wp:anchor distT="0" distB="0" distL="0" distR="0" simplePos="0" relativeHeight="251658240" behindDoc="0" locked="0" layoutInCell="1" allowOverlap="1">
            <wp:simplePos x="0" y="0"/>
            <wp:positionH relativeFrom="page">
              <wp:posOffset>886345</wp:posOffset>
            </wp:positionH>
            <wp:positionV relativeFrom="paragraph">
              <wp:posOffset>370954</wp:posOffset>
            </wp:positionV>
            <wp:extent cx="195146" cy="12192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195146" cy="121920"/>
                    </a:xfrm>
                    <a:prstGeom prst="rect">
                      <a:avLst/>
                    </a:prstGeom>
                  </pic:spPr>
                </pic:pic>
              </a:graphicData>
            </a:graphic>
          </wp:anchor>
        </w:drawing>
      </w:r>
      <w:r>
        <w:t>GB/T 26863-2011界定的以及下列术语和定义适用于本文件。为了便于使用，以下重复列出了GB/T 26863-2011中的某些术语和定义。</w:t>
      </w:r>
    </w:p>
    <w:p>
      <w:pPr>
        <w:pStyle w:val="BodyText"/>
        <w:spacing w:before="11"/>
        <w:ind w:left="558" w:firstLine="0"/>
        <w:rPr>
          <w:rFonts w:ascii="黑体" w:eastAsia="黑体" w:hint="eastAsia"/>
        </w:rPr>
      </w:pPr>
      <w:r>
        <w:rPr>
          <w:rFonts w:ascii="黑体" w:eastAsia="黑体" w:hint="eastAsia"/>
        </w:rPr>
        <w:t>分散控制系统 distributed control system；DCS</w:t>
      </w:r>
    </w:p>
    <w:p>
      <w:pPr>
        <w:pStyle w:val="BodyText"/>
        <w:spacing w:before="4" w:line="242" w:lineRule="auto"/>
        <w:ind w:left="138" w:right="215" w:firstLine="420"/>
        <w:jc w:val="both"/>
      </w:pPr>
      <w:r>
        <w:drawing>
          <wp:anchor distT="0" distB="0" distL="0" distR="0" simplePos="0" relativeHeight="251659264" behindDoc="0" locked="0" layoutInCell="1" allowOverlap="1">
            <wp:simplePos x="0" y="0"/>
            <wp:positionH relativeFrom="page">
              <wp:posOffset>886345</wp:posOffset>
            </wp:positionH>
            <wp:positionV relativeFrom="paragraph">
              <wp:posOffset>545376</wp:posOffset>
            </wp:positionV>
            <wp:extent cx="218826" cy="12192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6" cstate="print"/>
                    <a:stretch>
                      <a:fillRect/>
                    </a:stretch>
                  </pic:blipFill>
                  <pic:spPr>
                    <a:xfrm>
                      <a:off x="0" y="0"/>
                      <a:ext cx="218826" cy="121920"/>
                    </a:xfrm>
                    <a:prstGeom prst="rect">
                      <a:avLst/>
                    </a:prstGeom>
                  </pic:spPr>
                </pic:pic>
              </a:graphicData>
            </a:graphic>
          </wp:anchor>
        </w:drawing>
      </w:r>
      <w:r>
        <w:rPr>
          <w:spacing w:val="-8"/>
          <w:w w:val="95"/>
        </w:rPr>
        <w:t xml:space="preserve">采用计算机、通信和屏幕显示技术，实现对生产过程的数据采集、控制和保护功能，利用通信技术   </w:t>
      </w:r>
      <w:r>
        <w:rPr>
          <w:spacing w:val="-12"/>
          <w:w w:val="95"/>
        </w:rPr>
        <w:t xml:space="preserve">实现数据共享的多计算机监控系统。其主要特点是功能分散、操作显示集中、数据共享。根据具体情况   </w:t>
      </w:r>
      <w:r>
        <w:rPr>
          <w:spacing w:val="-12"/>
        </w:rPr>
        <w:t>也可以是硬件布置上的分散。</w:t>
      </w:r>
    </w:p>
    <w:p>
      <w:pPr>
        <w:pStyle w:val="BodyText"/>
        <w:spacing w:before="13"/>
        <w:ind w:left="558" w:firstLine="0"/>
        <w:rPr>
          <w:rFonts w:ascii="黑体" w:eastAsia="黑体" w:hint="eastAsia"/>
        </w:rPr>
      </w:pPr>
      <w:r>
        <w:rPr>
          <w:rFonts w:ascii="黑体" w:eastAsia="黑体" w:hint="eastAsia"/>
        </w:rPr>
        <w:t>不间断电源 uninterruptible power supply；UPS</w:t>
      </w:r>
    </w:p>
    <w:p>
      <w:pPr>
        <w:pStyle w:val="BodyText"/>
        <w:spacing w:before="3"/>
        <w:ind w:left="558" w:firstLine="0"/>
      </w:pPr>
      <w:r>
        <w:t>一种含有储能装置的不间断电源。主要用于给部分对电源稳定性要求较高的设备，提供不间断的电</w:t>
      </w:r>
    </w:p>
    <w:p>
      <w:pPr>
        <w:pStyle w:val="BodyText"/>
        <w:ind w:left="138" w:firstLine="0"/>
      </w:pPr>
      <w:r>
        <w:t>源。</w:t>
      </w:r>
    </w:p>
    <w:p>
      <w:pPr>
        <w:spacing w:before="4"/>
        <w:ind w:left="115" w:right="0" w:firstLine="0"/>
        <w:jc w:val="left"/>
        <w:rPr>
          <w:rFonts w:ascii="黑体"/>
          <w:sz w:val="21"/>
        </w:rPr>
      </w:pPr>
      <w:r>
        <w:rPr>
          <w:position w:val="-1"/>
        </w:rPr>
        <w:drawing>
          <wp:inline distT="0" distB="0" distL="0" distR="0">
            <wp:extent cx="219556" cy="121858"/>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7" cstate="print"/>
                    <a:stretch>
                      <a:fillRect/>
                    </a:stretch>
                  </pic:blipFill>
                  <pic:spPr>
                    <a:xfrm>
                      <a:off x="0" y="0"/>
                      <a:ext cx="219556" cy="121858"/>
                    </a:xfrm>
                    <a:prstGeom prst="rect">
                      <a:avLst/>
                    </a:prstGeom>
                  </pic:spPr>
                </pic:pic>
              </a:graphicData>
            </a:graphic>
          </wp:inline>
        </w:drawing>
      </w:r>
      <w:r>
        <w:rPr>
          <w:rFonts w:ascii="Times New Roman"/>
          <w:sz w:val="20"/>
        </w:rPr>
        <w:t xml:space="preserve">   </w:t>
      </w:r>
      <w:r>
        <w:rPr>
          <w:rFonts w:ascii="Times New Roman"/>
          <w:spacing w:val="2"/>
          <w:sz w:val="20"/>
        </w:rPr>
        <w:t xml:space="preserve"> </w:t>
      </w:r>
      <w:r>
        <w:rPr>
          <w:rFonts w:ascii="黑体"/>
          <w:sz w:val="21"/>
        </w:rPr>
        <w:t>3.3</w:t>
      </w:r>
    </w:p>
    <w:p>
      <w:pPr>
        <w:pStyle w:val="BodyText"/>
        <w:ind w:left="558" w:firstLine="0"/>
        <w:rPr>
          <w:rFonts w:ascii="黑体" w:eastAsia="黑体" w:hint="eastAsia"/>
        </w:rPr>
      </w:pPr>
      <w:r>
        <w:rPr>
          <w:rFonts w:ascii="黑体" w:eastAsia="黑体" w:hint="eastAsia"/>
        </w:rPr>
        <w:t>烟气脱硫 flue gas desulfurization；FGD</w:t>
      </w:r>
    </w:p>
    <w:p>
      <w:pPr>
        <w:pStyle w:val="BodyText"/>
        <w:spacing w:before="5"/>
        <w:ind w:left="558" w:firstLine="0"/>
      </w:pPr>
      <w:r>
        <w:drawing>
          <wp:anchor distT="0" distB="0" distL="0" distR="0" simplePos="0" relativeHeight="251660288" behindDoc="0" locked="0" layoutInCell="1" allowOverlap="1">
            <wp:simplePos x="0" y="0"/>
            <wp:positionH relativeFrom="page">
              <wp:posOffset>886345</wp:posOffset>
            </wp:positionH>
            <wp:positionV relativeFrom="paragraph">
              <wp:posOffset>201409</wp:posOffset>
            </wp:positionV>
            <wp:extent cx="218518" cy="121919"/>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8" cstate="print"/>
                    <a:stretch>
                      <a:fillRect/>
                    </a:stretch>
                  </pic:blipFill>
                  <pic:spPr>
                    <a:xfrm>
                      <a:off x="0" y="0"/>
                      <a:ext cx="218518" cy="121919"/>
                    </a:xfrm>
                    <a:prstGeom prst="rect">
                      <a:avLst/>
                    </a:prstGeom>
                  </pic:spPr>
                </pic:pic>
              </a:graphicData>
            </a:graphic>
          </wp:anchor>
        </w:drawing>
      </w:r>
      <w:r>
        <w:t>从烟道气或其他工业废气中除去硫氧化物（SO2和SO3）。</w:t>
      </w:r>
    </w:p>
    <w:p>
      <w:pPr>
        <w:pStyle w:val="BodyText"/>
        <w:spacing w:before="11"/>
        <w:ind w:left="558" w:firstLine="0"/>
        <w:rPr>
          <w:rFonts w:ascii="黑体" w:eastAsia="黑体" w:hint="eastAsia"/>
        </w:rPr>
      </w:pPr>
      <w:r>
        <w:rPr>
          <w:rFonts w:ascii="黑体" w:eastAsia="黑体" w:hint="eastAsia"/>
        </w:rPr>
        <w:t>全挥发处理 all volatile treatment；AVT</w:t>
      </w:r>
    </w:p>
    <w:p>
      <w:pPr>
        <w:pStyle w:val="BodyText"/>
        <w:spacing w:before="5" w:line="242" w:lineRule="auto"/>
        <w:ind w:left="138" w:right="212" w:firstLine="420"/>
      </w:pPr>
      <w:r>
        <w:drawing>
          <wp:anchor distT="0" distB="0" distL="0" distR="0" simplePos="0" relativeHeight="251661312" behindDoc="0" locked="0" layoutInCell="1" allowOverlap="1">
            <wp:simplePos x="0" y="0"/>
            <wp:positionH relativeFrom="page">
              <wp:posOffset>886345</wp:posOffset>
            </wp:positionH>
            <wp:positionV relativeFrom="paragraph">
              <wp:posOffset>373240</wp:posOffset>
            </wp:positionV>
            <wp:extent cx="219298" cy="121919"/>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9" cstate="print"/>
                    <a:stretch>
                      <a:fillRect/>
                    </a:stretch>
                  </pic:blipFill>
                  <pic:spPr>
                    <a:xfrm>
                      <a:off x="0" y="0"/>
                      <a:ext cx="219298" cy="121919"/>
                    </a:xfrm>
                    <a:prstGeom prst="rect">
                      <a:avLst/>
                    </a:prstGeom>
                  </pic:spPr>
                </pic:pic>
              </a:graphicData>
            </a:graphic>
          </wp:anchor>
        </w:drawing>
      </w:r>
      <w:r>
        <w:t>用加氨的方法将给水pH提高到9.0左右，同时以热力除氧和化学除氧相结合的方法将给水中的溶解氧尽量除去，从而以较高的pH值和低微的溶解氧预防系统中的钢铁和铜合金的腐蚀。</w:t>
      </w:r>
    </w:p>
    <w:p>
      <w:pPr>
        <w:pStyle w:val="BodyText"/>
        <w:spacing w:before="12"/>
        <w:ind w:left="558" w:firstLine="0"/>
        <w:rPr>
          <w:rFonts w:ascii="黑体" w:eastAsia="黑体" w:hint="eastAsia"/>
        </w:rPr>
      </w:pPr>
      <w:r>
        <w:rPr>
          <w:rFonts w:ascii="黑体" w:eastAsia="黑体" w:hint="eastAsia"/>
        </w:rPr>
        <w:t>联合水处理 combined water treatment； CWT</w:t>
      </w:r>
    </w:p>
    <w:p>
      <w:pPr>
        <w:pStyle w:val="BodyText"/>
        <w:spacing w:line="244" w:lineRule="auto"/>
        <w:ind w:left="138" w:right="215" w:firstLine="420"/>
      </w:pPr>
      <w:r>
        <w:t>在高纯水中加入适量的氧和微量氨，使给水pH值维持在8.5左右，既使钢材表面能生成双层结构氧化保护膜，又不致于对铜合金造成腐蚀危害。</w:t>
      </w:r>
    </w:p>
    <w:p>
      <w:pPr>
        <w:spacing w:after="0" w:line="244" w:lineRule="auto"/>
        <w:sectPr>
          <w:footerReference w:type="default" r:id="rId10"/>
          <w:pgSz w:w="11910" w:h="16840"/>
          <w:pgMar w:top="1580" w:right="920" w:bottom="1340" w:left="1280" w:header="0" w:footer="1141"/>
          <w:pgNumType w:start="1"/>
          <w:cols w:space="708"/>
        </w:sectPr>
      </w:pPr>
    </w:p>
    <w:p>
      <w:pPr>
        <w:pStyle w:val="BodyText"/>
        <w:spacing w:before="5"/>
        <w:ind w:left="0" w:firstLine="0"/>
        <w:rPr>
          <w:sz w:val="20"/>
        </w:rPr>
      </w:pPr>
    </w:p>
    <w:p>
      <w:pPr>
        <w:pStyle w:val="ListParagraph"/>
        <w:numPr>
          <w:ilvl w:val="0"/>
          <w:numId w:val="38"/>
        </w:numPr>
        <w:tabs>
          <w:tab w:val="left" w:pos="452"/>
          <w:tab w:val="left" w:pos="453"/>
        </w:tabs>
        <w:spacing w:before="70" w:after="0" w:line="240" w:lineRule="auto"/>
        <w:ind w:left="452" w:right="0" w:hanging="315"/>
        <w:jc w:val="left"/>
        <w:rPr>
          <w:rFonts w:ascii="黑体" w:eastAsia="黑体" w:hint="eastAsia"/>
          <w:sz w:val="21"/>
        </w:rPr>
      </w:pPr>
      <w:bookmarkStart w:id="6" w:name="4　总体要求"/>
      <w:bookmarkEnd w:id="6"/>
      <w:bookmarkStart w:id="7" w:name="_bookmark3"/>
      <w:bookmarkEnd w:id="7"/>
      <w:r>
        <w:rPr>
          <w:rFonts w:ascii="黑体" w:eastAsia="黑体" w:hint="eastAsia"/>
          <w:sz w:val="21"/>
        </w:rPr>
        <w:t>总体要求</w:t>
      </w:r>
    </w:p>
    <w:p>
      <w:pPr>
        <w:pStyle w:val="BodyText"/>
        <w:spacing w:before="11"/>
        <w:ind w:left="0" w:firstLine="0"/>
        <w:rPr>
          <w:rFonts w:ascii="黑体"/>
          <w:sz w:val="18"/>
        </w:rPr>
      </w:pPr>
    </w:p>
    <w:p>
      <w:pPr>
        <w:pStyle w:val="BodyText"/>
        <w:spacing w:before="0" w:line="242" w:lineRule="auto"/>
        <w:ind w:left="138" w:right="108" w:firstLine="420"/>
      </w:pPr>
      <w:r>
        <w:rPr>
          <w:spacing w:val="-11"/>
          <w:w w:val="95"/>
        </w:rPr>
        <w:t xml:space="preserve">火力发电厂应建立健全集控人员“培训、考核、任用、待遇”相结合的机制，集控人员必须先培训，   </w:t>
      </w:r>
      <w:r>
        <w:rPr>
          <w:spacing w:val="-11"/>
        </w:rPr>
        <w:t>后上岗。</w:t>
      </w:r>
    </w:p>
    <w:p>
      <w:pPr>
        <w:pStyle w:val="BodyText"/>
        <w:spacing w:line="244" w:lineRule="auto"/>
        <w:ind w:left="138" w:right="108" w:firstLine="420"/>
      </w:pPr>
      <w:r>
        <w:rPr>
          <w:spacing w:val="-7"/>
          <w:w w:val="95"/>
        </w:rPr>
        <w:t xml:space="preserve">背压机组集控人员培训宜纳入火力发电厂领导的任期目标，培训工作宜有必要的布置、检查、考核、   </w:t>
      </w:r>
      <w:r>
        <w:rPr>
          <w:spacing w:val="-7"/>
        </w:rPr>
        <w:t>奖励。</w:t>
      </w:r>
    </w:p>
    <w:p>
      <w:pPr>
        <w:pStyle w:val="BodyText"/>
        <w:spacing w:before="0" w:line="244" w:lineRule="auto"/>
        <w:ind w:left="138" w:right="212" w:firstLine="420"/>
      </w:pPr>
      <w:r>
        <w:rPr>
          <w:spacing w:val="-4"/>
          <w:w w:val="95"/>
        </w:rPr>
        <w:t xml:space="preserve">背压机组集控人员培训应保证运行人员的技能水平满足机组安全、稳定运行要求，确保机组供电和   </w:t>
      </w:r>
      <w:r>
        <w:rPr>
          <w:spacing w:val="-4"/>
        </w:rPr>
        <w:t>供热的稳定性。</w:t>
      </w:r>
    </w:p>
    <w:p>
      <w:pPr>
        <w:pStyle w:val="BodyText"/>
        <w:spacing w:before="1"/>
        <w:ind w:left="0" w:firstLine="0"/>
        <w:rPr>
          <w:sz w:val="18"/>
        </w:rPr>
      </w:pPr>
    </w:p>
    <w:p>
      <w:pPr>
        <w:pStyle w:val="ListParagraph"/>
        <w:numPr>
          <w:ilvl w:val="0"/>
          <w:numId w:val="38"/>
        </w:numPr>
        <w:tabs>
          <w:tab w:val="left" w:pos="452"/>
          <w:tab w:val="left" w:pos="453"/>
        </w:tabs>
        <w:spacing w:before="0" w:after="0" w:line="240" w:lineRule="auto"/>
        <w:ind w:left="452" w:right="0" w:hanging="315"/>
        <w:jc w:val="left"/>
        <w:rPr>
          <w:rFonts w:ascii="黑体" w:eastAsia="黑体" w:hint="eastAsia"/>
          <w:sz w:val="21"/>
        </w:rPr>
      </w:pPr>
      <w:bookmarkStart w:id="8" w:name="5　培训内容"/>
      <w:bookmarkEnd w:id="8"/>
      <w:bookmarkStart w:id="9" w:name="_bookmark4"/>
      <w:bookmarkEnd w:id="9"/>
      <w:r>
        <w:rPr>
          <w:rFonts w:ascii="黑体" w:eastAsia="黑体" w:hint="eastAsia"/>
          <w:w w:val="95"/>
          <w:sz w:val="21"/>
        </w:rPr>
        <w:t>培训内容</w:t>
      </w:r>
    </w:p>
    <w:p>
      <w:pPr>
        <w:pStyle w:val="BodyText"/>
        <w:spacing w:before="6"/>
        <w:ind w:left="0" w:firstLine="0"/>
        <w:rPr>
          <w:rFonts w:ascii="黑体"/>
          <w:sz w:val="13"/>
        </w:rPr>
      </w:pPr>
    </w:p>
    <w:p>
      <w:pPr>
        <w:spacing w:before="69"/>
        <w:ind w:left="111" w:right="0" w:firstLine="0"/>
        <w:jc w:val="left"/>
        <w:rPr>
          <w:rFonts w:ascii="黑体" w:eastAsia="黑体" w:hint="eastAsia"/>
          <w:sz w:val="21"/>
        </w:rPr>
      </w:pPr>
      <w:r>
        <w:rPr>
          <w:position w:val="-1"/>
        </w:rPr>
        <w:drawing>
          <wp:inline distT="0" distB="0" distL="0" distR="0">
            <wp:extent cx="194976" cy="121944"/>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1" cstate="print"/>
                    <a:stretch>
                      <a:fillRect/>
                    </a:stretch>
                  </pic:blipFill>
                  <pic:spPr>
                    <a:xfrm>
                      <a:off x="0" y="0"/>
                      <a:ext cx="194976"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bookmarkStart w:id="10" w:name="5.1　汽轮机部分"/>
      <w:bookmarkEnd w:id="10"/>
      <w:r>
        <w:rPr>
          <w:rFonts w:ascii="黑体" w:eastAsia="黑体" w:hint="eastAsia"/>
          <w:w w:val="95"/>
          <w:sz w:val="21"/>
        </w:rPr>
        <w:t>汽轮机部分</w:t>
      </w:r>
    </w:p>
    <w:p>
      <w:pPr>
        <w:pStyle w:val="ListParagraph"/>
        <w:numPr>
          <w:ilvl w:val="2"/>
          <w:numId w:val="37"/>
        </w:numPr>
        <w:tabs>
          <w:tab w:val="left" w:pos="872"/>
          <w:tab w:val="left" w:pos="873"/>
        </w:tabs>
        <w:spacing w:before="125" w:after="0" w:line="240" w:lineRule="auto"/>
        <w:ind w:left="872" w:right="0" w:hanging="735"/>
        <w:jc w:val="left"/>
        <w:rPr>
          <w:rFonts w:ascii="黑体" w:eastAsia="黑体" w:hint="eastAsia"/>
          <w:sz w:val="21"/>
        </w:rPr>
      </w:pPr>
      <w:bookmarkStart w:id="11" w:name="5.1.1　冷却水系统"/>
      <w:bookmarkEnd w:id="11"/>
      <w:r>
        <w:rPr>
          <w:rFonts w:ascii="黑体" w:eastAsia="黑体" w:hint="eastAsia"/>
          <w:sz w:val="21"/>
        </w:rPr>
        <w:t>冷却水系统</w:t>
      </w:r>
    </w:p>
    <w:p>
      <w:pPr>
        <w:pStyle w:val="BodyText"/>
        <w:spacing w:before="122"/>
        <w:ind w:left="558" w:firstLine="0"/>
      </w:pPr>
      <w:r>
        <w:t>循环冷却水系统的培训内容应包括但不限于以下项目：</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循环冷却水泵的结构和工作原理；</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辅机循环冷却水泵的启动、停止联锁逻辑图；</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循环水系统的组成；</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冷却水系统用户、系统流程；</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冷却水系统管道、阀门的就地布置和具体位置；</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辅机循环冷却水泵启动前检查、启动操作和联锁试验；</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备用辅机循环冷却水泵的检查项目和注意事项；</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辅机循环冷却水泵定期切换的方法；</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辅机循环冷却水泵的停运操作；</w:t>
      </w:r>
    </w:p>
    <w:p>
      <w:pPr>
        <w:pStyle w:val="ListParagraph"/>
        <w:numPr>
          <w:ilvl w:val="3"/>
          <w:numId w:val="37"/>
        </w:numPr>
        <w:tabs>
          <w:tab w:val="left" w:pos="1413"/>
        </w:tabs>
        <w:spacing w:before="2" w:after="0" w:line="240" w:lineRule="auto"/>
        <w:ind w:left="1412" w:right="0" w:hanging="425"/>
        <w:jc w:val="left"/>
        <w:rPr>
          <w:rFonts w:ascii="新宋体" w:eastAsia="新宋体" w:hint="eastAsia"/>
          <w:sz w:val="21"/>
        </w:rPr>
      </w:pPr>
      <w:r>
        <w:rPr>
          <w:sz w:val="21"/>
        </w:rPr>
        <w:t>辅机循环冷却水泵电源取自</w:t>
      </w:r>
      <w:r>
        <w:rPr>
          <w:rFonts w:ascii="新宋体" w:eastAsia="新宋体" w:hint="eastAsia"/>
          <w:sz w:val="21"/>
        </w:rPr>
        <w:t>何处及就地位置和开关、刀闸的型式。</w:t>
      </w:r>
    </w:p>
    <w:p>
      <w:pPr>
        <w:pStyle w:val="ListParagraph"/>
        <w:numPr>
          <w:ilvl w:val="2"/>
          <w:numId w:val="37"/>
        </w:numPr>
        <w:tabs>
          <w:tab w:val="left" w:pos="872"/>
          <w:tab w:val="left" w:pos="873"/>
        </w:tabs>
        <w:spacing w:before="125" w:after="0" w:line="240" w:lineRule="auto"/>
        <w:ind w:left="872" w:right="0" w:hanging="735"/>
        <w:jc w:val="left"/>
        <w:rPr>
          <w:rFonts w:ascii="黑体" w:eastAsia="黑体" w:hint="eastAsia"/>
          <w:sz w:val="21"/>
        </w:rPr>
      </w:pPr>
      <w:bookmarkStart w:id="12" w:name="5.1.2　除氧器系统"/>
      <w:bookmarkEnd w:id="12"/>
      <w:r>
        <w:rPr>
          <w:rFonts w:ascii="黑体" w:eastAsia="黑体" w:hint="eastAsia"/>
          <w:sz w:val="21"/>
        </w:rPr>
        <w:t>除氧器系统</w:t>
      </w:r>
    </w:p>
    <w:p>
      <w:pPr>
        <w:pStyle w:val="BodyText"/>
        <w:spacing w:before="122"/>
        <w:ind w:left="558" w:firstLine="0"/>
      </w:pPr>
      <w:r>
        <w:t>除氧器系统的培训内容应包括但不限于以下项目：</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除氧器的设备规范；</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除氧器的结构、工作原理；</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给水的控制指标；</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除氧给水系统管道、阀门的就地布置和具体位置；</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除氧器水位的定值，联锁控制逻辑；</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除氧器加热汽源切换路径；</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除氧器上水条件、检查项目，除氧器投再沸腾的操作；</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除氧器运行中的调整操作、检查项目和注意事项。</w:t>
      </w:r>
    </w:p>
    <w:p>
      <w:pPr>
        <w:pStyle w:val="ListParagraph"/>
        <w:numPr>
          <w:ilvl w:val="2"/>
          <w:numId w:val="37"/>
        </w:numPr>
        <w:tabs>
          <w:tab w:val="left" w:pos="872"/>
          <w:tab w:val="left" w:pos="873"/>
        </w:tabs>
        <w:spacing w:before="122" w:after="0" w:line="240" w:lineRule="auto"/>
        <w:ind w:left="872" w:right="0" w:hanging="735"/>
        <w:jc w:val="left"/>
        <w:rPr>
          <w:rFonts w:ascii="黑体" w:eastAsia="黑体" w:hint="eastAsia"/>
          <w:sz w:val="21"/>
        </w:rPr>
      </w:pPr>
      <w:bookmarkStart w:id="13" w:name="5.1.3　回热系统"/>
      <w:bookmarkEnd w:id="13"/>
      <w:r>
        <w:rPr>
          <w:rFonts w:ascii="黑体" w:eastAsia="黑体" w:hint="eastAsia"/>
          <w:sz w:val="21"/>
        </w:rPr>
        <w:t>回热系统</w:t>
      </w:r>
    </w:p>
    <w:p>
      <w:pPr>
        <w:pStyle w:val="ListParagraph"/>
        <w:numPr>
          <w:ilvl w:val="3"/>
          <w:numId w:val="36"/>
        </w:numPr>
        <w:tabs>
          <w:tab w:val="left" w:pos="1083"/>
          <w:tab w:val="left" w:pos="1084"/>
        </w:tabs>
        <w:spacing w:before="125" w:after="0" w:line="240" w:lineRule="auto"/>
        <w:ind w:left="1084" w:right="0" w:hanging="946"/>
        <w:jc w:val="left"/>
        <w:rPr>
          <w:rFonts w:ascii="黑体" w:eastAsia="黑体" w:hint="eastAsia"/>
          <w:sz w:val="21"/>
        </w:rPr>
      </w:pPr>
      <w:bookmarkStart w:id="14" w:name="5.1.3.1　高压加热器"/>
      <w:bookmarkEnd w:id="14"/>
      <w:r>
        <w:rPr>
          <w:rFonts w:ascii="黑体" w:eastAsia="黑体" w:hint="eastAsia"/>
          <w:sz w:val="21"/>
        </w:rPr>
        <w:t>高压加热器</w:t>
      </w:r>
    </w:p>
    <w:p>
      <w:pPr>
        <w:pStyle w:val="BodyText"/>
        <w:spacing w:before="122"/>
        <w:ind w:left="558" w:firstLine="0"/>
      </w:pPr>
      <w:r>
        <w:rPr>
          <w:w w:val="95"/>
        </w:rPr>
        <w:t>高压加热器的培训内容应包括但不限于以下项目：</w:t>
      </w:r>
    </w:p>
    <w:p>
      <w:pPr>
        <w:pStyle w:val="ListParagraph"/>
        <w:numPr>
          <w:ilvl w:val="4"/>
          <w:numId w:val="36"/>
        </w:numPr>
        <w:tabs>
          <w:tab w:val="left" w:pos="1412"/>
          <w:tab w:val="left" w:pos="1413"/>
        </w:tabs>
        <w:spacing w:before="4" w:after="0" w:line="240" w:lineRule="auto"/>
        <w:ind w:left="1412" w:right="0" w:hanging="425"/>
        <w:jc w:val="left"/>
        <w:rPr>
          <w:sz w:val="21"/>
        </w:rPr>
      </w:pPr>
      <w:r>
        <w:rPr>
          <w:w w:val="95"/>
          <w:sz w:val="21"/>
        </w:rPr>
        <w:t>高压加热器的设备规范；</w:t>
      </w:r>
    </w:p>
    <w:p>
      <w:pPr>
        <w:pStyle w:val="ListParagraph"/>
        <w:numPr>
          <w:ilvl w:val="4"/>
          <w:numId w:val="36"/>
        </w:numPr>
        <w:tabs>
          <w:tab w:val="left" w:pos="1412"/>
          <w:tab w:val="left" w:pos="1413"/>
        </w:tabs>
        <w:spacing w:before="2" w:after="0" w:line="240" w:lineRule="auto"/>
        <w:ind w:left="1412" w:right="0" w:hanging="425"/>
        <w:jc w:val="left"/>
        <w:rPr>
          <w:sz w:val="21"/>
        </w:rPr>
      </w:pPr>
      <w:r>
        <w:rPr>
          <w:sz w:val="21"/>
        </w:rPr>
        <w:t>高压加热器的结构；</w:t>
      </w:r>
    </w:p>
    <w:p>
      <w:pPr>
        <w:pStyle w:val="ListParagraph"/>
        <w:numPr>
          <w:ilvl w:val="4"/>
          <w:numId w:val="36"/>
        </w:numPr>
        <w:tabs>
          <w:tab w:val="left" w:pos="1412"/>
          <w:tab w:val="left" w:pos="1413"/>
        </w:tabs>
        <w:spacing w:before="5" w:after="0" w:line="240" w:lineRule="auto"/>
        <w:ind w:left="1412" w:right="0" w:hanging="425"/>
        <w:jc w:val="left"/>
        <w:rPr>
          <w:sz w:val="21"/>
        </w:rPr>
      </w:pPr>
      <w:r>
        <w:rPr>
          <w:sz w:val="21"/>
        </w:rPr>
        <w:t>高压加热器疏水调整门的型式；</w:t>
      </w:r>
    </w:p>
    <w:p>
      <w:pPr>
        <w:pStyle w:val="ListParagraph"/>
        <w:numPr>
          <w:ilvl w:val="4"/>
          <w:numId w:val="36"/>
        </w:numPr>
        <w:tabs>
          <w:tab w:val="left" w:pos="1412"/>
          <w:tab w:val="left" w:pos="1413"/>
        </w:tabs>
        <w:spacing w:before="2" w:after="0" w:line="244" w:lineRule="auto"/>
        <w:ind w:left="1412" w:right="215" w:hanging="425"/>
        <w:jc w:val="left"/>
        <w:rPr>
          <w:sz w:val="21"/>
        </w:rPr>
      </w:pPr>
      <w:r>
        <w:rPr>
          <w:sz w:val="21"/>
        </w:rPr>
        <w:t>高压加热器系统管道、阀门的就地布置和具体位置</w:t>
      </w:r>
      <w:r>
        <w:rPr>
          <w:spacing w:val="4"/>
          <w:sz w:val="21"/>
        </w:rPr>
        <w:t>（</w:t>
      </w:r>
      <w:r>
        <w:rPr>
          <w:sz w:val="21"/>
        </w:rPr>
        <w:t>包括水系统、抽汽系统、疏水系统和空气系统）；</w:t>
      </w:r>
    </w:p>
    <w:p>
      <w:pPr>
        <w:pStyle w:val="ListParagraph"/>
        <w:numPr>
          <w:ilvl w:val="4"/>
          <w:numId w:val="36"/>
        </w:numPr>
        <w:tabs>
          <w:tab w:val="left" w:pos="1412"/>
          <w:tab w:val="left" w:pos="1413"/>
        </w:tabs>
        <w:spacing w:before="0" w:after="0" w:line="265" w:lineRule="exact"/>
        <w:ind w:left="1412" w:right="0" w:hanging="425"/>
        <w:jc w:val="left"/>
        <w:rPr>
          <w:sz w:val="21"/>
        </w:rPr>
      </w:pPr>
      <w:r>
        <w:rPr>
          <w:sz w:val="21"/>
        </w:rPr>
        <w:t>高压加热器的投入条件；</w:t>
      </w:r>
    </w:p>
    <w:p>
      <w:pPr>
        <w:pStyle w:val="ListParagraph"/>
        <w:numPr>
          <w:ilvl w:val="4"/>
          <w:numId w:val="36"/>
        </w:numPr>
        <w:tabs>
          <w:tab w:val="left" w:pos="1412"/>
          <w:tab w:val="left" w:pos="1413"/>
        </w:tabs>
        <w:spacing w:before="5" w:after="0" w:line="240" w:lineRule="auto"/>
        <w:ind w:left="1412" w:right="0" w:hanging="425"/>
        <w:jc w:val="left"/>
        <w:rPr>
          <w:sz w:val="21"/>
        </w:rPr>
      </w:pPr>
      <w:r>
        <w:rPr>
          <w:sz w:val="21"/>
        </w:rPr>
        <w:t>高压加热器的紧急停运条件；</w:t>
      </w:r>
    </w:p>
    <w:p>
      <w:pPr>
        <w:pStyle w:val="ListParagraph"/>
        <w:numPr>
          <w:ilvl w:val="4"/>
          <w:numId w:val="36"/>
        </w:numPr>
        <w:tabs>
          <w:tab w:val="left" w:pos="1412"/>
          <w:tab w:val="left" w:pos="1413"/>
        </w:tabs>
        <w:spacing w:before="2" w:after="0" w:line="240" w:lineRule="auto"/>
        <w:ind w:left="1412" w:right="0" w:hanging="425"/>
        <w:jc w:val="left"/>
        <w:rPr>
          <w:sz w:val="21"/>
        </w:rPr>
      </w:pPr>
      <w:r>
        <w:rPr>
          <w:sz w:val="21"/>
        </w:rPr>
        <w:t>高加进汽逆止门活动试验方法；</w:t>
      </w:r>
    </w:p>
    <w:p>
      <w:pPr>
        <w:pStyle w:val="ListParagraph"/>
        <w:numPr>
          <w:ilvl w:val="4"/>
          <w:numId w:val="36"/>
        </w:numPr>
        <w:tabs>
          <w:tab w:val="left" w:pos="1412"/>
          <w:tab w:val="left" w:pos="1413"/>
        </w:tabs>
        <w:spacing w:before="4" w:after="0" w:line="240" w:lineRule="auto"/>
        <w:ind w:left="1412" w:right="0" w:hanging="425"/>
        <w:jc w:val="left"/>
        <w:rPr>
          <w:sz w:val="21"/>
        </w:rPr>
      </w:pPr>
      <w:r>
        <w:rPr>
          <w:sz w:val="21"/>
        </w:rPr>
        <w:t>高压加热器水位的定值，联锁控制逻辑；</w:t>
      </w:r>
    </w:p>
    <w:p>
      <w:pPr>
        <w:spacing w:after="0" w:line="240" w:lineRule="auto"/>
        <w:jc w:val="left"/>
        <w:rPr>
          <w:sz w:val="21"/>
        </w:rPr>
        <w:sectPr>
          <w:footerReference w:type="default" r:id="rId12"/>
          <w:pgSz w:w="11910" w:h="16840"/>
          <w:pgMar w:top="1580" w:right="920" w:bottom="1340" w:left="1280" w:header="0" w:footer="1141"/>
          <w:pgNumType w:start="2"/>
          <w:cols w:space="708"/>
        </w:sectPr>
      </w:pPr>
    </w:p>
    <w:p>
      <w:pPr>
        <w:pStyle w:val="BodyText"/>
        <w:spacing w:before="5"/>
        <w:ind w:left="0" w:firstLine="0"/>
        <w:rPr>
          <w:sz w:val="20"/>
        </w:rPr>
      </w:pPr>
    </w:p>
    <w:p>
      <w:pPr>
        <w:pStyle w:val="ListParagraph"/>
        <w:numPr>
          <w:ilvl w:val="4"/>
          <w:numId w:val="36"/>
        </w:numPr>
        <w:tabs>
          <w:tab w:val="left" w:pos="1412"/>
          <w:tab w:val="left" w:pos="1413"/>
        </w:tabs>
        <w:spacing w:before="70" w:after="0" w:line="240" w:lineRule="auto"/>
        <w:ind w:left="1412" w:right="0" w:hanging="425"/>
        <w:jc w:val="left"/>
        <w:rPr>
          <w:sz w:val="21"/>
        </w:rPr>
      </w:pPr>
      <w:r>
        <w:rPr>
          <w:w w:val="95"/>
          <w:sz w:val="21"/>
        </w:rPr>
        <w:t>高压加热器进汽逆止门的结构、控制逻辑；</w:t>
      </w:r>
    </w:p>
    <w:p>
      <w:pPr>
        <w:pStyle w:val="ListParagraph"/>
        <w:numPr>
          <w:ilvl w:val="4"/>
          <w:numId w:val="36"/>
        </w:numPr>
        <w:tabs>
          <w:tab w:val="left" w:pos="1413"/>
        </w:tabs>
        <w:spacing w:before="2" w:after="0" w:line="240" w:lineRule="auto"/>
        <w:ind w:left="1412" w:right="0" w:hanging="425"/>
        <w:jc w:val="left"/>
        <w:rPr>
          <w:sz w:val="21"/>
        </w:rPr>
      </w:pPr>
      <w:r>
        <w:rPr>
          <w:w w:val="95"/>
          <w:sz w:val="21"/>
        </w:rPr>
        <w:t>机组在高压加热器退出运行期间注意事项；</w:t>
      </w:r>
    </w:p>
    <w:p>
      <w:pPr>
        <w:pStyle w:val="ListParagraph"/>
        <w:numPr>
          <w:ilvl w:val="4"/>
          <w:numId w:val="36"/>
        </w:numPr>
        <w:tabs>
          <w:tab w:val="left" w:pos="1413"/>
        </w:tabs>
        <w:spacing w:before="2" w:after="0" w:line="240" w:lineRule="auto"/>
        <w:ind w:left="1412" w:right="0" w:hanging="425"/>
        <w:jc w:val="left"/>
        <w:rPr>
          <w:sz w:val="21"/>
        </w:rPr>
      </w:pPr>
      <w:r>
        <w:rPr>
          <w:sz w:val="21"/>
        </w:rPr>
        <w:t>高加系统各电动门电源就地位置和停送电方法；</w:t>
      </w:r>
    </w:p>
    <w:p>
      <w:pPr>
        <w:pStyle w:val="ListParagraph"/>
        <w:numPr>
          <w:ilvl w:val="4"/>
          <w:numId w:val="36"/>
        </w:numPr>
        <w:tabs>
          <w:tab w:val="left" w:pos="1413"/>
        </w:tabs>
        <w:spacing w:before="5" w:after="0" w:line="240" w:lineRule="auto"/>
        <w:ind w:left="1412" w:right="0" w:hanging="425"/>
        <w:jc w:val="left"/>
        <w:rPr>
          <w:sz w:val="21"/>
        </w:rPr>
      </w:pPr>
      <w:r>
        <w:rPr>
          <w:sz w:val="21"/>
        </w:rPr>
        <w:t>高压加热器投入前的检查；</w:t>
      </w:r>
    </w:p>
    <w:p>
      <w:pPr>
        <w:pStyle w:val="ListParagraph"/>
        <w:numPr>
          <w:ilvl w:val="4"/>
          <w:numId w:val="36"/>
        </w:numPr>
        <w:tabs>
          <w:tab w:val="left" w:pos="1413"/>
        </w:tabs>
        <w:spacing w:before="4" w:after="0" w:line="240" w:lineRule="auto"/>
        <w:ind w:left="1412" w:right="0" w:hanging="425"/>
        <w:jc w:val="left"/>
        <w:rPr>
          <w:sz w:val="21"/>
        </w:rPr>
      </w:pPr>
      <w:r>
        <w:rPr>
          <w:sz w:val="21"/>
        </w:rPr>
        <w:t>高压加热器水侧、汽侧投入操作；</w:t>
      </w:r>
    </w:p>
    <w:p>
      <w:pPr>
        <w:pStyle w:val="ListParagraph"/>
        <w:numPr>
          <w:ilvl w:val="4"/>
          <w:numId w:val="36"/>
        </w:numPr>
        <w:tabs>
          <w:tab w:val="left" w:pos="1413"/>
        </w:tabs>
        <w:spacing w:before="2" w:after="0" w:line="240" w:lineRule="auto"/>
        <w:ind w:left="1412" w:right="0" w:hanging="425"/>
        <w:jc w:val="left"/>
        <w:rPr>
          <w:sz w:val="21"/>
        </w:rPr>
      </w:pPr>
      <w:r>
        <w:rPr>
          <w:sz w:val="21"/>
        </w:rPr>
        <w:t>高压加热器管束泄漏的判断；</w:t>
      </w:r>
    </w:p>
    <w:p>
      <w:pPr>
        <w:pStyle w:val="ListParagraph"/>
        <w:numPr>
          <w:ilvl w:val="4"/>
          <w:numId w:val="36"/>
        </w:numPr>
        <w:tabs>
          <w:tab w:val="left" w:pos="1413"/>
        </w:tabs>
        <w:spacing w:before="5" w:after="0" w:line="240" w:lineRule="auto"/>
        <w:ind w:left="1412" w:right="0" w:hanging="425"/>
        <w:jc w:val="left"/>
        <w:rPr>
          <w:sz w:val="21"/>
        </w:rPr>
      </w:pPr>
      <w:r>
        <w:rPr>
          <w:sz w:val="21"/>
        </w:rPr>
        <w:t>高压加热器正常停运操作及紧急停运操作；</w:t>
      </w:r>
    </w:p>
    <w:p>
      <w:pPr>
        <w:pStyle w:val="ListParagraph"/>
        <w:numPr>
          <w:ilvl w:val="4"/>
          <w:numId w:val="36"/>
        </w:numPr>
        <w:tabs>
          <w:tab w:val="left" w:pos="1413"/>
        </w:tabs>
        <w:spacing w:before="2" w:after="0" w:line="240" w:lineRule="auto"/>
        <w:ind w:left="1412" w:right="0" w:hanging="425"/>
        <w:jc w:val="left"/>
        <w:rPr>
          <w:sz w:val="21"/>
        </w:rPr>
      </w:pPr>
      <w:r>
        <w:rPr>
          <w:sz w:val="21"/>
        </w:rPr>
        <w:t>高压加热器运行中的检查、调整。</w:t>
      </w:r>
    </w:p>
    <w:p>
      <w:pPr>
        <w:pStyle w:val="ListParagraph"/>
        <w:numPr>
          <w:ilvl w:val="3"/>
          <w:numId w:val="36"/>
        </w:numPr>
        <w:tabs>
          <w:tab w:val="left" w:pos="1083"/>
          <w:tab w:val="left" w:pos="1084"/>
        </w:tabs>
        <w:spacing w:before="122" w:after="0" w:line="240" w:lineRule="auto"/>
        <w:ind w:left="1084" w:right="0" w:hanging="946"/>
        <w:jc w:val="left"/>
        <w:rPr>
          <w:rFonts w:ascii="黑体" w:eastAsia="黑体" w:hint="eastAsia"/>
          <w:sz w:val="21"/>
        </w:rPr>
      </w:pPr>
      <w:bookmarkStart w:id="15" w:name="5.1.3.2　低压加热器"/>
      <w:bookmarkEnd w:id="15"/>
      <w:r>
        <w:rPr>
          <w:rFonts w:ascii="黑体" w:eastAsia="黑体" w:hint="eastAsia"/>
          <w:sz w:val="21"/>
        </w:rPr>
        <w:t>低压加热器</w:t>
      </w:r>
    </w:p>
    <w:p>
      <w:pPr>
        <w:pStyle w:val="BodyText"/>
        <w:spacing w:before="125"/>
        <w:ind w:left="558" w:firstLine="0"/>
      </w:pPr>
      <w:r>
        <w:rPr>
          <w:w w:val="95"/>
        </w:rPr>
        <w:t>低压加热器的培训内容应包括但不限于以下项目：</w:t>
      </w:r>
    </w:p>
    <w:p>
      <w:pPr>
        <w:pStyle w:val="ListParagraph"/>
        <w:numPr>
          <w:ilvl w:val="4"/>
          <w:numId w:val="36"/>
        </w:numPr>
        <w:tabs>
          <w:tab w:val="left" w:pos="1412"/>
          <w:tab w:val="left" w:pos="1413"/>
        </w:tabs>
        <w:spacing w:before="2" w:after="0" w:line="240" w:lineRule="auto"/>
        <w:ind w:left="1412" w:right="0" w:hanging="425"/>
        <w:jc w:val="left"/>
        <w:rPr>
          <w:sz w:val="21"/>
        </w:rPr>
      </w:pPr>
      <w:r>
        <w:rPr>
          <w:w w:val="95"/>
          <w:sz w:val="21"/>
        </w:rPr>
        <w:t>低压加热器的设备规范；</w:t>
      </w:r>
    </w:p>
    <w:p>
      <w:pPr>
        <w:pStyle w:val="ListParagraph"/>
        <w:numPr>
          <w:ilvl w:val="4"/>
          <w:numId w:val="36"/>
        </w:numPr>
        <w:tabs>
          <w:tab w:val="left" w:pos="1412"/>
          <w:tab w:val="left" w:pos="1413"/>
        </w:tabs>
        <w:spacing w:before="4" w:after="0" w:line="240" w:lineRule="auto"/>
        <w:ind w:left="1412" w:right="0" w:hanging="425"/>
        <w:jc w:val="left"/>
        <w:rPr>
          <w:sz w:val="21"/>
        </w:rPr>
      </w:pPr>
      <w:r>
        <w:rPr>
          <w:sz w:val="21"/>
        </w:rPr>
        <w:t>低压加热器的结构；</w:t>
      </w:r>
    </w:p>
    <w:p>
      <w:pPr>
        <w:pStyle w:val="ListParagraph"/>
        <w:numPr>
          <w:ilvl w:val="4"/>
          <w:numId w:val="36"/>
        </w:numPr>
        <w:tabs>
          <w:tab w:val="left" w:pos="1412"/>
          <w:tab w:val="left" w:pos="1413"/>
        </w:tabs>
        <w:spacing w:before="3" w:after="0" w:line="240" w:lineRule="auto"/>
        <w:ind w:left="1412" w:right="0" w:hanging="425"/>
        <w:jc w:val="left"/>
        <w:rPr>
          <w:sz w:val="21"/>
        </w:rPr>
      </w:pPr>
      <w:r>
        <w:rPr>
          <w:sz w:val="21"/>
        </w:rPr>
        <w:t>低压加热器疏水调整门的型式；</w:t>
      </w:r>
    </w:p>
    <w:p>
      <w:pPr>
        <w:pStyle w:val="ListParagraph"/>
        <w:numPr>
          <w:ilvl w:val="4"/>
          <w:numId w:val="36"/>
        </w:numPr>
        <w:tabs>
          <w:tab w:val="left" w:pos="1412"/>
          <w:tab w:val="left" w:pos="1413"/>
        </w:tabs>
        <w:spacing w:before="4" w:after="0" w:line="242" w:lineRule="auto"/>
        <w:ind w:left="1412" w:right="215" w:hanging="425"/>
        <w:jc w:val="left"/>
        <w:rPr>
          <w:sz w:val="21"/>
        </w:rPr>
      </w:pPr>
      <w:r>
        <w:rPr>
          <w:sz w:val="21"/>
        </w:rPr>
        <w:t>低压加热器系统管道、阀门的就地布置和具体位置</w:t>
      </w:r>
      <w:r>
        <w:rPr>
          <w:spacing w:val="4"/>
          <w:sz w:val="21"/>
        </w:rPr>
        <w:t>（</w:t>
      </w:r>
      <w:r>
        <w:rPr>
          <w:sz w:val="21"/>
        </w:rPr>
        <w:t>包括水系统、抽汽系统、疏水系统和空气系统）；</w:t>
      </w:r>
    </w:p>
    <w:p>
      <w:pPr>
        <w:pStyle w:val="ListParagraph"/>
        <w:numPr>
          <w:ilvl w:val="4"/>
          <w:numId w:val="36"/>
        </w:numPr>
        <w:tabs>
          <w:tab w:val="left" w:pos="1412"/>
          <w:tab w:val="left" w:pos="1413"/>
        </w:tabs>
        <w:spacing w:before="1" w:after="0" w:line="240" w:lineRule="auto"/>
        <w:ind w:left="1412" w:right="0" w:hanging="425"/>
        <w:jc w:val="left"/>
        <w:rPr>
          <w:sz w:val="21"/>
        </w:rPr>
      </w:pPr>
      <w:r>
        <w:rPr>
          <w:sz w:val="21"/>
        </w:rPr>
        <w:t>低压加热器的投入条件；</w:t>
      </w:r>
    </w:p>
    <w:p>
      <w:pPr>
        <w:pStyle w:val="ListParagraph"/>
        <w:numPr>
          <w:ilvl w:val="4"/>
          <w:numId w:val="36"/>
        </w:numPr>
        <w:tabs>
          <w:tab w:val="left" w:pos="1412"/>
          <w:tab w:val="left" w:pos="1413"/>
        </w:tabs>
        <w:spacing w:before="2" w:after="0" w:line="240" w:lineRule="auto"/>
        <w:ind w:left="1412" w:right="0" w:hanging="425"/>
        <w:jc w:val="left"/>
        <w:rPr>
          <w:sz w:val="21"/>
        </w:rPr>
      </w:pPr>
      <w:r>
        <w:rPr>
          <w:sz w:val="21"/>
        </w:rPr>
        <w:t>低压加热器的紧急停运条件；</w:t>
      </w:r>
    </w:p>
    <w:p>
      <w:pPr>
        <w:pStyle w:val="ListParagraph"/>
        <w:numPr>
          <w:ilvl w:val="4"/>
          <w:numId w:val="36"/>
        </w:numPr>
        <w:tabs>
          <w:tab w:val="left" w:pos="1412"/>
          <w:tab w:val="left" w:pos="1413"/>
        </w:tabs>
        <w:spacing w:before="5" w:after="0" w:line="240" w:lineRule="auto"/>
        <w:ind w:left="1412" w:right="0" w:hanging="425"/>
        <w:jc w:val="left"/>
        <w:rPr>
          <w:sz w:val="21"/>
        </w:rPr>
      </w:pPr>
      <w:r>
        <w:rPr>
          <w:sz w:val="21"/>
        </w:rPr>
        <w:t>低加进汽逆止门活动试验方法；</w:t>
      </w:r>
    </w:p>
    <w:p>
      <w:pPr>
        <w:pStyle w:val="ListParagraph"/>
        <w:numPr>
          <w:ilvl w:val="4"/>
          <w:numId w:val="36"/>
        </w:numPr>
        <w:tabs>
          <w:tab w:val="left" w:pos="1412"/>
          <w:tab w:val="left" w:pos="1413"/>
        </w:tabs>
        <w:spacing w:before="2" w:after="0" w:line="240" w:lineRule="auto"/>
        <w:ind w:left="1412" w:right="0" w:hanging="425"/>
        <w:jc w:val="left"/>
        <w:rPr>
          <w:sz w:val="21"/>
        </w:rPr>
      </w:pPr>
      <w:r>
        <w:rPr>
          <w:sz w:val="21"/>
        </w:rPr>
        <w:t>低压加热器水位的定值，联锁控制逻辑；</w:t>
      </w:r>
    </w:p>
    <w:p>
      <w:pPr>
        <w:pStyle w:val="ListParagraph"/>
        <w:numPr>
          <w:ilvl w:val="4"/>
          <w:numId w:val="36"/>
        </w:numPr>
        <w:tabs>
          <w:tab w:val="left" w:pos="1412"/>
          <w:tab w:val="left" w:pos="1413"/>
        </w:tabs>
        <w:spacing w:before="5" w:after="0" w:line="240" w:lineRule="auto"/>
        <w:ind w:left="1412" w:right="0" w:hanging="425"/>
        <w:jc w:val="left"/>
        <w:rPr>
          <w:sz w:val="21"/>
        </w:rPr>
      </w:pPr>
      <w:r>
        <w:rPr>
          <w:w w:val="95"/>
          <w:sz w:val="21"/>
        </w:rPr>
        <w:t>低压加热器进汽逆止门的结构、控制逻辑；</w:t>
      </w:r>
    </w:p>
    <w:p>
      <w:pPr>
        <w:pStyle w:val="ListParagraph"/>
        <w:numPr>
          <w:ilvl w:val="4"/>
          <w:numId w:val="36"/>
        </w:numPr>
        <w:tabs>
          <w:tab w:val="left" w:pos="1413"/>
        </w:tabs>
        <w:spacing w:before="2" w:after="0" w:line="240" w:lineRule="auto"/>
        <w:ind w:left="1412" w:right="0" w:hanging="425"/>
        <w:jc w:val="left"/>
        <w:rPr>
          <w:sz w:val="21"/>
        </w:rPr>
      </w:pPr>
      <w:r>
        <w:rPr>
          <w:w w:val="95"/>
          <w:sz w:val="21"/>
        </w:rPr>
        <w:t>机组在低压加热器退出运行期间注意事项；</w:t>
      </w:r>
    </w:p>
    <w:p>
      <w:pPr>
        <w:pStyle w:val="ListParagraph"/>
        <w:numPr>
          <w:ilvl w:val="4"/>
          <w:numId w:val="36"/>
        </w:numPr>
        <w:tabs>
          <w:tab w:val="left" w:pos="1413"/>
        </w:tabs>
        <w:spacing w:before="4" w:after="0" w:line="240" w:lineRule="auto"/>
        <w:ind w:left="1412" w:right="0" w:hanging="425"/>
        <w:jc w:val="left"/>
        <w:rPr>
          <w:sz w:val="21"/>
        </w:rPr>
      </w:pPr>
      <w:r>
        <w:rPr>
          <w:sz w:val="21"/>
        </w:rPr>
        <w:t>低压加热器投入前的检查；</w:t>
      </w:r>
    </w:p>
    <w:p>
      <w:pPr>
        <w:pStyle w:val="ListParagraph"/>
        <w:numPr>
          <w:ilvl w:val="4"/>
          <w:numId w:val="36"/>
        </w:numPr>
        <w:tabs>
          <w:tab w:val="left" w:pos="1413"/>
        </w:tabs>
        <w:spacing w:before="2" w:after="0" w:line="240" w:lineRule="auto"/>
        <w:ind w:left="1412" w:right="0" w:hanging="425"/>
        <w:jc w:val="left"/>
        <w:rPr>
          <w:sz w:val="21"/>
        </w:rPr>
      </w:pPr>
      <w:r>
        <w:rPr>
          <w:sz w:val="21"/>
        </w:rPr>
        <w:t>低压加热器水侧、汽侧投入操作；</w:t>
      </w:r>
    </w:p>
    <w:p>
      <w:pPr>
        <w:pStyle w:val="ListParagraph"/>
        <w:numPr>
          <w:ilvl w:val="4"/>
          <w:numId w:val="36"/>
        </w:numPr>
        <w:tabs>
          <w:tab w:val="left" w:pos="1413"/>
        </w:tabs>
        <w:spacing w:before="3" w:after="0" w:line="240" w:lineRule="auto"/>
        <w:ind w:left="1412" w:right="0" w:hanging="425"/>
        <w:jc w:val="left"/>
        <w:rPr>
          <w:sz w:val="21"/>
        </w:rPr>
      </w:pPr>
      <w:r>
        <w:rPr>
          <w:sz w:val="21"/>
        </w:rPr>
        <w:t>低压加热器管束泄漏的判断；</w:t>
      </w:r>
    </w:p>
    <w:p>
      <w:pPr>
        <w:pStyle w:val="ListParagraph"/>
        <w:numPr>
          <w:ilvl w:val="4"/>
          <w:numId w:val="36"/>
        </w:numPr>
        <w:tabs>
          <w:tab w:val="left" w:pos="1413"/>
        </w:tabs>
        <w:spacing w:before="4" w:after="0" w:line="240" w:lineRule="auto"/>
        <w:ind w:left="1412" w:right="0" w:hanging="425"/>
        <w:jc w:val="left"/>
        <w:rPr>
          <w:sz w:val="21"/>
        </w:rPr>
      </w:pPr>
      <w:r>
        <w:rPr>
          <w:sz w:val="21"/>
        </w:rPr>
        <w:t>低压加热器正常停运操作及紧急停运操作；</w:t>
      </w:r>
    </w:p>
    <w:p>
      <w:pPr>
        <w:pStyle w:val="ListParagraph"/>
        <w:numPr>
          <w:ilvl w:val="4"/>
          <w:numId w:val="36"/>
        </w:numPr>
        <w:tabs>
          <w:tab w:val="left" w:pos="1413"/>
        </w:tabs>
        <w:spacing w:before="2" w:after="0" w:line="240" w:lineRule="auto"/>
        <w:ind w:left="1412" w:right="0" w:hanging="425"/>
        <w:jc w:val="left"/>
        <w:rPr>
          <w:sz w:val="21"/>
        </w:rPr>
      </w:pPr>
      <w:r>
        <w:rPr>
          <w:sz w:val="21"/>
        </w:rPr>
        <w:t>低压加热器运行中的检查、调整。</w:t>
      </w:r>
    </w:p>
    <w:p>
      <w:pPr>
        <w:pStyle w:val="ListParagraph"/>
        <w:numPr>
          <w:ilvl w:val="2"/>
          <w:numId w:val="37"/>
        </w:numPr>
        <w:tabs>
          <w:tab w:val="left" w:pos="872"/>
          <w:tab w:val="left" w:pos="873"/>
        </w:tabs>
        <w:spacing w:before="125" w:after="0" w:line="240" w:lineRule="auto"/>
        <w:ind w:left="872" w:right="0" w:hanging="735"/>
        <w:jc w:val="left"/>
        <w:rPr>
          <w:rFonts w:ascii="黑体" w:eastAsia="黑体" w:hint="eastAsia"/>
          <w:sz w:val="21"/>
        </w:rPr>
      </w:pPr>
      <w:bookmarkStart w:id="16" w:name="5.1.4　汽轮机润滑油系统"/>
      <w:bookmarkEnd w:id="16"/>
      <w:r>
        <w:rPr>
          <w:rFonts w:ascii="黑体" w:eastAsia="黑体" w:hint="eastAsia"/>
          <w:sz w:val="21"/>
        </w:rPr>
        <w:t>汽轮机润滑油系统</w:t>
      </w:r>
    </w:p>
    <w:p>
      <w:pPr>
        <w:pStyle w:val="BodyText"/>
        <w:spacing w:before="124"/>
        <w:ind w:left="558" w:firstLine="0"/>
      </w:pPr>
      <w:r>
        <w:t>汽轮机润滑油系统的培训内容应包括但不限于以下项目：</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润滑油系统的功能及构成；</w:t>
      </w:r>
    </w:p>
    <w:p>
      <w:pPr>
        <w:pStyle w:val="ListParagraph"/>
        <w:numPr>
          <w:ilvl w:val="3"/>
          <w:numId w:val="37"/>
        </w:numPr>
        <w:tabs>
          <w:tab w:val="left" w:pos="1412"/>
          <w:tab w:val="left" w:pos="1413"/>
        </w:tabs>
        <w:spacing w:before="3" w:after="0" w:line="244" w:lineRule="auto"/>
        <w:ind w:left="1412" w:right="215" w:hanging="425"/>
        <w:jc w:val="left"/>
        <w:rPr>
          <w:sz w:val="21"/>
        </w:rPr>
      </w:pPr>
      <w:r>
        <w:rPr>
          <w:sz w:val="21"/>
        </w:rPr>
        <w:t>润滑油系统主要设备的技术规范，包括主油箱、主油泵、高压启动油泵、交直流油泵、润滑油母管溢油阀、排烟风机、冷油器；</w:t>
      </w:r>
    </w:p>
    <w:p>
      <w:pPr>
        <w:pStyle w:val="ListParagraph"/>
        <w:numPr>
          <w:ilvl w:val="3"/>
          <w:numId w:val="37"/>
        </w:numPr>
        <w:tabs>
          <w:tab w:val="left" w:pos="1412"/>
          <w:tab w:val="left" w:pos="1413"/>
        </w:tabs>
        <w:spacing w:before="0" w:after="0" w:line="265" w:lineRule="exact"/>
        <w:ind w:left="1412" w:right="0" w:hanging="425"/>
        <w:jc w:val="left"/>
        <w:rPr>
          <w:sz w:val="21"/>
        </w:rPr>
      </w:pPr>
      <w:r>
        <w:rPr>
          <w:sz w:val="21"/>
        </w:rPr>
        <w:t>主油箱结构、功能；</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润滑油系统管道、阀门的就地布置和具体位置；</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润滑油系统主要设备的电源取自何处，停送电方法；</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润滑油系统投运前的检查准备及注意事项；</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运行中润滑油系统的检查维护项目；</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润滑油系统的控制指标、参数；</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冷油器泄漏的判断方法；</w:t>
      </w:r>
    </w:p>
    <w:p>
      <w:pPr>
        <w:pStyle w:val="ListParagraph"/>
        <w:numPr>
          <w:ilvl w:val="3"/>
          <w:numId w:val="37"/>
        </w:numPr>
        <w:tabs>
          <w:tab w:val="left" w:pos="1413"/>
        </w:tabs>
        <w:spacing w:before="4" w:after="0" w:line="240" w:lineRule="auto"/>
        <w:ind w:left="1412" w:right="0" w:hanging="425"/>
        <w:jc w:val="left"/>
        <w:rPr>
          <w:sz w:val="21"/>
        </w:rPr>
      </w:pPr>
      <w:r>
        <w:rPr>
          <w:sz w:val="21"/>
        </w:rPr>
        <w:t>润滑油系统的投运、停运条件；</w:t>
      </w:r>
    </w:p>
    <w:p>
      <w:pPr>
        <w:pStyle w:val="ListParagraph"/>
        <w:numPr>
          <w:ilvl w:val="3"/>
          <w:numId w:val="37"/>
        </w:numPr>
        <w:tabs>
          <w:tab w:val="left" w:pos="1413"/>
        </w:tabs>
        <w:spacing w:before="2" w:after="0" w:line="240" w:lineRule="auto"/>
        <w:ind w:left="1412" w:right="0" w:hanging="425"/>
        <w:jc w:val="left"/>
        <w:rPr>
          <w:sz w:val="21"/>
        </w:rPr>
      </w:pPr>
      <w:r>
        <w:rPr>
          <w:sz w:val="21"/>
        </w:rPr>
        <w:t>润滑油系统的逻辑保护，包括油压联锁逻辑；</w:t>
      </w:r>
    </w:p>
    <w:p>
      <w:pPr>
        <w:pStyle w:val="ListParagraph"/>
        <w:numPr>
          <w:ilvl w:val="3"/>
          <w:numId w:val="37"/>
        </w:numPr>
        <w:tabs>
          <w:tab w:val="left" w:pos="1413"/>
        </w:tabs>
        <w:spacing w:before="5" w:after="0" w:line="240" w:lineRule="auto"/>
        <w:ind w:left="1412" w:right="0" w:hanging="425"/>
        <w:jc w:val="left"/>
        <w:rPr>
          <w:sz w:val="21"/>
        </w:rPr>
      </w:pPr>
      <w:r>
        <w:rPr>
          <w:sz w:val="21"/>
        </w:rPr>
        <w:t>润滑油系统的投运、停运操作，停运后的检查注意事项；</w:t>
      </w:r>
    </w:p>
    <w:p>
      <w:pPr>
        <w:pStyle w:val="ListParagraph"/>
        <w:numPr>
          <w:ilvl w:val="3"/>
          <w:numId w:val="37"/>
        </w:numPr>
        <w:tabs>
          <w:tab w:val="left" w:pos="1413"/>
        </w:tabs>
        <w:spacing w:before="2" w:after="0" w:line="240" w:lineRule="auto"/>
        <w:ind w:left="1412" w:right="0" w:hanging="425"/>
        <w:jc w:val="left"/>
        <w:rPr>
          <w:sz w:val="21"/>
        </w:rPr>
      </w:pPr>
      <w:r>
        <w:rPr>
          <w:sz w:val="21"/>
        </w:rPr>
        <w:t>润滑油冷油器的切换操作。</w:t>
      </w:r>
    </w:p>
    <w:p>
      <w:pPr>
        <w:pStyle w:val="ListParagraph"/>
        <w:numPr>
          <w:ilvl w:val="2"/>
          <w:numId w:val="37"/>
        </w:numPr>
        <w:tabs>
          <w:tab w:val="left" w:pos="872"/>
          <w:tab w:val="left" w:pos="873"/>
        </w:tabs>
        <w:spacing w:before="125" w:after="0" w:line="240" w:lineRule="auto"/>
        <w:ind w:left="872" w:right="0" w:hanging="735"/>
        <w:jc w:val="left"/>
        <w:rPr>
          <w:rFonts w:ascii="黑体" w:eastAsia="黑体" w:hint="eastAsia"/>
          <w:sz w:val="21"/>
        </w:rPr>
      </w:pPr>
      <w:bookmarkStart w:id="17" w:name="5.1.5　汽轮机蒸汽系统"/>
      <w:bookmarkEnd w:id="17"/>
      <w:r>
        <w:rPr>
          <w:rFonts w:ascii="黑体" w:eastAsia="黑体" w:hint="eastAsia"/>
          <w:sz w:val="21"/>
        </w:rPr>
        <w:t>汽轮机蒸汽系统</w:t>
      </w:r>
    </w:p>
    <w:p>
      <w:pPr>
        <w:pStyle w:val="BodyText"/>
        <w:spacing w:before="122"/>
        <w:ind w:left="558" w:firstLine="0"/>
      </w:pPr>
      <w:r>
        <w:t>汽轮机蒸汽系统的培训内容应包括但不限于以下项目：</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汽轮机热力系统中各温度测点的安装位置及监视意义；</w:t>
      </w:r>
    </w:p>
    <w:p>
      <w:pPr>
        <w:pStyle w:val="ListParagraph"/>
        <w:numPr>
          <w:ilvl w:val="3"/>
          <w:numId w:val="37"/>
        </w:numPr>
        <w:tabs>
          <w:tab w:val="left" w:pos="1412"/>
          <w:tab w:val="left" w:pos="1413"/>
        </w:tabs>
        <w:spacing w:before="2" w:after="0" w:line="240" w:lineRule="auto"/>
        <w:ind w:left="1412" w:right="0" w:hanging="425"/>
        <w:jc w:val="left"/>
        <w:rPr>
          <w:sz w:val="21"/>
        </w:rPr>
        <w:sectPr>
          <w:footerReference w:type="default" r:id="rId13"/>
          <w:pgSz w:w="11910" w:h="16840"/>
          <w:pgMar w:top="1580" w:right="920" w:bottom="1340" w:left="1280" w:header="0" w:footer="1141"/>
          <w:pgNumType w:start="3"/>
          <w:cols w:space="708"/>
        </w:sectPr>
      </w:pPr>
      <w:r>
        <w:rPr>
          <w:sz w:val="21"/>
        </w:rPr>
        <w:t>汽轮机热力系统流程、管道布置及就地位置，包括主蒸汽系统、回热蒸汽系统；</w:t>
      </w:r>
    </w:p>
    <w:p>
      <w:pPr>
        <w:pStyle w:val="ListParagraph"/>
        <w:numPr>
          <w:ilvl w:val="3"/>
          <w:numId w:val="37"/>
        </w:numPr>
        <w:tabs>
          <w:tab w:val="left" w:pos="1412"/>
          <w:tab w:val="left" w:pos="1413"/>
        </w:tabs>
        <w:spacing w:before="3" w:after="0" w:line="240" w:lineRule="auto"/>
        <w:ind w:left="1412" w:right="0" w:hanging="425"/>
        <w:jc w:val="left"/>
        <w:rPr>
          <w:sz w:val="21"/>
        </w:rPr>
      </w:pPr>
      <w:r>
        <w:rPr>
          <w:sz w:val="21"/>
        </w:rPr>
        <w:t>汽轮机热力系统中各疏水管道的作用、现场布置；</w:t>
      </w:r>
    </w:p>
    <w:p>
      <w:pPr>
        <w:spacing w:after="0" w:line="240" w:lineRule="auto"/>
        <w:jc w:val="left"/>
        <w:rPr>
          <w:sz w:val="21"/>
        </w:rPr>
        <w:sectPr>
          <w:footerReference w:type="default" r:id="rId14"/>
          <w:type w:val="nextPage"/>
          <w:pgSz w:w="11910" w:h="16840"/>
          <w:pgMar w:top="1580" w:right="920" w:bottom="1340" w:left="1280" w:header="0" w:footer="1141"/>
          <w:pgNumType w:start="4"/>
          <w:cols w:space="708"/>
          <w:titlePg w:val="0"/>
        </w:sectPr>
      </w:pPr>
    </w:p>
    <w:p>
      <w:pPr>
        <w:pStyle w:val="BodyText"/>
        <w:spacing w:before="5"/>
        <w:ind w:left="0" w:firstLine="0"/>
        <w:rPr>
          <w:sz w:val="20"/>
        </w:rPr>
      </w:pPr>
    </w:p>
    <w:p>
      <w:pPr>
        <w:pStyle w:val="ListParagraph"/>
        <w:numPr>
          <w:ilvl w:val="3"/>
          <w:numId w:val="37"/>
        </w:numPr>
        <w:tabs>
          <w:tab w:val="left" w:pos="1412"/>
          <w:tab w:val="left" w:pos="1413"/>
        </w:tabs>
        <w:spacing w:before="70" w:after="0" w:line="240" w:lineRule="auto"/>
        <w:ind w:left="1412" w:right="0" w:hanging="425"/>
        <w:jc w:val="left"/>
        <w:rPr>
          <w:sz w:val="21"/>
        </w:rPr>
      </w:pPr>
      <w:r>
        <w:rPr>
          <w:sz w:val="21"/>
        </w:rPr>
        <w:t>机组运行中操作疏水系统的注意事项；</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轴封系统的组成；</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抽气逆止门的结构型式、控制方式及联锁逻辑；</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汽轮机气缸疏水的开、关原则；</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汽轮机启、停过程中的疏水操作及注意事项；</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汽轮机启、停和过程中蒸汽参数监视及异常分析；</w:t>
      </w:r>
    </w:p>
    <w:p>
      <w:pPr>
        <w:pStyle w:val="ListParagraph"/>
        <w:numPr>
          <w:ilvl w:val="3"/>
          <w:numId w:val="37"/>
        </w:numPr>
        <w:tabs>
          <w:tab w:val="left" w:pos="1413"/>
        </w:tabs>
        <w:spacing w:before="5" w:after="0" w:line="240" w:lineRule="auto"/>
        <w:ind w:left="1412" w:right="0" w:hanging="425"/>
        <w:jc w:val="left"/>
        <w:rPr>
          <w:sz w:val="21"/>
        </w:rPr>
      </w:pPr>
      <w:r>
        <w:rPr>
          <w:w w:val="95"/>
          <w:sz w:val="21"/>
        </w:rPr>
        <w:t>投入轴封系统的具体步骤；</w:t>
      </w:r>
    </w:p>
    <w:p>
      <w:pPr>
        <w:pStyle w:val="ListParagraph"/>
        <w:numPr>
          <w:ilvl w:val="3"/>
          <w:numId w:val="37"/>
        </w:numPr>
        <w:tabs>
          <w:tab w:val="left" w:pos="1413"/>
        </w:tabs>
        <w:spacing w:before="2" w:after="0" w:line="240" w:lineRule="auto"/>
        <w:ind w:left="1412" w:right="0" w:hanging="425"/>
        <w:jc w:val="left"/>
        <w:rPr>
          <w:sz w:val="21"/>
        </w:rPr>
      </w:pPr>
      <w:r>
        <w:rPr>
          <w:w w:val="95"/>
          <w:sz w:val="21"/>
        </w:rPr>
        <w:t>停运轴封系统的具体步骤；</w:t>
      </w:r>
    </w:p>
    <w:p>
      <w:pPr>
        <w:pStyle w:val="ListParagraph"/>
        <w:numPr>
          <w:ilvl w:val="3"/>
          <w:numId w:val="37"/>
        </w:numPr>
        <w:tabs>
          <w:tab w:val="left" w:pos="1413"/>
        </w:tabs>
        <w:spacing w:before="2" w:after="0" w:line="240" w:lineRule="auto"/>
        <w:ind w:left="1412" w:right="0" w:hanging="425"/>
        <w:jc w:val="left"/>
        <w:rPr>
          <w:sz w:val="21"/>
        </w:rPr>
      </w:pPr>
      <w:r>
        <w:rPr>
          <w:sz w:val="21"/>
        </w:rPr>
        <w:t>投、停轴封系统的注意事项。</w:t>
      </w:r>
    </w:p>
    <w:p>
      <w:pPr>
        <w:pStyle w:val="ListParagraph"/>
        <w:numPr>
          <w:ilvl w:val="2"/>
          <w:numId w:val="37"/>
        </w:numPr>
        <w:tabs>
          <w:tab w:val="left" w:pos="872"/>
          <w:tab w:val="left" w:pos="873"/>
        </w:tabs>
        <w:spacing w:before="125" w:after="0" w:line="240" w:lineRule="auto"/>
        <w:ind w:left="872" w:right="0" w:hanging="735"/>
        <w:jc w:val="left"/>
        <w:rPr>
          <w:rFonts w:ascii="黑体" w:eastAsia="黑体" w:hint="eastAsia"/>
          <w:sz w:val="21"/>
        </w:rPr>
      </w:pPr>
      <w:bookmarkStart w:id="18" w:name="5.1.6　汽轮机本体"/>
      <w:bookmarkEnd w:id="18"/>
      <w:r>
        <w:rPr>
          <w:rFonts w:ascii="黑体" w:eastAsia="黑体" w:hint="eastAsia"/>
          <w:sz w:val="21"/>
        </w:rPr>
        <w:t>汽轮机本体</w:t>
      </w:r>
    </w:p>
    <w:p>
      <w:pPr>
        <w:pStyle w:val="BodyText"/>
        <w:spacing w:before="122"/>
        <w:ind w:left="558" w:firstLine="0"/>
      </w:pPr>
      <w:r>
        <w:t>汽轮机本体的培训内容应包括但不限于以下项目：</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汽轮机设备技术规范，汽轮机设计参数；</w:t>
      </w:r>
    </w:p>
    <w:p>
      <w:pPr>
        <w:pStyle w:val="ListParagraph"/>
        <w:numPr>
          <w:ilvl w:val="3"/>
          <w:numId w:val="37"/>
        </w:numPr>
        <w:tabs>
          <w:tab w:val="left" w:pos="1412"/>
          <w:tab w:val="left" w:pos="1413"/>
        </w:tabs>
        <w:spacing w:before="3" w:after="0" w:line="240" w:lineRule="auto"/>
        <w:ind w:left="1412" w:right="0" w:hanging="425"/>
        <w:jc w:val="left"/>
        <w:rPr>
          <w:sz w:val="21"/>
        </w:rPr>
      </w:pPr>
      <w:r>
        <w:rPr>
          <w:sz w:val="21"/>
        </w:rPr>
        <w:t>汽轮机技术经济指标；</w:t>
      </w:r>
    </w:p>
    <w:p>
      <w:pPr>
        <w:pStyle w:val="ListParagraph"/>
        <w:numPr>
          <w:ilvl w:val="3"/>
          <w:numId w:val="37"/>
        </w:numPr>
        <w:tabs>
          <w:tab w:val="left" w:pos="1412"/>
          <w:tab w:val="left" w:pos="1413"/>
        </w:tabs>
        <w:spacing w:before="4" w:after="0" w:line="240" w:lineRule="auto"/>
        <w:ind w:left="1412" w:right="0" w:hanging="425"/>
        <w:jc w:val="left"/>
        <w:rPr>
          <w:sz w:val="21"/>
        </w:rPr>
      </w:pPr>
      <w:r>
        <w:rPr>
          <w:spacing w:val="-2"/>
          <w:sz w:val="21"/>
        </w:rPr>
        <w:t>汽轮机本体结构特性包括汽缸、转子结构、主汽门、高压调速汽门、旋转隔板结构参数；</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汽轮机缸体、转子的膨胀方向和膨胀死点位置；</w:t>
      </w:r>
    </w:p>
    <w:p>
      <w:pPr>
        <w:pStyle w:val="ListParagraph"/>
        <w:numPr>
          <w:ilvl w:val="3"/>
          <w:numId w:val="37"/>
        </w:numPr>
        <w:tabs>
          <w:tab w:val="left" w:pos="1412"/>
          <w:tab w:val="left" w:pos="1413"/>
        </w:tabs>
        <w:spacing w:before="5" w:after="0" w:line="240" w:lineRule="auto"/>
        <w:ind w:left="1412" w:right="0" w:hanging="425"/>
        <w:jc w:val="left"/>
        <w:rPr>
          <w:sz w:val="21"/>
        </w:rPr>
      </w:pPr>
      <w:r>
        <w:rPr>
          <w:sz w:val="21"/>
        </w:rPr>
        <w:t>汽轮机主机遮断保护的组成及保护实现方式，保护动作逻辑；</w:t>
      </w:r>
    </w:p>
    <w:p>
      <w:pPr>
        <w:pStyle w:val="ListParagraph"/>
        <w:numPr>
          <w:ilvl w:val="3"/>
          <w:numId w:val="37"/>
        </w:numPr>
        <w:tabs>
          <w:tab w:val="left" w:pos="1412"/>
          <w:tab w:val="left" w:pos="1413"/>
        </w:tabs>
        <w:spacing w:before="2" w:after="0" w:line="240" w:lineRule="auto"/>
        <w:ind w:left="1412" w:right="0" w:hanging="425"/>
        <w:jc w:val="left"/>
        <w:rPr>
          <w:sz w:val="21"/>
        </w:rPr>
      </w:pPr>
      <w:r>
        <w:rPr>
          <w:sz w:val="21"/>
        </w:rPr>
        <w:t>汽轮机缸体温度测点安装位置；</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汽轮机轴系监视系统的组成及功能；</w:t>
      </w:r>
    </w:p>
    <w:p>
      <w:pPr>
        <w:pStyle w:val="ListParagraph"/>
        <w:numPr>
          <w:ilvl w:val="3"/>
          <w:numId w:val="37"/>
        </w:numPr>
        <w:tabs>
          <w:tab w:val="left" w:pos="1412"/>
          <w:tab w:val="left" w:pos="1413"/>
        </w:tabs>
        <w:spacing w:before="3" w:after="0" w:line="240" w:lineRule="auto"/>
        <w:ind w:left="1412" w:right="0" w:hanging="425"/>
        <w:jc w:val="left"/>
        <w:rPr>
          <w:sz w:val="21"/>
        </w:rPr>
      </w:pPr>
      <w:r>
        <w:rPr>
          <w:sz w:val="21"/>
        </w:rPr>
        <w:t>汽轮机本体疏水管道安装位置；</w:t>
      </w:r>
    </w:p>
    <w:p>
      <w:pPr>
        <w:pStyle w:val="ListParagraph"/>
        <w:numPr>
          <w:ilvl w:val="3"/>
          <w:numId w:val="37"/>
        </w:numPr>
        <w:tabs>
          <w:tab w:val="left" w:pos="1412"/>
          <w:tab w:val="left" w:pos="1413"/>
        </w:tabs>
        <w:spacing w:before="4" w:after="0" w:line="240" w:lineRule="auto"/>
        <w:ind w:left="1412" w:right="0" w:hanging="425"/>
        <w:jc w:val="left"/>
        <w:rPr>
          <w:sz w:val="21"/>
        </w:rPr>
      </w:pPr>
      <w:r>
        <w:rPr>
          <w:sz w:val="21"/>
        </w:rPr>
        <w:t>盘车装置的设备规范；</w:t>
      </w:r>
    </w:p>
    <w:p>
      <w:pPr>
        <w:pStyle w:val="ListParagraph"/>
        <w:numPr>
          <w:ilvl w:val="3"/>
          <w:numId w:val="37"/>
        </w:numPr>
        <w:tabs>
          <w:tab w:val="left" w:pos="1413"/>
        </w:tabs>
        <w:spacing w:before="2" w:after="0" w:line="240" w:lineRule="auto"/>
        <w:ind w:left="1412" w:right="0" w:hanging="425"/>
        <w:jc w:val="left"/>
        <w:rPr>
          <w:sz w:val="21"/>
        </w:rPr>
      </w:pPr>
      <w:r>
        <w:rPr>
          <w:sz w:val="21"/>
        </w:rPr>
        <w:t>盘车装置的结构和工作原理；</w:t>
      </w:r>
    </w:p>
    <w:p>
      <w:pPr>
        <w:pStyle w:val="ListParagraph"/>
        <w:numPr>
          <w:ilvl w:val="3"/>
          <w:numId w:val="37"/>
        </w:numPr>
        <w:tabs>
          <w:tab w:val="left" w:pos="1413"/>
        </w:tabs>
        <w:spacing w:before="5" w:after="0" w:line="240" w:lineRule="auto"/>
        <w:ind w:left="1412" w:right="0" w:hanging="425"/>
        <w:jc w:val="left"/>
        <w:rPr>
          <w:sz w:val="21"/>
        </w:rPr>
      </w:pPr>
      <w:r>
        <w:rPr>
          <w:sz w:val="21"/>
        </w:rPr>
        <w:t>汽轮机调节保安系统的组成及各部套的作用；</w:t>
      </w:r>
    </w:p>
    <w:p>
      <w:pPr>
        <w:pStyle w:val="ListParagraph"/>
        <w:numPr>
          <w:ilvl w:val="3"/>
          <w:numId w:val="37"/>
        </w:numPr>
        <w:tabs>
          <w:tab w:val="left" w:pos="1413"/>
        </w:tabs>
        <w:spacing w:before="2" w:after="0" w:line="240" w:lineRule="auto"/>
        <w:ind w:left="1412" w:right="0" w:hanging="425"/>
        <w:jc w:val="left"/>
        <w:rPr>
          <w:sz w:val="21"/>
        </w:rPr>
      </w:pPr>
      <w:r>
        <w:rPr>
          <w:sz w:val="21"/>
        </w:rPr>
        <w:t>汽轮机调节系统的功能，汽轮机控制方式；</w:t>
      </w:r>
    </w:p>
    <w:p>
      <w:pPr>
        <w:pStyle w:val="ListParagraph"/>
        <w:numPr>
          <w:ilvl w:val="3"/>
          <w:numId w:val="37"/>
        </w:numPr>
        <w:tabs>
          <w:tab w:val="left" w:pos="1413"/>
        </w:tabs>
        <w:spacing w:before="2" w:after="0" w:line="240" w:lineRule="auto"/>
        <w:ind w:left="1412" w:right="0" w:hanging="425"/>
        <w:jc w:val="left"/>
        <w:rPr>
          <w:sz w:val="21"/>
        </w:rPr>
      </w:pPr>
      <w:r>
        <w:rPr>
          <w:w w:val="95"/>
          <w:sz w:val="21"/>
        </w:rPr>
        <w:t>汽轮机启动前应具备的条件；</w:t>
      </w:r>
    </w:p>
    <w:p>
      <w:pPr>
        <w:pStyle w:val="ListParagraph"/>
        <w:numPr>
          <w:ilvl w:val="3"/>
          <w:numId w:val="37"/>
        </w:numPr>
        <w:tabs>
          <w:tab w:val="left" w:pos="1413"/>
        </w:tabs>
        <w:spacing w:before="5" w:after="0" w:line="240" w:lineRule="auto"/>
        <w:ind w:left="1412" w:right="0" w:hanging="425"/>
        <w:jc w:val="left"/>
        <w:rPr>
          <w:sz w:val="21"/>
        </w:rPr>
      </w:pPr>
      <w:r>
        <w:rPr>
          <w:w w:val="95"/>
          <w:sz w:val="21"/>
        </w:rPr>
        <w:t>盘车装置运行中的注意事项；</w:t>
      </w:r>
    </w:p>
    <w:p>
      <w:pPr>
        <w:pStyle w:val="ListParagraph"/>
        <w:numPr>
          <w:ilvl w:val="3"/>
          <w:numId w:val="37"/>
        </w:numPr>
        <w:tabs>
          <w:tab w:val="left" w:pos="1413"/>
        </w:tabs>
        <w:spacing w:before="2" w:after="0" w:line="240" w:lineRule="auto"/>
        <w:ind w:left="1412" w:right="0" w:hanging="425"/>
        <w:jc w:val="left"/>
        <w:rPr>
          <w:sz w:val="21"/>
        </w:rPr>
      </w:pPr>
      <w:r>
        <w:rPr>
          <w:sz w:val="21"/>
        </w:rPr>
        <w:t>盘车装置电源取自何处及就地位置和开关、刀闸的型式；</w:t>
      </w:r>
    </w:p>
    <w:p>
      <w:pPr>
        <w:pStyle w:val="ListParagraph"/>
        <w:numPr>
          <w:ilvl w:val="3"/>
          <w:numId w:val="37"/>
        </w:numPr>
        <w:tabs>
          <w:tab w:val="left" w:pos="1413"/>
        </w:tabs>
        <w:spacing w:before="4" w:after="0" w:line="240" w:lineRule="auto"/>
        <w:ind w:left="1412" w:right="0" w:hanging="425"/>
        <w:jc w:val="left"/>
        <w:rPr>
          <w:sz w:val="21"/>
        </w:rPr>
      </w:pPr>
      <w:r>
        <w:rPr>
          <w:sz w:val="21"/>
        </w:rPr>
        <w:t>汽轮机运行中检查及维护；</w:t>
      </w:r>
    </w:p>
    <w:p>
      <w:pPr>
        <w:pStyle w:val="ListParagraph"/>
        <w:numPr>
          <w:ilvl w:val="3"/>
          <w:numId w:val="37"/>
        </w:numPr>
        <w:tabs>
          <w:tab w:val="left" w:pos="1413"/>
        </w:tabs>
        <w:spacing w:before="5" w:after="0" w:line="240" w:lineRule="auto"/>
        <w:ind w:left="1412" w:right="0" w:hanging="425"/>
        <w:jc w:val="left"/>
        <w:rPr>
          <w:sz w:val="21"/>
        </w:rPr>
      </w:pPr>
      <w:r>
        <w:rPr>
          <w:sz w:val="21"/>
        </w:rPr>
        <w:t>汽轮机运行中的监视及参数控制范围；</w:t>
      </w:r>
    </w:p>
    <w:p>
      <w:pPr>
        <w:pStyle w:val="ListParagraph"/>
        <w:numPr>
          <w:ilvl w:val="3"/>
          <w:numId w:val="37"/>
        </w:numPr>
        <w:tabs>
          <w:tab w:val="left" w:pos="1413"/>
        </w:tabs>
        <w:spacing w:before="2" w:after="0" w:line="240" w:lineRule="auto"/>
        <w:ind w:left="1412" w:right="0" w:hanging="425"/>
        <w:jc w:val="left"/>
        <w:rPr>
          <w:sz w:val="21"/>
        </w:rPr>
      </w:pPr>
      <w:r>
        <w:rPr>
          <w:sz w:val="21"/>
        </w:rPr>
        <w:t>盘车装置运行中的检查项目；</w:t>
      </w:r>
    </w:p>
    <w:p>
      <w:pPr>
        <w:pStyle w:val="ListParagraph"/>
        <w:numPr>
          <w:ilvl w:val="3"/>
          <w:numId w:val="37"/>
        </w:numPr>
        <w:tabs>
          <w:tab w:val="left" w:pos="1413"/>
        </w:tabs>
        <w:spacing w:before="2" w:after="0" w:line="240" w:lineRule="auto"/>
        <w:ind w:left="1412" w:right="0" w:hanging="425"/>
        <w:jc w:val="left"/>
        <w:rPr>
          <w:sz w:val="21"/>
        </w:rPr>
      </w:pPr>
      <w:r>
        <w:rPr>
          <w:sz w:val="21"/>
        </w:rPr>
        <w:t>盘车装置的投入条件；</w:t>
      </w:r>
    </w:p>
    <w:p>
      <w:pPr>
        <w:pStyle w:val="ListParagraph"/>
        <w:numPr>
          <w:ilvl w:val="3"/>
          <w:numId w:val="37"/>
        </w:numPr>
        <w:tabs>
          <w:tab w:val="left" w:pos="1413"/>
        </w:tabs>
        <w:spacing w:before="5" w:after="0" w:line="240" w:lineRule="auto"/>
        <w:ind w:left="1412" w:right="0" w:hanging="425"/>
        <w:jc w:val="left"/>
        <w:rPr>
          <w:sz w:val="21"/>
        </w:rPr>
      </w:pPr>
      <w:r>
        <w:rPr>
          <w:sz w:val="21"/>
        </w:rPr>
        <w:t>盘车装置控制联锁；</w:t>
      </w:r>
    </w:p>
    <w:p>
      <w:pPr>
        <w:pStyle w:val="ListParagraph"/>
        <w:numPr>
          <w:ilvl w:val="3"/>
          <w:numId w:val="37"/>
        </w:numPr>
        <w:tabs>
          <w:tab w:val="left" w:pos="1413"/>
        </w:tabs>
        <w:spacing w:before="2" w:after="0" w:line="240" w:lineRule="auto"/>
        <w:ind w:left="1412" w:right="0" w:hanging="425"/>
        <w:jc w:val="left"/>
        <w:rPr>
          <w:sz w:val="21"/>
        </w:rPr>
      </w:pPr>
      <w:r>
        <w:rPr>
          <w:sz w:val="21"/>
        </w:rPr>
        <w:t>汽轮机启动前、启动过程中的检查操作及注意事项；</w:t>
      </w:r>
    </w:p>
    <w:p>
      <w:pPr>
        <w:pStyle w:val="ListParagraph"/>
        <w:numPr>
          <w:ilvl w:val="3"/>
          <w:numId w:val="37"/>
        </w:numPr>
        <w:tabs>
          <w:tab w:val="left" w:pos="1413"/>
        </w:tabs>
        <w:spacing w:before="4" w:after="0" w:line="240" w:lineRule="auto"/>
        <w:ind w:left="1412" w:right="0" w:hanging="425"/>
        <w:jc w:val="left"/>
        <w:rPr>
          <w:sz w:val="21"/>
        </w:rPr>
      </w:pPr>
      <w:r>
        <w:rPr>
          <w:sz w:val="21"/>
        </w:rPr>
        <w:t>汽轮机启动、运行中的参数分析；</w:t>
      </w:r>
    </w:p>
    <w:p>
      <w:pPr>
        <w:pStyle w:val="ListParagraph"/>
        <w:numPr>
          <w:ilvl w:val="3"/>
          <w:numId w:val="37"/>
        </w:numPr>
        <w:tabs>
          <w:tab w:val="left" w:pos="1413"/>
        </w:tabs>
        <w:spacing w:before="2" w:after="0" w:line="240" w:lineRule="auto"/>
        <w:ind w:left="1412" w:right="0" w:hanging="425"/>
        <w:jc w:val="left"/>
        <w:rPr>
          <w:sz w:val="21"/>
        </w:rPr>
      </w:pPr>
      <w:r>
        <w:rPr>
          <w:sz w:val="21"/>
        </w:rPr>
        <w:t>汽轮机停机过程中的注意事项；</w:t>
      </w:r>
    </w:p>
    <w:p>
      <w:pPr>
        <w:pStyle w:val="ListParagraph"/>
        <w:numPr>
          <w:ilvl w:val="3"/>
          <w:numId w:val="37"/>
        </w:numPr>
        <w:tabs>
          <w:tab w:val="left" w:pos="1413"/>
        </w:tabs>
        <w:spacing w:before="5" w:after="0" w:line="240" w:lineRule="auto"/>
        <w:ind w:left="1412" w:right="0" w:hanging="425"/>
        <w:jc w:val="left"/>
        <w:rPr>
          <w:sz w:val="21"/>
        </w:rPr>
      </w:pPr>
      <w:r>
        <w:rPr>
          <w:w w:val="95"/>
          <w:sz w:val="21"/>
        </w:rPr>
        <w:t>盘车装置的投入操作；</w:t>
      </w:r>
    </w:p>
    <w:p>
      <w:pPr>
        <w:pStyle w:val="ListParagraph"/>
        <w:numPr>
          <w:ilvl w:val="3"/>
          <w:numId w:val="37"/>
        </w:numPr>
        <w:tabs>
          <w:tab w:val="left" w:pos="1413"/>
        </w:tabs>
        <w:spacing w:before="2" w:after="0" w:line="240" w:lineRule="auto"/>
        <w:ind w:left="1412" w:right="0" w:hanging="425"/>
        <w:jc w:val="left"/>
        <w:rPr>
          <w:sz w:val="21"/>
        </w:rPr>
      </w:pPr>
      <w:r>
        <w:rPr>
          <w:w w:val="95"/>
          <w:sz w:val="21"/>
        </w:rPr>
        <w:t>盘车装置的停运操作；</w:t>
      </w:r>
    </w:p>
    <w:p>
      <w:pPr>
        <w:pStyle w:val="ListParagraph"/>
        <w:numPr>
          <w:ilvl w:val="3"/>
          <w:numId w:val="37"/>
        </w:numPr>
        <w:tabs>
          <w:tab w:val="left" w:pos="1413"/>
        </w:tabs>
        <w:spacing w:before="5" w:after="0" w:line="240" w:lineRule="auto"/>
        <w:ind w:left="1412" w:right="0" w:hanging="425"/>
        <w:jc w:val="left"/>
        <w:rPr>
          <w:sz w:val="21"/>
        </w:rPr>
      </w:pPr>
      <w:r>
        <w:rPr>
          <w:w w:val="95"/>
          <w:sz w:val="21"/>
        </w:rPr>
        <w:t>盘车装置的定期试验。</w:t>
      </w:r>
    </w:p>
    <w:p>
      <w:pPr>
        <w:spacing w:before="122"/>
        <w:ind w:left="111" w:right="0" w:firstLine="0"/>
        <w:jc w:val="left"/>
        <w:rPr>
          <w:rFonts w:ascii="黑体" w:eastAsia="黑体" w:hint="eastAsia"/>
          <w:sz w:val="21"/>
        </w:rPr>
      </w:pPr>
      <w:r>
        <w:rPr>
          <w:position w:val="-1"/>
        </w:rPr>
        <w:drawing>
          <wp:inline distT="0" distB="0" distL="0" distR="0">
            <wp:extent cx="219431" cy="122613"/>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5" cstate="print"/>
                    <a:stretch>
                      <a:fillRect/>
                    </a:stretch>
                  </pic:blipFill>
                  <pic:spPr>
                    <a:xfrm>
                      <a:off x="0" y="0"/>
                      <a:ext cx="219431" cy="12261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19" w:name="5.2　锅炉部分"/>
      <w:bookmarkEnd w:id="19"/>
      <w:r>
        <w:rPr>
          <w:rFonts w:ascii="黑体" w:eastAsia="黑体" w:hint="eastAsia"/>
          <w:sz w:val="21"/>
        </w:rPr>
        <w:t>锅炉部分</w:t>
      </w:r>
    </w:p>
    <w:p>
      <w:pPr>
        <w:pStyle w:val="ListParagraph"/>
        <w:numPr>
          <w:ilvl w:val="2"/>
          <w:numId w:val="35"/>
        </w:numPr>
        <w:tabs>
          <w:tab w:val="left" w:pos="872"/>
          <w:tab w:val="left" w:pos="873"/>
        </w:tabs>
        <w:spacing w:before="124" w:after="0" w:line="240" w:lineRule="auto"/>
        <w:ind w:left="872" w:right="0" w:hanging="735"/>
        <w:jc w:val="left"/>
        <w:rPr>
          <w:rFonts w:ascii="黑体" w:eastAsia="黑体" w:hint="eastAsia"/>
          <w:sz w:val="21"/>
        </w:rPr>
      </w:pPr>
      <w:bookmarkStart w:id="20" w:name="5.2.1　汽水系统"/>
      <w:bookmarkEnd w:id="20"/>
      <w:r>
        <w:rPr>
          <w:rFonts w:ascii="黑体" w:eastAsia="黑体" w:hint="eastAsia"/>
          <w:sz w:val="21"/>
        </w:rPr>
        <w:t>汽水系统</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1" w:name="5.2.1.1　电动给水泵"/>
      <w:bookmarkEnd w:id="21"/>
      <w:r>
        <w:rPr>
          <w:rFonts w:ascii="黑体" w:eastAsia="黑体" w:hint="eastAsia"/>
          <w:sz w:val="21"/>
        </w:rPr>
        <w:t>电动给水泵</w:t>
      </w:r>
    </w:p>
    <w:p>
      <w:pPr>
        <w:pStyle w:val="BodyText"/>
        <w:spacing w:before="125"/>
        <w:ind w:left="558" w:firstLine="0"/>
      </w:pPr>
      <w:r>
        <w:t>电动给水泵的培训内容应包括但不限于以下项目：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电动给水泵结构和工作原理；</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电动给水泵设备规范；</w:t>
      </w:r>
    </w:p>
    <w:p>
      <w:pPr>
        <w:pStyle w:val="ListParagraph"/>
        <w:numPr>
          <w:ilvl w:val="4"/>
          <w:numId w:val="35"/>
        </w:numPr>
        <w:tabs>
          <w:tab w:val="left" w:pos="1412"/>
          <w:tab w:val="left" w:pos="1413"/>
        </w:tabs>
        <w:spacing w:before="2" w:after="0" w:line="244" w:lineRule="auto"/>
        <w:ind w:left="1412" w:right="108" w:hanging="425"/>
        <w:jc w:val="left"/>
        <w:rPr>
          <w:sz w:val="21"/>
        </w:rPr>
      </w:pPr>
      <w:r>
        <w:rPr>
          <w:spacing w:val="-2"/>
          <w:w w:val="95"/>
          <w:sz w:val="21"/>
        </w:rPr>
        <w:t xml:space="preserve">电动给水泵本体及其相关管道、阀门的就地布置和具体位置；其中包括电动给水泵入口、   </w:t>
      </w:r>
      <w:r>
        <w:rPr>
          <w:spacing w:val="-2"/>
          <w:sz w:val="21"/>
        </w:rPr>
        <w:t>出口；冷却系统的管路、阀门；</w:t>
      </w:r>
    </w:p>
    <w:p>
      <w:pPr>
        <w:pStyle w:val="ListParagraph"/>
        <w:numPr>
          <w:ilvl w:val="4"/>
          <w:numId w:val="35"/>
        </w:numPr>
        <w:tabs>
          <w:tab w:val="left" w:pos="1412"/>
          <w:tab w:val="left" w:pos="1413"/>
        </w:tabs>
        <w:spacing w:before="0" w:after="0" w:line="265" w:lineRule="exact"/>
        <w:ind w:left="1412" w:right="0" w:hanging="425"/>
        <w:jc w:val="left"/>
        <w:rPr>
          <w:sz w:val="21"/>
        </w:rPr>
        <w:sectPr>
          <w:footerReference w:type="default" r:id="rId16"/>
          <w:pgSz w:w="11910" w:h="16840"/>
          <w:pgMar w:top="1580" w:right="920" w:bottom="1340" w:left="1280" w:header="0" w:footer="1141"/>
          <w:pgNumType w:start="5"/>
          <w:cols w:space="708"/>
        </w:sectPr>
      </w:pPr>
      <w:r>
        <w:rPr>
          <w:sz w:val="21"/>
        </w:rPr>
        <w:t>远控和就地电动给水泵系统相关表计的位置、量程及代表的含义和正常指示范围；</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电动给水泵启动条件和紧急停运条件；</w:t>
      </w:r>
    </w:p>
    <w:p>
      <w:pPr>
        <w:spacing w:after="0" w:line="240" w:lineRule="auto"/>
        <w:jc w:val="left"/>
        <w:rPr>
          <w:sz w:val="21"/>
        </w:rPr>
        <w:sectPr>
          <w:footerReference w:type="default" r:id="rId17"/>
          <w:type w:val="nextPage"/>
          <w:pgSz w:w="11910" w:h="16840"/>
          <w:pgMar w:top="1580" w:right="920" w:bottom="1340" w:left="1280" w:header="0" w:footer="1141"/>
          <w:pgNumType w:start="6"/>
          <w:cols w:space="708"/>
          <w:titlePg w:val="0"/>
        </w:sectPr>
      </w:pPr>
    </w:p>
    <w:p>
      <w:pPr>
        <w:pStyle w:val="BodyText"/>
        <w:spacing w:before="5"/>
        <w:ind w:left="0" w:firstLine="0"/>
        <w:rPr>
          <w:sz w:val="20"/>
        </w:rPr>
      </w:pPr>
    </w:p>
    <w:p>
      <w:pPr>
        <w:pStyle w:val="ListParagraph"/>
        <w:numPr>
          <w:ilvl w:val="4"/>
          <w:numId w:val="35"/>
        </w:numPr>
        <w:tabs>
          <w:tab w:val="left" w:pos="1412"/>
          <w:tab w:val="left" w:pos="1413"/>
        </w:tabs>
        <w:spacing w:before="70" w:after="0" w:line="240" w:lineRule="auto"/>
        <w:ind w:left="1412" w:right="0" w:hanging="425"/>
        <w:jc w:val="left"/>
        <w:rPr>
          <w:sz w:val="21"/>
        </w:rPr>
      </w:pPr>
      <w:r>
        <w:rPr>
          <w:sz w:val="21"/>
        </w:rPr>
        <w:t>电动给水泵电源、各电动门电源分配及就地位置和开关、刀闸的型式；</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电动给水泵启动准备阶段的检查和操作；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电动给水泵启动操作和注意事项；</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电动给水泵运行中检查要点和异常现象；</w:t>
      </w:r>
    </w:p>
    <w:p>
      <w:pPr>
        <w:pStyle w:val="ListParagraph"/>
        <w:numPr>
          <w:ilvl w:val="4"/>
          <w:numId w:val="35"/>
        </w:numPr>
        <w:tabs>
          <w:tab w:val="left" w:pos="1413"/>
        </w:tabs>
        <w:spacing w:before="4" w:after="0" w:line="240" w:lineRule="auto"/>
        <w:ind w:left="1412" w:right="0" w:hanging="425"/>
        <w:jc w:val="left"/>
        <w:rPr>
          <w:sz w:val="21"/>
        </w:rPr>
      </w:pPr>
      <w:r>
        <w:rPr>
          <w:sz w:val="21"/>
        </w:rPr>
        <w:t>电动给水泵停运、隔离的操作；</w:t>
      </w:r>
    </w:p>
    <w:p>
      <w:pPr>
        <w:pStyle w:val="ListParagraph"/>
        <w:numPr>
          <w:ilvl w:val="4"/>
          <w:numId w:val="35"/>
        </w:numPr>
        <w:tabs>
          <w:tab w:val="left" w:pos="1413"/>
        </w:tabs>
        <w:spacing w:before="2" w:after="0" w:line="240" w:lineRule="auto"/>
        <w:ind w:left="1412" w:right="0" w:hanging="425"/>
        <w:jc w:val="left"/>
        <w:rPr>
          <w:sz w:val="21"/>
        </w:rPr>
      </w:pPr>
      <w:r>
        <w:rPr>
          <w:sz w:val="21"/>
        </w:rPr>
        <w:t>电动给水泵正常运行中的调整操作手法及注意要点；</w:t>
      </w:r>
    </w:p>
    <w:p>
      <w:pPr>
        <w:pStyle w:val="ListParagraph"/>
        <w:numPr>
          <w:ilvl w:val="4"/>
          <w:numId w:val="35"/>
        </w:numPr>
        <w:tabs>
          <w:tab w:val="left" w:pos="1413"/>
        </w:tabs>
        <w:spacing w:before="5" w:after="0" w:line="240" w:lineRule="auto"/>
        <w:ind w:left="1412" w:right="0" w:hanging="425"/>
        <w:jc w:val="left"/>
        <w:rPr>
          <w:sz w:val="21"/>
        </w:rPr>
      </w:pPr>
      <w:r>
        <w:rPr>
          <w:sz w:val="21"/>
        </w:rPr>
        <w:t>电动给水泵电机、各电动门的停送电操作及验电、装设地线的操作方法。</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2" w:name="5.2.1.2　汽动给水泵（若配备）"/>
      <w:bookmarkEnd w:id="22"/>
      <w:r>
        <w:rPr>
          <w:rFonts w:ascii="黑体" w:eastAsia="黑体" w:hint="eastAsia"/>
          <w:sz w:val="21"/>
        </w:rPr>
        <w:t>汽动给水泵</w:t>
      </w:r>
      <w:r>
        <w:rPr>
          <w:rFonts w:ascii="黑体" w:eastAsia="黑体" w:hint="eastAsia"/>
          <w:sz w:val="21"/>
        </w:rPr>
        <w:t>（若配备）</w:t>
      </w:r>
    </w:p>
    <w:p>
      <w:pPr>
        <w:pStyle w:val="BodyText"/>
        <w:spacing w:before="122"/>
        <w:ind w:left="558" w:firstLine="0"/>
      </w:pPr>
      <w:r>
        <w:t>汽动给水泵的培训内容应包括但不限于以下项目：</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汽动给水泵启动准备阶段的检查和操作，包括启汽前泵、暖管疏水送轴封；</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汽动给水泵启动操作和注意事项，包括冲车、升速、带负荷过程及相关试验；</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汽动给水泵运行中检查要点和异常现象；</w:t>
      </w:r>
    </w:p>
    <w:p>
      <w:pPr>
        <w:pStyle w:val="ListParagraph"/>
        <w:numPr>
          <w:ilvl w:val="4"/>
          <w:numId w:val="35"/>
        </w:numPr>
        <w:tabs>
          <w:tab w:val="left" w:pos="1412"/>
          <w:tab w:val="left" w:pos="1413"/>
        </w:tabs>
        <w:spacing w:before="3" w:after="0" w:line="240" w:lineRule="auto"/>
        <w:ind w:left="1412" w:right="0" w:hanging="425"/>
        <w:jc w:val="left"/>
        <w:rPr>
          <w:sz w:val="21"/>
        </w:rPr>
      </w:pPr>
      <w:r>
        <w:rPr>
          <w:sz w:val="21"/>
        </w:rPr>
        <w:t>汽动给水泵停运、隔离的操作；</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汽动给水泵各电动门的停送电操作及验电操作方法；</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汽动给水泵各电动门电源分配及就地位置和开关、刀闸的型式；</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汽动给水泵正常运行中的调整操作手法及注意要点。</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3" w:name="5.2.1.3　省煤器、汽包、水冷壁、下降管、再循环管路、底部联箱"/>
      <w:bookmarkEnd w:id="23"/>
      <w:r>
        <w:rPr>
          <w:rFonts w:ascii="黑体" w:eastAsia="黑体" w:hint="eastAsia"/>
          <w:sz w:val="21"/>
        </w:rPr>
        <w:t>省煤器、汽包、水冷壁、下降管、再循环管路、底部联箱</w:t>
      </w:r>
    </w:p>
    <w:p>
      <w:pPr>
        <w:pStyle w:val="BodyText"/>
        <w:spacing w:before="124"/>
        <w:ind w:left="558" w:firstLine="0"/>
      </w:pPr>
      <w:r>
        <w:t>省煤器、汽包、水冷壁、下降管、再循环管路、底部联箱的培训内容应包括但不限于以下项目：</w:t>
      </w:r>
    </w:p>
    <w:p>
      <w:pPr>
        <w:pStyle w:val="ListParagraph"/>
        <w:numPr>
          <w:ilvl w:val="4"/>
          <w:numId w:val="35"/>
        </w:numPr>
        <w:tabs>
          <w:tab w:val="left" w:pos="1412"/>
          <w:tab w:val="left" w:pos="1413"/>
        </w:tabs>
        <w:spacing w:before="3" w:after="0" w:line="244" w:lineRule="auto"/>
        <w:ind w:left="1412" w:right="215" w:hanging="425"/>
        <w:jc w:val="left"/>
        <w:rPr>
          <w:sz w:val="21"/>
        </w:rPr>
      </w:pPr>
      <w:r>
        <w:rPr>
          <w:sz w:val="21"/>
        </w:rPr>
        <w:t>省煤器、汽包、水冷壁、底部联箱的结构和自然循环锅炉工作原理及虚假汽包水位产生机理；</w:t>
      </w:r>
    </w:p>
    <w:p>
      <w:pPr>
        <w:pStyle w:val="ListParagraph"/>
        <w:numPr>
          <w:ilvl w:val="4"/>
          <w:numId w:val="35"/>
        </w:numPr>
        <w:tabs>
          <w:tab w:val="left" w:pos="1412"/>
          <w:tab w:val="left" w:pos="1413"/>
        </w:tabs>
        <w:spacing w:before="0" w:after="0" w:line="244" w:lineRule="auto"/>
        <w:ind w:left="1412" w:right="215" w:hanging="425"/>
        <w:jc w:val="left"/>
        <w:rPr>
          <w:sz w:val="21"/>
        </w:rPr>
      </w:pPr>
      <w:r>
        <w:rPr>
          <w:sz w:val="21"/>
        </w:rPr>
        <w:t>各测点布置，熟悉参数表计的含义及正常范围，熟知汽包水位控制值、报警值、保护动作值；</w:t>
      </w:r>
    </w:p>
    <w:p>
      <w:pPr>
        <w:pStyle w:val="ListParagraph"/>
        <w:numPr>
          <w:ilvl w:val="4"/>
          <w:numId w:val="35"/>
        </w:numPr>
        <w:tabs>
          <w:tab w:val="left" w:pos="1412"/>
          <w:tab w:val="left" w:pos="1413"/>
        </w:tabs>
        <w:spacing w:before="0" w:after="0" w:line="265" w:lineRule="exact"/>
        <w:ind w:left="1412" w:right="0" w:hanging="425"/>
        <w:jc w:val="left"/>
        <w:rPr>
          <w:sz w:val="21"/>
        </w:rPr>
      </w:pPr>
      <w:r>
        <w:rPr>
          <w:sz w:val="21"/>
        </w:rPr>
        <w:t>省煤器、汽包、水冷壁、下降管、事故放水、再循环管路、底部联箱的设备规范；</w:t>
      </w:r>
    </w:p>
    <w:p>
      <w:pPr>
        <w:pStyle w:val="ListParagraph"/>
        <w:numPr>
          <w:ilvl w:val="4"/>
          <w:numId w:val="35"/>
        </w:numPr>
        <w:tabs>
          <w:tab w:val="left" w:pos="1412"/>
          <w:tab w:val="left" w:pos="1413"/>
        </w:tabs>
        <w:spacing w:before="0" w:after="0" w:line="240" w:lineRule="auto"/>
        <w:ind w:left="1412" w:right="0" w:hanging="425"/>
        <w:jc w:val="left"/>
        <w:rPr>
          <w:sz w:val="21"/>
        </w:rPr>
      </w:pPr>
      <w:r>
        <w:rPr>
          <w:sz w:val="21"/>
        </w:rPr>
        <w:t>锅炉水系统管道、阀门位置，熟知汽包水位计、水位测量平衡容器及阀门布置；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水系统各电动门电源分配；</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冷炉上水的检查要点及上水注意事项，严格掌握汽包壁温差控制参数；</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水系统电动门停送电操作；</w:t>
      </w:r>
    </w:p>
    <w:p>
      <w:pPr>
        <w:pStyle w:val="ListParagraph"/>
        <w:numPr>
          <w:ilvl w:val="4"/>
          <w:numId w:val="35"/>
        </w:numPr>
        <w:tabs>
          <w:tab w:val="left" w:pos="1412"/>
          <w:tab w:val="left" w:pos="1413"/>
        </w:tabs>
        <w:spacing w:before="4" w:after="0" w:line="240" w:lineRule="auto"/>
        <w:ind w:left="1412" w:right="0" w:hanging="425"/>
        <w:jc w:val="left"/>
        <w:rPr>
          <w:sz w:val="21"/>
        </w:rPr>
      </w:pPr>
      <w:r>
        <w:rPr>
          <w:w w:val="95"/>
          <w:sz w:val="21"/>
        </w:rPr>
        <w:t>正常放水、带压放水的操作要点；</w:t>
      </w:r>
    </w:p>
    <w:p>
      <w:pPr>
        <w:pStyle w:val="ListParagraph"/>
        <w:numPr>
          <w:ilvl w:val="4"/>
          <w:numId w:val="35"/>
        </w:numPr>
        <w:tabs>
          <w:tab w:val="left" w:pos="1412"/>
          <w:tab w:val="left" w:pos="1413"/>
        </w:tabs>
        <w:spacing w:before="2" w:after="0" w:line="240" w:lineRule="auto"/>
        <w:ind w:left="1412" w:right="0" w:hanging="425"/>
        <w:jc w:val="left"/>
        <w:rPr>
          <w:sz w:val="21"/>
        </w:rPr>
      </w:pPr>
      <w:r>
        <w:rPr>
          <w:w w:val="95"/>
          <w:sz w:val="21"/>
        </w:rPr>
        <w:t>临炉加热的系统布置及投停原则；</w:t>
      </w:r>
    </w:p>
    <w:p>
      <w:pPr>
        <w:pStyle w:val="ListParagraph"/>
        <w:numPr>
          <w:ilvl w:val="4"/>
          <w:numId w:val="35"/>
        </w:numPr>
        <w:tabs>
          <w:tab w:val="left" w:pos="1413"/>
        </w:tabs>
        <w:spacing w:before="3" w:after="0" w:line="240" w:lineRule="auto"/>
        <w:ind w:left="1412" w:right="0" w:hanging="425"/>
        <w:jc w:val="left"/>
        <w:rPr>
          <w:sz w:val="21"/>
        </w:rPr>
      </w:pPr>
      <w:r>
        <w:rPr>
          <w:sz w:val="21"/>
        </w:rPr>
        <w:t>冷炉上水前的检查操作，水位计投停操作；</w:t>
      </w:r>
    </w:p>
    <w:p>
      <w:pPr>
        <w:pStyle w:val="ListParagraph"/>
        <w:numPr>
          <w:ilvl w:val="4"/>
          <w:numId w:val="35"/>
        </w:numPr>
        <w:tabs>
          <w:tab w:val="left" w:pos="1413"/>
        </w:tabs>
        <w:spacing w:before="4" w:after="0" w:line="240" w:lineRule="auto"/>
        <w:ind w:left="1412" w:right="0" w:hanging="425"/>
        <w:jc w:val="left"/>
        <w:rPr>
          <w:sz w:val="21"/>
        </w:rPr>
      </w:pPr>
      <w:r>
        <w:rPr>
          <w:sz w:val="21"/>
        </w:rPr>
        <w:t>上水操作；</w:t>
      </w:r>
    </w:p>
    <w:p>
      <w:pPr>
        <w:pStyle w:val="ListParagraph"/>
        <w:numPr>
          <w:ilvl w:val="4"/>
          <w:numId w:val="35"/>
        </w:numPr>
        <w:tabs>
          <w:tab w:val="left" w:pos="1413"/>
        </w:tabs>
        <w:spacing w:before="2" w:after="0" w:line="240" w:lineRule="auto"/>
        <w:ind w:left="1412" w:right="0" w:hanging="425"/>
        <w:jc w:val="left"/>
        <w:rPr>
          <w:sz w:val="21"/>
        </w:rPr>
      </w:pPr>
      <w:r>
        <w:rPr>
          <w:sz w:val="21"/>
        </w:rPr>
        <w:t>锅炉放水操作；</w:t>
      </w:r>
    </w:p>
    <w:p>
      <w:pPr>
        <w:pStyle w:val="ListParagraph"/>
        <w:numPr>
          <w:ilvl w:val="4"/>
          <w:numId w:val="35"/>
        </w:numPr>
        <w:tabs>
          <w:tab w:val="left" w:pos="1413"/>
        </w:tabs>
        <w:spacing w:before="5" w:after="0" w:line="240" w:lineRule="auto"/>
        <w:ind w:left="1412" w:right="0" w:hanging="425"/>
        <w:jc w:val="left"/>
        <w:rPr>
          <w:sz w:val="21"/>
        </w:rPr>
      </w:pPr>
      <w:r>
        <w:rPr>
          <w:sz w:val="21"/>
        </w:rPr>
        <w:t>汽包水位调整控制操作。</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4" w:name="5.2.1.4　过热器、减温器、吹灰器"/>
      <w:bookmarkEnd w:id="24"/>
      <w:r>
        <w:rPr>
          <w:rFonts w:ascii="黑体" w:eastAsia="黑体" w:hint="eastAsia"/>
          <w:sz w:val="21"/>
        </w:rPr>
        <w:t>过热器、减温器、吹灰器</w:t>
      </w:r>
    </w:p>
    <w:p>
      <w:pPr>
        <w:pStyle w:val="BodyText"/>
        <w:spacing w:before="124"/>
        <w:ind w:left="558" w:firstLine="0"/>
      </w:pPr>
      <w:r>
        <w:rPr>
          <w:w w:val="95"/>
        </w:rPr>
        <w:t>过热器、减温器、吹灰器的培训内容应包括但不限于以下项目：</w:t>
      </w:r>
    </w:p>
    <w:p>
      <w:pPr>
        <w:pStyle w:val="ListParagraph"/>
        <w:numPr>
          <w:ilvl w:val="4"/>
          <w:numId w:val="35"/>
        </w:numPr>
        <w:tabs>
          <w:tab w:val="left" w:pos="1412"/>
          <w:tab w:val="left" w:pos="1413"/>
        </w:tabs>
        <w:spacing w:before="3" w:after="0" w:line="240" w:lineRule="auto"/>
        <w:ind w:left="1412" w:right="0" w:hanging="425"/>
        <w:jc w:val="left"/>
        <w:rPr>
          <w:sz w:val="21"/>
        </w:rPr>
      </w:pPr>
      <w:r>
        <w:rPr>
          <w:w w:val="95"/>
          <w:sz w:val="21"/>
        </w:rPr>
        <w:t>热偏差理论，掌握主汽温度调整原则；</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低温过热器、高温过热器及喷水减温器的设备规范；</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过热器管壁温度控制值、极限值，熟知受热面超温危害；</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吹灰器结构及布置；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过热器各温度压力测点位置，熟悉控制室各参数显示、报警位置；</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过热器系统流程布置；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过热器水压实验步骤及要点；</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主汽温调节方法；</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过热器受热面超温尤其是低过超温的控制手段；</w:t>
      </w:r>
    </w:p>
    <w:p>
      <w:pPr>
        <w:pStyle w:val="ListParagraph"/>
        <w:numPr>
          <w:ilvl w:val="4"/>
          <w:numId w:val="35"/>
        </w:numPr>
        <w:tabs>
          <w:tab w:val="left" w:pos="1413"/>
        </w:tabs>
        <w:spacing w:before="5" w:after="0" w:line="240" w:lineRule="auto"/>
        <w:ind w:left="1412" w:right="0" w:hanging="425"/>
        <w:jc w:val="left"/>
        <w:rPr>
          <w:sz w:val="21"/>
        </w:rPr>
      </w:pPr>
      <w:r>
        <w:rPr>
          <w:sz w:val="21"/>
        </w:rPr>
        <w:t>受热面吹灰操作；</w:t>
      </w:r>
    </w:p>
    <w:p>
      <w:pPr>
        <w:pStyle w:val="ListParagraph"/>
        <w:numPr>
          <w:ilvl w:val="4"/>
          <w:numId w:val="35"/>
        </w:numPr>
        <w:tabs>
          <w:tab w:val="left" w:pos="1413"/>
        </w:tabs>
        <w:spacing w:before="2" w:after="0" w:line="240" w:lineRule="auto"/>
        <w:ind w:left="1412" w:right="0" w:hanging="425"/>
        <w:jc w:val="left"/>
        <w:rPr>
          <w:sz w:val="21"/>
        </w:rPr>
        <w:sectPr>
          <w:footerReference w:type="default" r:id="rId18"/>
          <w:pgSz w:w="11910" w:h="16840"/>
          <w:pgMar w:top="1580" w:right="920" w:bottom="1340" w:left="1280" w:header="0" w:footer="1141"/>
          <w:pgNumType w:start="7"/>
          <w:cols w:space="708"/>
        </w:sectPr>
      </w:pPr>
      <w:r>
        <w:rPr>
          <w:sz w:val="21"/>
        </w:rPr>
        <w:t>过热器水压试验操作；</w:t>
      </w:r>
    </w:p>
    <w:p>
      <w:pPr>
        <w:pStyle w:val="ListParagraph"/>
        <w:numPr>
          <w:ilvl w:val="4"/>
          <w:numId w:val="35"/>
        </w:numPr>
        <w:tabs>
          <w:tab w:val="left" w:pos="1413"/>
        </w:tabs>
        <w:spacing w:before="2" w:after="0" w:line="240" w:lineRule="auto"/>
        <w:ind w:left="1412" w:right="0" w:hanging="425"/>
        <w:jc w:val="left"/>
        <w:rPr>
          <w:sz w:val="21"/>
        </w:rPr>
      </w:pPr>
      <w:r>
        <w:rPr>
          <w:sz w:val="21"/>
        </w:rPr>
        <w:t>过热器汽温、汽压运行控制值，熟知运行曲线。</w:t>
      </w:r>
    </w:p>
    <w:p>
      <w:pPr>
        <w:spacing w:after="0" w:line="240" w:lineRule="auto"/>
        <w:jc w:val="left"/>
        <w:rPr>
          <w:sz w:val="21"/>
        </w:rPr>
        <w:sectPr>
          <w:footerReference w:type="default" r:id="rId19"/>
          <w:type w:val="nextPage"/>
          <w:pgSz w:w="11910" w:h="16840"/>
          <w:pgMar w:top="1580" w:right="920" w:bottom="1340" w:left="1280" w:header="0" w:footer="1141"/>
          <w:pgNumType w:start="8"/>
          <w:cols w:space="708"/>
          <w:titlePg w:val="0"/>
        </w:sectPr>
      </w:pPr>
    </w:p>
    <w:p>
      <w:pPr>
        <w:pStyle w:val="BodyText"/>
        <w:spacing w:before="5"/>
        <w:ind w:left="0" w:firstLine="0"/>
        <w:rPr>
          <w:sz w:val="20"/>
        </w:rPr>
      </w:pPr>
    </w:p>
    <w:p>
      <w:pPr>
        <w:pStyle w:val="ListParagraph"/>
        <w:numPr>
          <w:ilvl w:val="3"/>
          <w:numId w:val="35"/>
        </w:numPr>
        <w:tabs>
          <w:tab w:val="left" w:pos="1083"/>
          <w:tab w:val="left" w:pos="1084"/>
        </w:tabs>
        <w:spacing w:before="70" w:after="0" w:line="240" w:lineRule="auto"/>
        <w:ind w:left="1084" w:right="0" w:hanging="946"/>
        <w:jc w:val="left"/>
        <w:rPr>
          <w:rFonts w:ascii="黑体" w:eastAsia="黑体" w:hint="eastAsia"/>
          <w:sz w:val="21"/>
        </w:rPr>
      </w:pPr>
      <w:bookmarkStart w:id="25" w:name="5.2.1.5　管道、联箱、阀门、附件"/>
      <w:bookmarkEnd w:id="25"/>
      <w:r>
        <w:rPr>
          <w:rFonts w:ascii="黑体" w:eastAsia="黑体" w:hint="eastAsia"/>
          <w:sz w:val="21"/>
        </w:rPr>
        <w:t>管道、联箱、阀门、附件</w:t>
      </w:r>
    </w:p>
    <w:p>
      <w:pPr>
        <w:pStyle w:val="BodyText"/>
        <w:spacing w:before="122"/>
        <w:ind w:left="558" w:firstLine="0"/>
      </w:pPr>
      <w:r>
        <w:t>管道、联箱、阀门、附件的培训内容应包括但不限于以下项目：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安全门工作原理；</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汽水管道、联箱、安全门、对空排汽、疏水、空气、排污系统的设备规范；</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整定安全门实验步骤及注意事项；</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汽水管道、联箱、安全门、对空排汽、疏水、空气、排污系统的布置，熟知各阀门位置；</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锅炉空气、疏水、排污系统的操作原则；</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排污操作；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疏水、空气系统投、停操作；</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阀门传动试验；</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安全门动作压力值。</w:t>
      </w:r>
    </w:p>
    <w:p>
      <w:pPr>
        <w:pStyle w:val="ListParagraph"/>
        <w:numPr>
          <w:ilvl w:val="2"/>
          <w:numId w:val="35"/>
        </w:numPr>
        <w:tabs>
          <w:tab w:val="left" w:pos="872"/>
          <w:tab w:val="left" w:pos="873"/>
        </w:tabs>
        <w:spacing w:before="124" w:after="0" w:line="240" w:lineRule="auto"/>
        <w:ind w:left="872" w:right="0" w:hanging="735"/>
        <w:jc w:val="left"/>
        <w:rPr>
          <w:rFonts w:ascii="黑体" w:eastAsia="黑体" w:hint="eastAsia"/>
          <w:sz w:val="21"/>
        </w:rPr>
      </w:pPr>
      <w:bookmarkStart w:id="26" w:name="5.2.2　烟风系统"/>
      <w:bookmarkEnd w:id="26"/>
      <w:r>
        <w:rPr>
          <w:rFonts w:ascii="黑体" w:eastAsia="黑体" w:hint="eastAsia"/>
          <w:sz w:val="21"/>
        </w:rPr>
        <w:t>烟风系统</w:t>
      </w:r>
    </w:p>
    <w:p>
      <w:pPr>
        <w:pStyle w:val="ListParagraph"/>
        <w:numPr>
          <w:ilvl w:val="3"/>
          <w:numId w:val="35"/>
        </w:numPr>
        <w:tabs>
          <w:tab w:val="left" w:pos="1083"/>
          <w:tab w:val="left" w:pos="1084"/>
        </w:tabs>
        <w:spacing w:before="123" w:after="0" w:line="240" w:lineRule="auto"/>
        <w:ind w:left="1084" w:right="0" w:hanging="946"/>
        <w:jc w:val="left"/>
        <w:rPr>
          <w:rFonts w:ascii="黑体" w:eastAsia="黑体" w:hint="eastAsia"/>
          <w:sz w:val="21"/>
        </w:rPr>
      </w:pPr>
      <w:bookmarkStart w:id="27" w:name="5.2.2.1　空气预热器"/>
      <w:bookmarkEnd w:id="27"/>
      <w:r>
        <w:rPr>
          <w:rFonts w:ascii="黑体" w:eastAsia="黑体" w:hint="eastAsia"/>
          <w:sz w:val="21"/>
        </w:rPr>
        <w:t>空气预热器</w:t>
      </w:r>
    </w:p>
    <w:p>
      <w:pPr>
        <w:pStyle w:val="BodyText"/>
        <w:spacing w:before="124"/>
        <w:ind w:left="558" w:firstLine="0"/>
      </w:pPr>
      <w:r>
        <w:t>空气预热器的培训内容应包括但不限于以下项目：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空气预热器的结构和工作原理；</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空气预热器设备规范；</w:t>
      </w:r>
    </w:p>
    <w:p>
      <w:pPr>
        <w:pStyle w:val="ListParagraph"/>
        <w:numPr>
          <w:ilvl w:val="4"/>
          <w:numId w:val="35"/>
        </w:numPr>
        <w:tabs>
          <w:tab w:val="left" w:pos="1412"/>
          <w:tab w:val="left" w:pos="1413"/>
        </w:tabs>
        <w:spacing w:before="2" w:after="0" w:line="244" w:lineRule="auto"/>
        <w:ind w:left="1412" w:right="215" w:hanging="425"/>
        <w:jc w:val="left"/>
        <w:rPr>
          <w:sz w:val="21"/>
        </w:rPr>
      </w:pPr>
      <w:r>
        <w:rPr>
          <w:sz w:val="21"/>
        </w:rPr>
        <w:t>空气预热器本体及其相关烟风管道、风门的就地布置；其中包括本体、烟气、空气出入口管路、风门、吹灰装置；</w:t>
      </w:r>
    </w:p>
    <w:p>
      <w:pPr>
        <w:pStyle w:val="ListParagraph"/>
        <w:numPr>
          <w:ilvl w:val="4"/>
          <w:numId w:val="35"/>
        </w:numPr>
        <w:tabs>
          <w:tab w:val="left" w:pos="1412"/>
          <w:tab w:val="left" w:pos="1413"/>
        </w:tabs>
        <w:spacing w:before="0" w:after="0" w:line="265" w:lineRule="exact"/>
        <w:ind w:left="1412" w:right="0" w:hanging="425"/>
        <w:jc w:val="left"/>
        <w:rPr>
          <w:sz w:val="21"/>
        </w:rPr>
      </w:pPr>
      <w:r>
        <w:rPr>
          <w:sz w:val="21"/>
        </w:rPr>
        <w:t>各电动门电源分配及就地位置和开关、刀闸的型式，掌握气动门分布；</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空气预热器运行中监视要点、扇形板（若有）调节方法、吹灰操作；</w:t>
      </w:r>
    </w:p>
    <w:p>
      <w:pPr>
        <w:pStyle w:val="ListParagraph"/>
        <w:numPr>
          <w:ilvl w:val="4"/>
          <w:numId w:val="35"/>
        </w:numPr>
        <w:tabs>
          <w:tab w:val="left" w:pos="1412"/>
          <w:tab w:val="left" w:pos="1413"/>
        </w:tabs>
        <w:spacing w:before="3" w:after="0" w:line="240" w:lineRule="auto"/>
        <w:ind w:left="1412" w:right="0" w:hanging="425"/>
        <w:jc w:val="left"/>
        <w:rPr>
          <w:sz w:val="21"/>
        </w:rPr>
      </w:pPr>
      <w:r>
        <w:rPr>
          <w:sz w:val="21"/>
        </w:rPr>
        <w:t>运行中的巡回检查要点和异常现象分析；</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空气预热器停运、隔离的操作；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各电动门的停送电操作方法，掌握电动门的传动方法；</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空气预热器启动准备阶段的检查和操作；</w:t>
      </w:r>
    </w:p>
    <w:p>
      <w:pPr>
        <w:pStyle w:val="ListParagraph"/>
        <w:numPr>
          <w:ilvl w:val="4"/>
          <w:numId w:val="35"/>
        </w:numPr>
        <w:tabs>
          <w:tab w:val="left" w:pos="1413"/>
        </w:tabs>
        <w:spacing w:before="5" w:after="0" w:line="240" w:lineRule="auto"/>
        <w:ind w:left="1412" w:right="0" w:hanging="425"/>
        <w:jc w:val="left"/>
        <w:rPr>
          <w:sz w:val="21"/>
        </w:rPr>
      </w:pPr>
      <w:r>
        <w:rPr>
          <w:sz w:val="21"/>
        </w:rPr>
        <w:t>空气预热器启动操作和注意事项。</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8" w:name="5.2.2.2　引风机"/>
      <w:bookmarkEnd w:id="28"/>
      <w:r>
        <w:rPr>
          <w:rFonts w:ascii="黑体" w:eastAsia="黑体" w:hint="eastAsia"/>
          <w:sz w:val="21"/>
        </w:rPr>
        <w:t>引风机</w:t>
      </w:r>
    </w:p>
    <w:p>
      <w:pPr>
        <w:pStyle w:val="BodyText"/>
        <w:spacing w:before="125"/>
        <w:ind w:left="558" w:firstLine="0"/>
      </w:pPr>
      <w:r>
        <w:t>引风机的培训内容应包括但不限于以下项目：</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引风机本体、变频器、液耦、风门调节装置的结构和工作原理；</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引风机设备规范；</w:t>
      </w:r>
    </w:p>
    <w:p>
      <w:pPr>
        <w:pStyle w:val="ListParagraph"/>
        <w:numPr>
          <w:ilvl w:val="4"/>
          <w:numId w:val="35"/>
        </w:numPr>
        <w:tabs>
          <w:tab w:val="left" w:pos="1412"/>
          <w:tab w:val="left" w:pos="1413"/>
        </w:tabs>
        <w:spacing w:before="2" w:after="0" w:line="244" w:lineRule="auto"/>
        <w:ind w:left="1412" w:right="215" w:hanging="425"/>
        <w:jc w:val="left"/>
        <w:rPr>
          <w:sz w:val="21"/>
        </w:rPr>
      </w:pPr>
      <w:r>
        <w:rPr>
          <w:sz w:val="21"/>
        </w:rPr>
        <w:t>引风机及其相关烟风管道、阀门的就地布置；其中包括电机、风机、传动机构、出入口管路、阀门；</w:t>
      </w:r>
    </w:p>
    <w:p>
      <w:pPr>
        <w:pStyle w:val="ListParagraph"/>
        <w:numPr>
          <w:ilvl w:val="4"/>
          <w:numId w:val="35"/>
        </w:numPr>
        <w:tabs>
          <w:tab w:val="left" w:pos="1412"/>
          <w:tab w:val="left" w:pos="1413"/>
        </w:tabs>
        <w:spacing w:before="0" w:after="0" w:line="265" w:lineRule="exact"/>
        <w:ind w:left="1412" w:right="0" w:hanging="425"/>
        <w:jc w:val="left"/>
        <w:rPr>
          <w:sz w:val="21"/>
        </w:rPr>
      </w:pPr>
      <w:r>
        <w:rPr>
          <w:spacing w:val="-1"/>
          <w:sz w:val="21"/>
        </w:rPr>
        <w:t>远控和就地引风机相关表计的位置、量程及代表的含义和正常指示范围，熟知相关报警；</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引风机启动逻辑条件和紧急停运条件，严格掌握炉膛负压的参数范围及保护动作值；</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引风机启动准备阶段的检查和操作；</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引风机启动操作和注意事项及两台风机并列运行操作；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引风机运行中监视调整、炉膛负压调整要点；</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运行中的巡回检查要点和异常现象；</w:t>
      </w:r>
    </w:p>
    <w:p>
      <w:pPr>
        <w:pStyle w:val="ListParagraph"/>
        <w:numPr>
          <w:ilvl w:val="4"/>
          <w:numId w:val="35"/>
        </w:numPr>
        <w:tabs>
          <w:tab w:val="left" w:pos="1413"/>
        </w:tabs>
        <w:spacing w:before="2" w:after="0" w:line="240" w:lineRule="auto"/>
        <w:ind w:left="1412" w:right="0" w:hanging="425"/>
        <w:jc w:val="left"/>
        <w:rPr>
          <w:sz w:val="21"/>
        </w:rPr>
      </w:pPr>
      <w:r>
        <w:rPr>
          <w:sz w:val="21"/>
        </w:rPr>
        <w:t>引风机电机、各电动门的停送电操作，掌握截门的传动方法；</w:t>
      </w:r>
    </w:p>
    <w:p>
      <w:pPr>
        <w:pStyle w:val="ListParagraph"/>
        <w:numPr>
          <w:ilvl w:val="4"/>
          <w:numId w:val="35"/>
        </w:numPr>
        <w:tabs>
          <w:tab w:val="left" w:pos="1413"/>
        </w:tabs>
        <w:spacing w:before="5" w:after="0" w:line="240" w:lineRule="auto"/>
        <w:ind w:left="1412" w:right="0" w:hanging="425"/>
        <w:jc w:val="left"/>
        <w:rPr>
          <w:sz w:val="21"/>
        </w:rPr>
      </w:pPr>
      <w:r>
        <w:rPr>
          <w:sz w:val="21"/>
        </w:rPr>
        <w:t>引风机电机、各电动门电源分配及就地位置和开关、刀闸的型式。</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29" w:name="5.2.2.3　送风机"/>
      <w:bookmarkEnd w:id="29"/>
      <w:r>
        <w:rPr>
          <w:rFonts w:ascii="黑体" w:eastAsia="黑体" w:hint="eastAsia"/>
          <w:sz w:val="21"/>
        </w:rPr>
        <w:t>送风机</w:t>
      </w:r>
    </w:p>
    <w:p>
      <w:pPr>
        <w:pStyle w:val="BodyText"/>
        <w:spacing w:before="125"/>
        <w:ind w:left="558" w:firstLine="0"/>
      </w:pPr>
      <w:r>
        <w:t>送风机的培训内容应包括但不限于以下项目：</w:t>
      </w:r>
    </w:p>
    <w:p>
      <w:pPr>
        <w:pStyle w:val="ListParagraph"/>
        <w:numPr>
          <w:ilvl w:val="4"/>
          <w:numId w:val="35"/>
        </w:numPr>
        <w:tabs>
          <w:tab w:val="left" w:pos="1412"/>
          <w:tab w:val="left" w:pos="1413"/>
        </w:tabs>
        <w:spacing w:before="2" w:after="0" w:line="240" w:lineRule="auto"/>
        <w:ind w:left="1412" w:right="0" w:hanging="425"/>
        <w:jc w:val="left"/>
        <w:rPr>
          <w:sz w:val="21"/>
        </w:rPr>
      </w:pPr>
      <w:r>
        <w:rPr>
          <w:spacing w:val="-1"/>
          <w:sz w:val="21"/>
        </w:rPr>
        <w:t>送风机本体、变频器、液耦、风门调节装置的结构和工作原理，了解烟气含氧量的意义；</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送风机设备规范；</w:t>
      </w:r>
    </w:p>
    <w:p>
      <w:pPr>
        <w:pStyle w:val="ListParagraph"/>
        <w:numPr>
          <w:ilvl w:val="4"/>
          <w:numId w:val="35"/>
        </w:numPr>
        <w:tabs>
          <w:tab w:val="left" w:pos="1412"/>
          <w:tab w:val="left" w:pos="1413"/>
        </w:tabs>
        <w:spacing w:before="2" w:after="0" w:line="244" w:lineRule="auto"/>
        <w:ind w:left="1412" w:right="215" w:hanging="425"/>
        <w:jc w:val="left"/>
        <w:rPr>
          <w:sz w:val="21"/>
        </w:rPr>
        <w:sectPr>
          <w:footerReference w:type="default" r:id="rId20"/>
          <w:pgSz w:w="11910" w:h="16840"/>
          <w:pgMar w:top="1580" w:right="920" w:bottom="1340" w:left="1280" w:header="0" w:footer="1141"/>
          <w:pgNumType w:start="9"/>
          <w:cols w:space="708"/>
        </w:sectPr>
      </w:pPr>
      <w:r>
        <w:rPr>
          <w:sz w:val="21"/>
        </w:rPr>
        <w:t>送风机及其相关空气管道、阀门的就地布置；其中包括电机、风机、传动机构、出入口管路、阀门；</w:t>
      </w:r>
    </w:p>
    <w:p>
      <w:pPr>
        <w:pStyle w:val="ListParagraph"/>
        <w:numPr>
          <w:ilvl w:val="4"/>
          <w:numId w:val="35"/>
        </w:numPr>
        <w:tabs>
          <w:tab w:val="left" w:pos="1412"/>
          <w:tab w:val="left" w:pos="1413"/>
        </w:tabs>
        <w:spacing w:before="0" w:after="0" w:line="265" w:lineRule="exact"/>
        <w:ind w:left="1412" w:right="0" w:hanging="425"/>
        <w:jc w:val="left"/>
        <w:rPr>
          <w:sz w:val="21"/>
        </w:rPr>
      </w:pPr>
      <w:r>
        <w:rPr>
          <w:spacing w:val="-1"/>
          <w:sz w:val="21"/>
        </w:rPr>
        <w:t>远控和就地送风机相关表计的位置、量程及代表的含义和正常指示范围，熟知相关报警；</w:t>
      </w:r>
    </w:p>
    <w:p>
      <w:pPr>
        <w:spacing w:after="0" w:line="265" w:lineRule="exact"/>
        <w:jc w:val="left"/>
        <w:rPr>
          <w:sz w:val="21"/>
        </w:rPr>
        <w:sectPr>
          <w:footerReference w:type="default" r:id="rId21"/>
          <w:type w:val="nextPage"/>
          <w:pgSz w:w="11910" w:h="16840"/>
          <w:pgMar w:top="1580" w:right="920" w:bottom="1340" w:left="1280" w:header="0" w:footer="1141"/>
          <w:pgNumType w:start="10"/>
          <w:cols w:space="708"/>
          <w:titlePg w:val="0"/>
        </w:sectPr>
      </w:pPr>
    </w:p>
    <w:p>
      <w:pPr>
        <w:pStyle w:val="BodyText"/>
        <w:spacing w:before="5"/>
        <w:ind w:left="0" w:firstLine="0"/>
        <w:rPr>
          <w:sz w:val="20"/>
        </w:rPr>
      </w:pPr>
    </w:p>
    <w:p>
      <w:pPr>
        <w:pStyle w:val="ListParagraph"/>
        <w:numPr>
          <w:ilvl w:val="4"/>
          <w:numId w:val="35"/>
        </w:numPr>
        <w:tabs>
          <w:tab w:val="left" w:pos="1412"/>
          <w:tab w:val="left" w:pos="1413"/>
        </w:tabs>
        <w:spacing w:before="70" w:after="0" w:line="240" w:lineRule="auto"/>
        <w:ind w:left="1412" w:right="0" w:hanging="425"/>
        <w:jc w:val="left"/>
        <w:rPr>
          <w:sz w:val="21"/>
        </w:rPr>
      </w:pPr>
      <w:r>
        <w:rPr>
          <w:sz w:val="21"/>
        </w:rPr>
        <w:t>送风机启动逻辑条件和紧急停运条件；</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氧量控制指标及风量调整方法；</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送风机启动准备阶段的检查和操作；</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送风机启动操作和注意事项及两台风机并列运行操作；</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送风机运行中监视、风量调整要点；</w:t>
      </w:r>
    </w:p>
    <w:p>
      <w:pPr>
        <w:pStyle w:val="ListParagraph"/>
        <w:numPr>
          <w:ilvl w:val="4"/>
          <w:numId w:val="35"/>
        </w:numPr>
        <w:tabs>
          <w:tab w:val="left" w:pos="1413"/>
        </w:tabs>
        <w:spacing w:before="2" w:after="0" w:line="240" w:lineRule="auto"/>
        <w:ind w:left="1412" w:right="0" w:hanging="425"/>
        <w:jc w:val="left"/>
        <w:rPr>
          <w:sz w:val="21"/>
        </w:rPr>
      </w:pPr>
      <w:r>
        <w:rPr>
          <w:sz w:val="21"/>
        </w:rPr>
        <w:t>送风机运行中的巡回检查要点和异常现象；</w:t>
      </w:r>
    </w:p>
    <w:p>
      <w:pPr>
        <w:pStyle w:val="ListParagraph"/>
        <w:numPr>
          <w:ilvl w:val="4"/>
          <w:numId w:val="35"/>
        </w:numPr>
        <w:tabs>
          <w:tab w:val="left" w:pos="1413"/>
        </w:tabs>
        <w:spacing w:before="5" w:after="0" w:line="240" w:lineRule="auto"/>
        <w:ind w:left="1412" w:right="0" w:hanging="425"/>
        <w:jc w:val="left"/>
        <w:rPr>
          <w:sz w:val="21"/>
        </w:rPr>
      </w:pPr>
      <w:r>
        <w:rPr>
          <w:sz w:val="21"/>
        </w:rPr>
        <w:t>送风机侧停运、隔离的操作；</w:t>
      </w:r>
    </w:p>
    <w:p>
      <w:pPr>
        <w:pStyle w:val="ListParagraph"/>
        <w:numPr>
          <w:ilvl w:val="4"/>
          <w:numId w:val="35"/>
        </w:numPr>
        <w:tabs>
          <w:tab w:val="left" w:pos="1413"/>
        </w:tabs>
        <w:spacing w:before="2" w:after="0" w:line="240" w:lineRule="auto"/>
        <w:ind w:left="1412" w:right="0" w:hanging="425"/>
        <w:jc w:val="left"/>
        <w:rPr>
          <w:sz w:val="21"/>
        </w:rPr>
      </w:pPr>
      <w:r>
        <w:rPr>
          <w:sz w:val="21"/>
        </w:rPr>
        <w:t>送风机电机、各电动门的停送电操作，掌握电动门的传动方法；</w:t>
      </w:r>
    </w:p>
    <w:p>
      <w:pPr>
        <w:pStyle w:val="ListParagraph"/>
        <w:numPr>
          <w:ilvl w:val="4"/>
          <w:numId w:val="35"/>
        </w:numPr>
        <w:tabs>
          <w:tab w:val="left" w:pos="1413"/>
        </w:tabs>
        <w:spacing w:before="2" w:after="0" w:line="240" w:lineRule="auto"/>
        <w:ind w:left="1412" w:right="0" w:hanging="425"/>
        <w:jc w:val="left"/>
        <w:rPr>
          <w:sz w:val="21"/>
        </w:rPr>
      </w:pPr>
      <w:r>
        <w:rPr>
          <w:sz w:val="21"/>
        </w:rPr>
        <w:t>送风机电机、各电动门电源分配及就地位置和开关、刀闸的型式。</w:t>
      </w:r>
    </w:p>
    <w:p>
      <w:pPr>
        <w:pStyle w:val="ListParagraph"/>
        <w:numPr>
          <w:ilvl w:val="3"/>
          <w:numId w:val="35"/>
        </w:numPr>
        <w:tabs>
          <w:tab w:val="left" w:pos="1083"/>
          <w:tab w:val="left" w:pos="1084"/>
        </w:tabs>
        <w:spacing w:before="125" w:after="0" w:line="240" w:lineRule="auto"/>
        <w:ind w:left="1084" w:right="0" w:hanging="946"/>
        <w:jc w:val="left"/>
        <w:rPr>
          <w:rFonts w:ascii="黑体" w:eastAsia="黑体" w:hint="eastAsia"/>
          <w:sz w:val="21"/>
        </w:rPr>
      </w:pPr>
      <w:bookmarkStart w:id="30" w:name="5.2.2.4　一次风机"/>
      <w:bookmarkEnd w:id="30"/>
      <w:r>
        <w:rPr>
          <w:rFonts w:ascii="黑体" w:eastAsia="黑体" w:hint="eastAsia"/>
          <w:sz w:val="21"/>
        </w:rPr>
        <w:t>一次风机</w:t>
      </w:r>
    </w:p>
    <w:p>
      <w:pPr>
        <w:pStyle w:val="BodyText"/>
        <w:spacing w:before="122"/>
        <w:ind w:left="558" w:firstLine="0"/>
      </w:pPr>
      <w:r>
        <w:t>一次风机的培训内容应包括但不限于以下项目：</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一次风机本体、变频器、液耦、风门调节装置的结构和工作原理；</w:t>
      </w:r>
    </w:p>
    <w:p>
      <w:pPr>
        <w:pStyle w:val="ListParagraph"/>
        <w:numPr>
          <w:ilvl w:val="4"/>
          <w:numId w:val="35"/>
        </w:numPr>
        <w:tabs>
          <w:tab w:val="left" w:pos="1412"/>
          <w:tab w:val="left" w:pos="1413"/>
        </w:tabs>
        <w:spacing w:before="3" w:after="0" w:line="240" w:lineRule="auto"/>
        <w:ind w:left="1412" w:right="0" w:hanging="425"/>
        <w:jc w:val="left"/>
        <w:rPr>
          <w:sz w:val="21"/>
        </w:rPr>
      </w:pPr>
      <w:r>
        <w:rPr>
          <w:sz w:val="21"/>
        </w:rPr>
        <w:t>一次风机设备规范；</w:t>
      </w:r>
    </w:p>
    <w:p>
      <w:pPr>
        <w:pStyle w:val="ListParagraph"/>
        <w:numPr>
          <w:ilvl w:val="4"/>
          <w:numId w:val="35"/>
        </w:numPr>
        <w:tabs>
          <w:tab w:val="left" w:pos="1412"/>
          <w:tab w:val="left" w:pos="1413"/>
        </w:tabs>
        <w:spacing w:before="4" w:after="0" w:line="242" w:lineRule="auto"/>
        <w:ind w:left="1412" w:right="215" w:hanging="425"/>
        <w:jc w:val="left"/>
        <w:rPr>
          <w:sz w:val="21"/>
        </w:rPr>
      </w:pPr>
      <w:r>
        <w:rPr>
          <w:sz w:val="21"/>
        </w:rPr>
        <w:t>一次风机及其相关空气管道、阀门的就地布置；其中包括电机、风机、传动机构、出入口管路、挡板，熟悉电动门分布；</w:t>
      </w:r>
    </w:p>
    <w:p>
      <w:pPr>
        <w:pStyle w:val="ListParagraph"/>
        <w:numPr>
          <w:ilvl w:val="4"/>
          <w:numId w:val="35"/>
        </w:numPr>
        <w:tabs>
          <w:tab w:val="left" w:pos="1412"/>
          <w:tab w:val="left" w:pos="1413"/>
        </w:tabs>
        <w:spacing w:before="1" w:after="0" w:line="242" w:lineRule="auto"/>
        <w:ind w:left="1412" w:right="215" w:hanging="425"/>
        <w:jc w:val="left"/>
        <w:rPr>
          <w:sz w:val="21"/>
        </w:rPr>
      </w:pPr>
      <w:r>
        <w:rPr>
          <w:sz w:val="21"/>
        </w:rPr>
        <w:t>远控和就地一次风机相关表计的位置、量程及代表的含义和正常指示范围，熟知相关报警；</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一次风机启动逻辑条件和紧急停运条件；</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一次风机启动准备阶段的检查和操作；</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一次风机启动操作和注意事项及两台风机并列运行操作；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一次风机运行中监视、调整要点；</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运行中的巡回检查要点和异常现象；</w:t>
      </w:r>
    </w:p>
    <w:p>
      <w:pPr>
        <w:pStyle w:val="ListParagraph"/>
        <w:numPr>
          <w:ilvl w:val="4"/>
          <w:numId w:val="35"/>
        </w:numPr>
        <w:tabs>
          <w:tab w:val="left" w:pos="1413"/>
        </w:tabs>
        <w:spacing w:before="2" w:after="0" w:line="240" w:lineRule="auto"/>
        <w:ind w:left="1412" w:right="0" w:hanging="425"/>
        <w:jc w:val="left"/>
        <w:rPr>
          <w:sz w:val="21"/>
        </w:rPr>
      </w:pPr>
      <w:r>
        <w:rPr>
          <w:sz w:val="21"/>
        </w:rPr>
        <w:t>一次风机电机（变频器）、各电动门的停送电操作，掌握电动门的传动方法；</w:t>
      </w:r>
    </w:p>
    <w:p>
      <w:pPr>
        <w:pStyle w:val="ListParagraph"/>
        <w:numPr>
          <w:ilvl w:val="4"/>
          <w:numId w:val="35"/>
        </w:numPr>
        <w:tabs>
          <w:tab w:val="left" w:pos="1413"/>
        </w:tabs>
        <w:spacing w:before="2" w:after="0" w:line="240" w:lineRule="auto"/>
        <w:ind w:left="1412" w:right="0" w:hanging="425"/>
        <w:jc w:val="left"/>
        <w:rPr>
          <w:sz w:val="21"/>
        </w:rPr>
      </w:pPr>
      <w:r>
        <w:rPr>
          <w:sz w:val="21"/>
        </w:rPr>
        <w:t>一次风机电机（变频器）电源、各电动门电源分配及就地位置和开关、刀闸的型式。</w:t>
      </w:r>
    </w:p>
    <w:p>
      <w:pPr>
        <w:pStyle w:val="ListParagraph"/>
        <w:numPr>
          <w:ilvl w:val="3"/>
          <w:numId w:val="35"/>
        </w:numPr>
        <w:tabs>
          <w:tab w:val="left" w:pos="1083"/>
          <w:tab w:val="left" w:pos="1084"/>
        </w:tabs>
        <w:spacing w:before="125" w:after="0" w:line="240" w:lineRule="auto"/>
        <w:ind w:left="1084" w:right="0" w:hanging="946"/>
        <w:jc w:val="left"/>
        <w:rPr>
          <w:rFonts w:ascii="黑体" w:eastAsia="黑体" w:hint="eastAsia"/>
          <w:sz w:val="21"/>
        </w:rPr>
      </w:pPr>
      <w:bookmarkStart w:id="31" w:name="5.2.2.5　除尘器"/>
      <w:bookmarkEnd w:id="31"/>
      <w:r>
        <w:rPr>
          <w:rFonts w:ascii="黑体" w:eastAsia="黑体" w:hint="eastAsia"/>
          <w:sz w:val="21"/>
        </w:rPr>
        <w:t>除尘器</w:t>
      </w:r>
    </w:p>
    <w:p>
      <w:pPr>
        <w:pStyle w:val="BodyText"/>
        <w:spacing w:before="122"/>
        <w:ind w:left="558" w:firstLine="0"/>
      </w:pPr>
      <w:r>
        <w:t>除尘器的培训内容应包括但不限于以下项目：</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除尘器设备规范；</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除尘器的结构和工作原理；</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除尘器的就地布置；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除尘器状态指示，熟知相关报警；</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除尘器投运、停运条件；</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除尘器投、停原则；</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除尘变停运、隔离及送电、恢复操作。</w:t>
      </w:r>
    </w:p>
    <w:p>
      <w:pPr>
        <w:pStyle w:val="ListParagraph"/>
        <w:numPr>
          <w:ilvl w:val="2"/>
          <w:numId w:val="35"/>
        </w:numPr>
        <w:tabs>
          <w:tab w:val="left" w:pos="872"/>
          <w:tab w:val="left" w:pos="873"/>
        </w:tabs>
        <w:spacing w:before="123" w:after="0" w:line="240" w:lineRule="auto"/>
        <w:ind w:left="872" w:right="0" w:hanging="735"/>
        <w:jc w:val="left"/>
        <w:rPr>
          <w:rFonts w:ascii="黑体" w:eastAsia="黑体" w:hint="eastAsia"/>
          <w:sz w:val="21"/>
        </w:rPr>
      </w:pPr>
      <w:bookmarkStart w:id="32" w:name="5.2.3　燃烧系统"/>
      <w:bookmarkEnd w:id="32"/>
      <w:r>
        <w:rPr>
          <w:rFonts w:ascii="黑体" w:eastAsia="黑体" w:hint="eastAsia"/>
          <w:sz w:val="21"/>
        </w:rPr>
        <w:t>燃烧系统</w:t>
      </w:r>
    </w:p>
    <w:p>
      <w:pPr>
        <w:pStyle w:val="ListParagraph"/>
        <w:numPr>
          <w:ilvl w:val="3"/>
          <w:numId w:val="35"/>
        </w:numPr>
        <w:tabs>
          <w:tab w:val="left" w:pos="1083"/>
          <w:tab w:val="left" w:pos="1084"/>
        </w:tabs>
        <w:spacing w:before="124" w:after="0" w:line="240" w:lineRule="auto"/>
        <w:ind w:left="1084" w:right="0" w:hanging="946"/>
        <w:jc w:val="left"/>
        <w:rPr>
          <w:rFonts w:ascii="黑体" w:eastAsia="黑体" w:hint="eastAsia"/>
          <w:sz w:val="21"/>
        </w:rPr>
      </w:pPr>
      <w:bookmarkStart w:id="33" w:name="5.2.3.1　燃油系统"/>
      <w:bookmarkEnd w:id="33"/>
      <w:r>
        <w:rPr>
          <w:rFonts w:ascii="黑体" w:eastAsia="黑体" w:hint="eastAsia"/>
          <w:sz w:val="21"/>
        </w:rPr>
        <w:t>燃油系统</w:t>
      </w:r>
    </w:p>
    <w:p>
      <w:pPr>
        <w:pStyle w:val="BodyText"/>
        <w:spacing w:before="122"/>
        <w:ind w:left="558" w:firstLine="0"/>
      </w:pPr>
      <w:r>
        <w:t>燃油系统的培训内容应包括但不限于以下项目：</w:t>
      </w:r>
    </w:p>
    <w:p>
      <w:pPr>
        <w:pStyle w:val="ListParagraph"/>
        <w:numPr>
          <w:ilvl w:val="4"/>
          <w:numId w:val="35"/>
        </w:numPr>
        <w:tabs>
          <w:tab w:val="left" w:pos="1412"/>
          <w:tab w:val="left" w:pos="1413"/>
        </w:tabs>
        <w:spacing w:before="5" w:after="0" w:line="242" w:lineRule="auto"/>
        <w:ind w:left="1412" w:right="215" w:hanging="425"/>
        <w:jc w:val="left"/>
        <w:rPr>
          <w:sz w:val="21"/>
        </w:rPr>
      </w:pPr>
      <w:r>
        <w:rPr>
          <w:sz w:val="21"/>
        </w:rPr>
        <w:t>燃油系统设备规范（包括油管路、燃油速断阀、油枪分路阀、油枪、点火枪、吹扫系统等）；</w:t>
      </w:r>
    </w:p>
    <w:p>
      <w:pPr>
        <w:pStyle w:val="ListParagraph"/>
        <w:numPr>
          <w:ilvl w:val="4"/>
          <w:numId w:val="35"/>
        </w:numPr>
        <w:tabs>
          <w:tab w:val="left" w:pos="1412"/>
          <w:tab w:val="left" w:pos="1413"/>
        </w:tabs>
        <w:spacing w:before="1" w:after="0" w:line="242" w:lineRule="auto"/>
        <w:ind w:left="1412" w:right="215" w:hanging="425"/>
        <w:jc w:val="left"/>
        <w:rPr>
          <w:sz w:val="21"/>
        </w:rPr>
      </w:pPr>
      <w:r>
        <w:rPr>
          <w:sz w:val="21"/>
        </w:rPr>
        <w:t>燃油系统的就地布置，其中包括油管路、燃油速断阀、油枪分路阀、油枪、点火枪、吹扫系统；</w:t>
      </w:r>
    </w:p>
    <w:p>
      <w:pPr>
        <w:pStyle w:val="ListParagraph"/>
        <w:numPr>
          <w:ilvl w:val="4"/>
          <w:numId w:val="35"/>
        </w:numPr>
        <w:tabs>
          <w:tab w:val="left" w:pos="1412"/>
          <w:tab w:val="left" w:pos="1413"/>
        </w:tabs>
        <w:spacing w:before="1" w:after="0" w:line="242" w:lineRule="auto"/>
        <w:ind w:left="1412" w:right="215" w:hanging="425"/>
        <w:jc w:val="left"/>
        <w:rPr>
          <w:sz w:val="21"/>
        </w:rPr>
      </w:pPr>
      <w:r>
        <w:rPr>
          <w:sz w:val="21"/>
        </w:rPr>
        <w:t>远控和就地燃油系统相关表计的位置、量程及代表的含义和正常指示范围，熟知相关报警；</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燃油系统投运、解列条件；</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运行中的巡回检查要点和异常现象；</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燃油系统停运、隔离的操作；</w:t>
      </w:r>
    </w:p>
    <w:p>
      <w:pPr>
        <w:pStyle w:val="ListParagraph"/>
        <w:numPr>
          <w:ilvl w:val="4"/>
          <w:numId w:val="35"/>
        </w:numPr>
        <w:tabs>
          <w:tab w:val="left" w:pos="1412"/>
          <w:tab w:val="left" w:pos="1413"/>
        </w:tabs>
        <w:spacing w:before="3" w:after="0" w:line="240" w:lineRule="auto"/>
        <w:ind w:left="1412" w:right="0" w:hanging="425"/>
        <w:jc w:val="left"/>
        <w:rPr>
          <w:sz w:val="21"/>
        </w:rPr>
      </w:pPr>
      <w:r>
        <w:rPr>
          <w:sz w:val="21"/>
        </w:rPr>
        <w:t>掌握油枪投运点火操作（包括远控、就地点火操作）；</w:t>
      </w:r>
    </w:p>
    <w:p>
      <w:pPr>
        <w:spacing w:after="0" w:line="240" w:lineRule="auto"/>
        <w:jc w:val="left"/>
        <w:rPr>
          <w:sz w:val="21"/>
        </w:rPr>
        <w:sectPr>
          <w:footerReference w:type="default" r:id="rId22"/>
          <w:pgSz w:w="11910" w:h="16840"/>
          <w:pgMar w:top="1580" w:right="920" w:bottom="1340" w:left="1280" w:header="0" w:footer="1141"/>
          <w:pgNumType w:start="11"/>
          <w:cols w:space="708"/>
        </w:sectPr>
      </w:pPr>
    </w:p>
    <w:p>
      <w:pPr>
        <w:pStyle w:val="BodyText"/>
        <w:spacing w:before="5"/>
        <w:ind w:left="0" w:firstLine="0"/>
        <w:rPr>
          <w:sz w:val="20"/>
        </w:rPr>
      </w:pPr>
    </w:p>
    <w:p>
      <w:pPr>
        <w:pStyle w:val="ListParagraph"/>
        <w:numPr>
          <w:ilvl w:val="4"/>
          <w:numId w:val="35"/>
        </w:numPr>
        <w:tabs>
          <w:tab w:val="left" w:pos="1412"/>
          <w:tab w:val="left" w:pos="1413"/>
        </w:tabs>
        <w:spacing w:before="70" w:after="0" w:line="240" w:lineRule="auto"/>
        <w:ind w:left="1412" w:right="0" w:hanging="425"/>
        <w:jc w:val="left"/>
        <w:rPr>
          <w:sz w:val="21"/>
        </w:rPr>
      </w:pPr>
      <w:r>
        <w:rPr>
          <w:sz w:val="21"/>
        </w:rPr>
        <w:t>掌握就地观察着火情况，能够判断油燃烧工况是否良好。</w:t>
      </w:r>
    </w:p>
    <w:p>
      <w:pPr>
        <w:pStyle w:val="ListParagraph"/>
        <w:numPr>
          <w:ilvl w:val="3"/>
          <w:numId w:val="35"/>
        </w:numPr>
        <w:tabs>
          <w:tab w:val="left" w:pos="1083"/>
          <w:tab w:val="left" w:pos="1084"/>
        </w:tabs>
        <w:spacing w:before="122" w:after="0" w:line="240" w:lineRule="auto"/>
        <w:ind w:left="1084" w:right="0" w:hanging="946"/>
        <w:jc w:val="left"/>
        <w:rPr>
          <w:rFonts w:ascii="黑体" w:eastAsia="黑体" w:hint="eastAsia"/>
          <w:sz w:val="21"/>
        </w:rPr>
      </w:pPr>
      <w:bookmarkStart w:id="34" w:name="5.2.3.2　给煤系统"/>
      <w:bookmarkEnd w:id="34"/>
      <w:r>
        <w:rPr>
          <w:rFonts w:ascii="黑体" w:eastAsia="黑体" w:hint="eastAsia"/>
          <w:sz w:val="21"/>
        </w:rPr>
        <w:t>给煤系统</w:t>
      </w:r>
    </w:p>
    <w:p>
      <w:pPr>
        <w:pStyle w:val="BodyText"/>
        <w:spacing w:before="122"/>
        <w:ind w:left="978" w:firstLine="0"/>
      </w:pPr>
      <w:r>
        <w:t>给煤系统的培训内容应包括但不限于以下项目：</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给煤机、磨煤机的结构和工作原理；</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给煤机、磨煤机设备规范；</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给煤机、磨煤机运行中的巡回检查项目；</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给煤机、磨煤机相关表计的位置、量程及代表的含义和正常指示范围，熟知相关报警；</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给煤机、磨煤机启动逻辑条件和紧急停运条件；</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给煤量与机组负荷的对应关系，熟练掌握煤量调节操作手法；</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锅炉负荷调节原理和启停原则；</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各电机电源、各电动门电源分配及就地位置和开关、刀闸的型式；</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给煤系统启动前检查及准备阶段操作。</w:t>
      </w:r>
    </w:p>
    <w:p>
      <w:pPr>
        <w:pStyle w:val="ListParagraph"/>
        <w:numPr>
          <w:ilvl w:val="3"/>
          <w:numId w:val="35"/>
        </w:numPr>
        <w:tabs>
          <w:tab w:val="left" w:pos="1083"/>
          <w:tab w:val="left" w:pos="1084"/>
        </w:tabs>
        <w:spacing w:before="123" w:after="0" w:line="240" w:lineRule="auto"/>
        <w:ind w:left="1084" w:right="0" w:hanging="946"/>
        <w:jc w:val="left"/>
        <w:rPr>
          <w:rFonts w:ascii="黑体" w:eastAsia="黑体" w:hint="eastAsia"/>
          <w:sz w:val="21"/>
        </w:rPr>
      </w:pPr>
      <w:bookmarkStart w:id="35" w:name="5.2.3.3　压缩空气系统"/>
      <w:bookmarkEnd w:id="35"/>
      <w:r>
        <w:rPr>
          <w:rFonts w:ascii="黑体" w:eastAsia="黑体" w:hint="eastAsia"/>
          <w:sz w:val="21"/>
        </w:rPr>
        <w:t>压缩空气系统</w:t>
      </w:r>
    </w:p>
    <w:p>
      <w:pPr>
        <w:pStyle w:val="BodyText"/>
        <w:spacing w:before="124"/>
        <w:ind w:left="978" w:firstLine="0"/>
      </w:pPr>
      <w:r>
        <w:t>压缩空气系统的培训内容应包括但不限于以下项目：</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空压机及干燥机的工作过程；</w:t>
      </w:r>
    </w:p>
    <w:p>
      <w:pPr>
        <w:pStyle w:val="ListParagraph"/>
        <w:numPr>
          <w:ilvl w:val="4"/>
          <w:numId w:val="35"/>
        </w:numPr>
        <w:tabs>
          <w:tab w:val="left" w:pos="1412"/>
          <w:tab w:val="left" w:pos="1413"/>
        </w:tabs>
        <w:spacing w:before="5" w:after="0" w:line="240" w:lineRule="auto"/>
        <w:ind w:left="1412" w:right="0" w:hanging="425"/>
        <w:jc w:val="left"/>
        <w:rPr>
          <w:sz w:val="21"/>
        </w:rPr>
      </w:pPr>
      <w:r>
        <w:rPr>
          <w:sz w:val="21"/>
        </w:rPr>
        <w:t>空压机及干燥机的检查项目、维护操作；</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空压机房管道、阀门布置走向；</w:t>
      </w:r>
    </w:p>
    <w:p>
      <w:pPr>
        <w:pStyle w:val="ListParagraph"/>
        <w:numPr>
          <w:ilvl w:val="4"/>
          <w:numId w:val="35"/>
        </w:numPr>
        <w:tabs>
          <w:tab w:val="left" w:pos="1412"/>
          <w:tab w:val="left" w:pos="1413"/>
        </w:tabs>
        <w:spacing w:before="4" w:after="0" w:line="240" w:lineRule="auto"/>
        <w:ind w:left="1412" w:right="0" w:hanging="425"/>
        <w:jc w:val="left"/>
        <w:rPr>
          <w:sz w:val="21"/>
        </w:rPr>
      </w:pPr>
      <w:r>
        <w:rPr>
          <w:w w:val="95"/>
          <w:sz w:val="21"/>
        </w:rPr>
        <w:t>单元仪用压缩空气系统管道、阀门的就地布置走向；</w:t>
      </w:r>
    </w:p>
    <w:p>
      <w:pPr>
        <w:pStyle w:val="ListParagraph"/>
        <w:numPr>
          <w:ilvl w:val="4"/>
          <w:numId w:val="35"/>
        </w:numPr>
        <w:tabs>
          <w:tab w:val="left" w:pos="1412"/>
          <w:tab w:val="left" w:pos="1413"/>
        </w:tabs>
        <w:spacing w:before="3" w:after="0" w:line="240" w:lineRule="auto"/>
        <w:ind w:left="1412" w:right="0" w:hanging="425"/>
        <w:jc w:val="left"/>
        <w:rPr>
          <w:sz w:val="21"/>
        </w:rPr>
      </w:pPr>
      <w:r>
        <w:rPr>
          <w:w w:val="95"/>
          <w:sz w:val="21"/>
        </w:rPr>
        <w:t>单元杂用压缩空气系统管道、阀门的就地布置走向；</w:t>
      </w:r>
    </w:p>
    <w:p>
      <w:pPr>
        <w:pStyle w:val="ListParagraph"/>
        <w:numPr>
          <w:ilvl w:val="4"/>
          <w:numId w:val="35"/>
        </w:numPr>
        <w:tabs>
          <w:tab w:val="left" w:pos="1412"/>
          <w:tab w:val="left" w:pos="1413"/>
        </w:tabs>
        <w:spacing w:before="4" w:after="0" w:line="240" w:lineRule="auto"/>
        <w:ind w:left="1412" w:right="0" w:hanging="425"/>
        <w:jc w:val="left"/>
        <w:rPr>
          <w:sz w:val="21"/>
        </w:rPr>
      </w:pPr>
      <w:r>
        <w:rPr>
          <w:sz w:val="21"/>
        </w:rPr>
        <w:t>锅炉侧、汽机侧压缩空气用户；</w:t>
      </w:r>
    </w:p>
    <w:p>
      <w:pPr>
        <w:pStyle w:val="ListParagraph"/>
        <w:numPr>
          <w:ilvl w:val="4"/>
          <w:numId w:val="35"/>
        </w:numPr>
        <w:tabs>
          <w:tab w:val="left" w:pos="1412"/>
          <w:tab w:val="left" w:pos="1413"/>
        </w:tabs>
        <w:spacing w:before="2" w:after="0" w:line="240" w:lineRule="auto"/>
        <w:ind w:left="1412" w:right="0" w:hanging="425"/>
        <w:jc w:val="left"/>
        <w:rPr>
          <w:sz w:val="21"/>
        </w:rPr>
      </w:pPr>
      <w:r>
        <w:rPr>
          <w:w w:val="95"/>
          <w:sz w:val="21"/>
        </w:rPr>
        <w:t>仪用压缩空气和杂用压缩空气之间的区别与联系；</w:t>
      </w:r>
    </w:p>
    <w:p>
      <w:pPr>
        <w:pStyle w:val="ListParagraph"/>
        <w:numPr>
          <w:ilvl w:val="4"/>
          <w:numId w:val="35"/>
        </w:numPr>
        <w:tabs>
          <w:tab w:val="left" w:pos="1412"/>
          <w:tab w:val="left" w:pos="1413"/>
        </w:tabs>
        <w:spacing w:before="5" w:after="0" w:line="240" w:lineRule="auto"/>
        <w:ind w:left="1412" w:right="0" w:hanging="425"/>
        <w:jc w:val="left"/>
        <w:rPr>
          <w:sz w:val="21"/>
        </w:rPr>
      </w:pPr>
      <w:r>
        <w:rPr>
          <w:w w:val="95"/>
          <w:sz w:val="21"/>
        </w:rPr>
        <w:t>仪用压缩空气和杂用压缩空气系统正常运行方式；</w:t>
      </w:r>
    </w:p>
    <w:p>
      <w:pPr>
        <w:pStyle w:val="ListParagraph"/>
        <w:numPr>
          <w:ilvl w:val="4"/>
          <w:numId w:val="35"/>
        </w:numPr>
        <w:tabs>
          <w:tab w:val="left" w:pos="1412"/>
          <w:tab w:val="left" w:pos="1413"/>
        </w:tabs>
        <w:spacing w:before="2" w:after="0" w:line="240" w:lineRule="auto"/>
        <w:ind w:left="1412" w:right="0" w:hanging="425"/>
        <w:jc w:val="left"/>
        <w:rPr>
          <w:sz w:val="21"/>
        </w:rPr>
      </w:pPr>
      <w:r>
        <w:rPr>
          <w:sz w:val="21"/>
        </w:rPr>
        <w:t>螺杆式空压机的启、停操作步骤；</w:t>
      </w:r>
    </w:p>
    <w:p>
      <w:pPr>
        <w:pStyle w:val="ListParagraph"/>
        <w:numPr>
          <w:ilvl w:val="4"/>
          <w:numId w:val="35"/>
        </w:numPr>
        <w:tabs>
          <w:tab w:val="left" w:pos="1413"/>
        </w:tabs>
        <w:spacing w:before="2" w:after="0" w:line="240" w:lineRule="auto"/>
        <w:ind w:left="1412" w:right="0" w:hanging="425"/>
        <w:jc w:val="left"/>
        <w:rPr>
          <w:sz w:val="21"/>
        </w:rPr>
      </w:pPr>
      <w:r>
        <w:rPr>
          <w:sz w:val="21"/>
        </w:rPr>
        <w:t>螺杆式空压机的常见故障原因及排除方法。</w:t>
      </w:r>
    </w:p>
    <w:p>
      <w:pPr>
        <w:spacing w:before="125"/>
        <w:ind w:left="111" w:right="0" w:firstLine="0"/>
        <w:jc w:val="left"/>
        <w:rPr>
          <w:rFonts w:ascii="黑体" w:eastAsia="黑体" w:hint="eastAsia"/>
          <w:sz w:val="21"/>
        </w:rPr>
      </w:pPr>
      <w:r>
        <w:rPr>
          <w:position w:val="-1"/>
        </w:rPr>
        <w:drawing>
          <wp:inline distT="0" distB="0" distL="0" distR="0">
            <wp:extent cx="219493" cy="122167"/>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23" cstate="print"/>
                    <a:stretch>
                      <a:fillRect/>
                    </a:stretch>
                  </pic:blipFill>
                  <pic:spPr>
                    <a:xfrm>
                      <a:off x="0" y="0"/>
                      <a:ext cx="219493" cy="12216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36" w:name="5.3　电气部分"/>
      <w:bookmarkEnd w:id="36"/>
      <w:r>
        <w:rPr>
          <w:rFonts w:ascii="黑体" w:eastAsia="黑体" w:hint="eastAsia"/>
          <w:sz w:val="21"/>
        </w:rPr>
        <w:t>电气部分</w:t>
      </w:r>
    </w:p>
    <w:p>
      <w:pPr>
        <w:pStyle w:val="ListParagraph"/>
        <w:numPr>
          <w:ilvl w:val="2"/>
          <w:numId w:val="34"/>
        </w:numPr>
        <w:tabs>
          <w:tab w:val="left" w:pos="872"/>
          <w:tab w:val="left" w:pos="873"/>
        </w:tabs>
        <w:spacing w:before="122" w:after="0" w:line="240" w:lineRule="auto"/>
        <w:ind w:left="872" w:right="0" w:hanging="735"/>
        <w:jc w:val="left"/>
        <w:rPr>
          <w:rFonts w:ascii="黑体" w:eastAsia="黑体" w:hint="eastAsia"/>
          <w:sz w:val="21"/>
        </w:rPr>
      </w:pPr>
      <w:bookmarkStart w:id="37" w:name="5.3.1　厂用电"/>
      <w:bookmarkEnd w:id="37"/>
      <w:r>
        <w:rPr>
          <w:rFonts w:ascii="黑体" w:eastAsia="黑体" w:hint="eastAsia"/>
          <w:sz w:val="21"/>
        </w:rPr>
        <w:t>厂用电</w:t>
      </w:r>
    </w:p>
    <w:p>
      <w:pPr>
        <w:pStyle w:val="ListParagraph"/>
        <w:numPr>
          <w:ilvl w:val="3"/>
          <w:numId w:val="34"/>
        </w:numPr>
        <w:tabs>
          <w:tab w:val="left" w:pos="1083"/>
          <w:tab w:val="left" w:pos="1084"/>
        </w:tabs>
        <w:spacing w:before="124" w:after="0" w:line="240" w:lineRule="auto"/>
        <w:ind w:left="1084" w:right="0" w:hanging="946"/>
        <w:jc w:val="left"/>
        <w:rPr>
          <w:rFonts w:ascii="黑体" w:eastAsia="黑体" w:hint="eastAsia"/>
          <w:sz w:val="21"/>
        </w:rPr>
      </w:pPr>
      <w:bookmarkStart w:id="38" w:name="5.3.1.1　380V配电装置"/>
      <w:bookmarkEnd w:id="38"/>
      <w:r>
        <w:rPr>
          <w:rFonts w:ascii="黑体" w:eastAsia="黑体" w:hint="eastAsia"/>
          <w:sz w:val="21"/>
        </w:rPr>
        <w:t>3</w:t>
      </w:r>
      <w:r>
        <w:rPr>
          <w:rFonts w:ascii="黑体" w:eastAsia="黑体" w:hint="eastAsia"/>
          <w:sz w:val="21"/>
        </w:rPr>
        <w:t>80V</w:t>
      </w:r>
      <w:r>
        <w:rPr>
          <w:rFonts w:ascii="黑体" w:eastAsia="黑体" w:hint="eastAsia"/>
          <w:spacing w:val="-12"/>
          <w:sz w:val="21"/>
        </w:rPr>
        <w:t xml:space="preserve"> 配电装置</w:t>
      </w:r>
    </w:p>
    <w:p>
      <w:pPr>
        <w:pStyle w:val="BodyText"/>
        <w:spacing w:before="125"/>
        <w:ind w:left="558" w:firstLine="0"/>
      </w:pPr>
      <w:r>
        <w:t>380V配电装置的培训内容应包括但不限于以下项目：</w:t>
      </w:r>
    </w:p>
    <w:p>
      <w:pPr>
        <w:pStyle w:val="ListParagraph"/>
        <w:numPr>
          <w:ilvl w:val="4"/>
          <w:numId w:val="34"/>
        </w:numPr>
        <w:tabs>
          <w:tab w:val="left" w:pos="1412"/>
          <w:tab w:val="left" w:pos="1413"/>
        </w:tabs>
        <w:spacing w:before="2" w:after="0" w:line="240" w:lineRule="auto"/>
        <w:ind w:left="1412" w:right="0" w:hanging="425"/>
        <w:jc w:val="left"/>
        <w:rPr>
          <w:sz w:val="21"/>
        </w:rPr>
      </w:pPr>
      <w:r>
        <w:rPr>
          <w:sz w:val="21"/>
        </w:rPr>
        <w:t>隔离开关的结构和工作原理；</w:t>
      </w:r>
    </w:p>
    <w:p>
      <w:pPr>
        <w:pStyle w:val="ListParagraph"/>
        <w:numPr>
          <w:ilvl w:val="4"/>
          <w:numId w:val="34"/>
        </w:numPr>
        <w:tabs>
          <w:tab w:val="left" w:pos="1412"/>
          <w:tab w:val="left" w:pos="1413"/>
        </w:tabs>
        <w:spacing w:before="2" w:after="0" w:line="240" w:lineRule="auto"/>
        <w:ind w:left="1412" w:right="0" w:hanging="425"/>
        <w:jc w:val="left"/>
        <w:rPr>
          <w:sz w:val="21"/>
        </w:rPr>
      </w:pPr>
      <w:r>
        <w:rPr>
          <w:sz w:val="21"/>
        </w:rPr>
        <w:t>接触器的结构和工作原理；</w:t>
      </w:r>
    </w:p>
    <w:p>
      <w:pPr>
        <w:pStyle w:val="ListParagraph"/>
        <w:numPr>
          <w:ilvl w:val="4"/>
          <w:numId w:val="34"/>
        </w:numPr>
        <w:tabs>
          <w:tab w:val="left" w:pos="1412"/>
          <w:tab w:val="left" w:pos="1413"/>
        </w:tabs>
        <w:spacing w:before="5" w:after="0" w:line="240" w:lineRule="auto"/>
        <w:ind w:left="1412" w:right="0" w:hanging="425"/>
        <w:jc w:val="left"/>
        <w:rPr>
          <w:sz w:val="21"/>
        </w:rPr>
      </w:pPr>
      <w:r>
        <w:rPr>
          <w:sz w:val="21"/>
        </w:rPr>
        <w:t>空气断路器的结构和工作原理；</w:t>
      </w:r>
    </w:p>
    <w:p>
      <w:pPr>
        <w:pStyle w:val="ListParagraph"/>
        <w:numPr>
          <w:ilvl w:val="4"/>
          <w:numId w:val="34"/>
        </w:numPr>
        <w:tabs>
          <w:tab w:val="left" w:pos="1412"/>
          <w:tab w:val="left" w:pos="1413"/>
        </w:tabs>
        <w:spacing w:before="2" w:after="0" w:line="240" w:lineRule="auto"/>
        <w:ind w:left="1412" w:right="0" w:hanging="425"/>
        <w:jc w:val="left"/>
        <w:rPr>
          <w:sz w:val="21"/>
        </w:rPr>
      </w:pPr>
      <w:r>
        <w:rPr>
          <w:sz w:val="21"/>
        </w:rPr>
        <w:t>电气第二种工作票的填写范围及许可要求；</w:t>
      </w:r>
    </w:p>
    <w:p>
      <w:pPr>
        <w:pStyle w:val="ListParagraph"/>
        <w:numPr>
          <w:ilvl w:val="4"/>
          <w:numId w:val="34"/>
        </w:numPr>
        <w:tabs>
          <w:tab w:val="left" w:pos="1412"/>
          <w:tab w:val="left" w:pos="1413"/>
        </w:tabs>
        <w:spacing w:before="4" w:after="0" w:line="240" w:lineRule="auto"/>
        <w:ind w:left="1412" w:right="0" w:hanging="425"/>
        <w:jc w:val="left"/>
        <w:rPr>
          <w:sz w:val="21"/>
        </w:rPr>
      </w:pPr>
      <w:r>
        <w:rPr>
          <w:sz w:val="21"/>
        </w:rPr>
        <w:t>380V</w:t>
      </w:r>
      <w:r>
        <w:rPr>
          <w:spacing w:val="-8"/>
          <w:sz w:val="21"/>
        </w:rPr>
        <w:t xml:space="preserve"> 配电装置一次设备的组成及设备规范；</w:t>
      </w:r>
    </w:p>
    <w:p>
      <w:pPr>
        <w:pStyle w:val="ListParagraph"/>
        <w:numPr>
          <w:ilvl w:val="4"/>
          <w:numId w:val="34"/>
        </w:numPr>
        <w:tabs>
          <w:tab w:val="left" w:pos="1412"/>
          <w:tab w:val="left" w:pos="1413"/>
        </w:tabs>
        <w:spacing w:before="2" w:after="0" w:line="240" w:lineRule="auto"/>
        <w:ind w:left="1412" w:right="0" w:hanging="425"/>
        <w:jc w:val="left"/>
        <w:rPr>
          <w:sz w:val="21"/>
        </w:rPr>
      </w:pPr>
      <w:r>
        <w:rPr>
          <w:sz w:val="21"/>
        </w:rPr>
        <w:t>380V</w:t>
      </w:r>
      <w:r>
        <w:rPr>
          <w:spacing w:val="-8"/>
          <w:sz w:val="21"/>
        </w:rPr>
        <w:t xml:space="preserve"> 厂用电系统的运行方式；</w:t>
      </w:r>
    </w:p>
    <w:p>
      <w:pPr>
        <w:pStyle w:val="ListParagraph"/>
        <w:numPr>
          <w:ilvl w:val="4"/>
          <w:numId w:val="34"/>
        </w:numPr>
        <w:tabs>
          <w:tab w:val="left" w:pos="1412"/>
          <w:tab w:val="left" w:pos="1413"/>
        </w:tabs>
        <w:spacing w:before="5" w:after="0" w:line="240" w:lineRule="auto"/>
        <w:ind w:left="1412" w:right="0" w:hanging="425"/>
        <w:jc w:val="left"/>
        <w:rPr>
          <w:sz w:val="21"/>
        </w:rPr>
      </w:pPr>
      <w:r>
        <w:rPr>
          <w:sz w:val="21"/>
        </w:rPr>
        <w:t>厂用电操作原则；</w:t>
      </w:r>
    </w:p>
    <w:p>
      <w:pPr>
        <w:pStyle w:val="ListParagraph"/>
        <w:numPr>
          <w:ilvl w:val="4"/>
          <w:numId w:val="34"/>
        </w:numPr>
        <w:tabs>
          <w:tab w:val="left" w:pos="1412"/>
          <w:tab w:val="left" w:pos="1413"/>
        </w:tabs>
        <w:spacing w:before="2" w:after="0" w:line="240" w:lineRule="auto"/>
        <w:ind w:left="1412" w:right="0" w:hanging="425"/>
        <w:jc w:val="left"/>
        <w:rPr>
          <w:sz w:val="21"/>
        </w:rPr>
      </w:pPr>
      <w:r>
        <w:rPr>
          <w:sz w:val="21"/>
        </w:rPr>
        <w:t>380V</w:t>
      </w:r>
      <w:r>
        <w:rPr>
          <w:spacing w:val="-8"/>
          <w:sz w:val="21"/>
        </w:rPr>
        <w:t xml:space="preserve"> 配电装置正常检查项目；</w:t>
      </w:r>
    </w:p>
    <w:p>
      <w:pPr>
        <w:pStyle w:val="ListParagraph"/>
        <w:numPr>
          <w:ilvl w:val="4"/>
          <w:numId w:val="34"/>
        </w:numPr>
        <w:tabs>
          <w:tab w:val="left" w:pos="1412"/>
          <w:tab w:val="left" w:pos="1413"/>
        </w:tabs>
        <w:spacing w:before="5" w:after="0" w:line="240" w:lineRule="auto"/>
        <w:ind w:left="1412" w:right="0" w:hanging="425"/>
        <w:jc w:val="left"/>
        <w:rPr>
          <w:sz w:val="21"/>
        </w:rPr>
      </w:pPr>
      <w:r>
        <w:rPr>
          <w:sz w:val="21"/>
        </w:rPr>
        <w:t>380V</w:t>
      </w:r>
      <w:r>
        <w:rPr>
          <w:spacing w:val="-8"/>
          <w:sz w:val="21"/>
        </w:rPr>
        <w:t xml:space="preserve"> 厂用系统电源正常倒换及事故情况下的电源切换；</w:t>
      </w:r>
    </w:p>
    <w:p>
      <w:pPr>
        <w:pStyle w:val="ListParagraph"/>
        <w:numPr>
          <w:ilvl w:val="4"/>
          <w:numId w:val="34"/>
        </w:numPr>
        <w:tabs>
          <w:tab w:val="left" w:pos="1413"/>
        </w:tabs>
        <w:spacing w:before="2" w:after="0" w:line="240" w:lineRule="auto"/>
        <w:ind w:left="1412" w:right="0" w:hanging="425"/>
        <w:jc w:val="left"/>
        <w:rPr>
          <w:sz w:val="21"/>
        </w:rPr>
      </w:pPr>
      <w:r>
        <w:rPr>
          <w:sz w:val="21"/>
        </w:rPr>
        <w:t>380V</w:t>
      </w:r>
      <w:r>
        <w:rPr>
          <w:spacing w:val="-8"/>
          <w:sz w:val="21"/>
        </w:rPr>
        <w:t xml:space="preserve"> 系统一点接地的查找步骤及注意事项；</w:t>
      </w:r>
    </w:p>
    <w:p>
      <w:pPr>
        <w:pStyle w:val="ListParagraph"/>
        <w:numPr>
          <w:ilvl w:val="4"/>
          <w:numId w:val="34"/>
        </w:numPr>
        <w:tabs>
          <w:tab w:val="left" w:pos="1413"/>
        </w:tabs>
        <w:spacing w:before="4" w:after="0" w:line="240" w:lineRule="auto"/>
        <w:ind w:left="1412" w:right="0" w:hanging="425"/>
        <w:jc w:val="left"/>
        <w:rPr>
          <w:sz w:val="21"/>
        </w:rPr>
      </w:pPr>
      <w:r>
        <w:rPr>
          <w:sz w:val="21"/>
        </w:rPr>
        <w:t>380V</w:t>
      </w:r>
      <w:r>
        <w:rPr>
          <w:spacing w:val="-8"/>
          <w:sz w:val="21"/>
        </w:rPr>
        <w:t xml:space="preserve"> 母线清扫的检修及恢复措施布置；</w:t>
      </w:r>
    </w:p>
    <w:p>
      <w:pPr>
        <w:pStyle w:val="ListParagraph"/>
        <w:numPr>
          <w:ilvl w:val="4"/>
          <w:numId w:val="34"/>
        </w:numPr>
        <w:tabs>
          <w:tab w:val="left" w:pos="1413"/>
        </w:tabs>
        <w:spacing w:before="2" w:after="0" w:line="240" w:lineRule="auto"/>
        <w:ind w:left="1412" w:right="0" w:hanging="425"/>
        <w:jc w:val="left"/>
        <w:rPr>
          <w:sz w:val="21"/>
        </w:rPr>
      </w:pPr>
      <w:r>
        <w:rPr>
          <w:sz w:val="21"/>
        </w:rPr>
        <w:t>380V</w:t>
      </w:r>
      <w:r>
        <w:rPr>
          <w:spacing w:val="-8"/>
          <w:sz w:val="21"/>
        </w:rPr>
        <w:t xml:space="preserve"> 系统相关操作的危险点预控；</w:t>
      </w:r>
    </w:p>
    <w:p>
      <w:pPr>
        <w:pStyle w:val="ListParagraph"/>
        <w:numPr>
          <w:ilvl w:val="4"/>
          <w:numId w:val="34"/>
        </w:numPr>
        <w:tabs>
          <w:tab w:val="left" w:pos="1413"/>
        </w:tabs>
        <w:spacing w:before="5" w:after="0" w:line="240" w:lineRule="auto"/>
        <w:ind w:left="1412" w:right="0" w:hanging="425"/>
        <w:jc w:val="left"/>
        <w:rPr>
          <w:sz w:val="21"/>
        </w:rPr>
      </w:pPr>
      <w:r>
        <w:rPr>
          <w:sz w:val="21"/>
        </w:rPr>
        <w:t>验电笔、验电器、钳形电流表、兆欧表、万用表等工器具的正确使用方法；</w:t>
      </w:r>
    </w:p>
    <w:p>
      <w:pPr>
        <w:pStyle w:val="ListParagraph"/>
        <w:numPr>
          <w:ilvl w:val="4"/>
          <w:numId w:val="34"/>
        </w:numPr>
        <w:tabs>
          <w:tab w:val="left" w:pos="1413"/>
        </w:tabs>
        <w:spacing w:before="2" w:after="0" w:line="240" w:lineRule="auto"/>
        <w:ind w:left="1412" w:right="0" w:hanging="425"/>
        <w:jc w:val="left"/>
        <w:rPr>
          <w:sz w:val="21"/>
        </w:rPr>
      </w:pPr>
      <w:r>
        <w:rPr>
          <w:sz w:val="21"/>
        </w:rPr>
        <w:t>380V</w:t>
      </w:r>
      <w:r>
        <w:rPr>
          <w:spacing w:val="-8"/>
          <w:sz w:val="21"/>
        </w:rPr>
        <w:t xml:space="preserve"> 系统相关设备的验电、装设接地线的正确操作方法；</w:t>
      </w:r>
    </w:p>
    <w:p>
      <w:pPr>
        <w:pStyle w:val="ListParagraph"/>
        <w:numPr>
          <w:ilvl w:val="4"/>
          <w:numId w:val="34"/>
        </w:numPr>
        <w:tabs>
          <w:tab w:val="left" w:pos="1413"/>
        </w:tabs>
        <w:spacing w:before="5" w:after="0" w:line="240" w:lineRule="auto"/>
        <w:ind w:left="1412" w:right="0" w:hanging="425"/>
        <w:jc w:val="left"/>
        <w:rPr>
          <w:sz w:val="21"/>
        </w:rPr>
      </w:pPr>
      <w:r>
        <w:rPr>
          <w:sz w:val="21"/>
        </w:rPr>
        <w:t>380V</w:t>
      </w:r>
      <w:r>
        <w:rPr>
          <w:spacing w:val="-8"/>
          <w:sz w:val="21"/>
        </w:rPr>
        <w:t xml:space="preserve"> 负荷开关停、送电操作；</w:t>
      </w:r>
    </w:p>
    <w:p>
      <w:pPr>
        <w:pStyle w:val="ListParagraph"/>
        <w:numPr>
          <w:ilvl w:val="4"/>
          <w:numId w:val="34"/>
        </w:numPr>
        <w:tabs>
          <w:tab w:val="left" w:pos="1413"/>
        </w:tabs>
        <w:spacing w:before="2" w:after="0" w:line="240" w:lineRule="auto"/>
        <w:ind w:left="1412" w:right="0" w:hanging="425"/>
        <w:jc w:val="left"/>
        <w:rPr>
          <w:sz w:val="21"/>
        </w:rPr>
      </w:pPr>
      <w:r>
        <w:rPr>
          <w:sz w:val="21"/>
        </w:rPr>
        <w:t>380V</w:t>
      </w:r>
      <w:r>
        <w:rPr>
          <w:spacing w:val="-8"/>
          <w:sz w:val="21"/>
        </w:rPr>
        <w:t xml:space="preserve"> 电源开关停、送电操作；</w:t>
      </w:r>
    </w:p>
    <w:p>
      <w:pPr>
        <w:pStyle w:val="ListParagraph"/>
        <w:numPr>
          <w:ilvl w:val="4"/>
          <w:numId w:val="34"/>
        </w:numPr>
        <w:tabs>
          <w:tab w:val="left" w:pos="1413"/>
        </w:tabs>
        <w:spacing w:before="4" w:after="0" w:line="240" w:lineRule="auto"/>
        <w:ind w:left="1412" w:right="0" w:hanging="425"/>
        <w:jc w:val="left"/>
        <w:rPr>
          <w:sz w:val="21"/>
        </w:rPr>
        <w:sectPr>
          <w:footerReference w:type="default" r:id="rId24"/>
          <w:pgSz w:w="11910" w:h="16840"/>
          <w:pgMar w:top="1580" w:right="920" w:bottom="1340" w:left="1280" w:header="0" w:footer="1141"/>
          <w:pgNumType w:start="12"/>
          <w:cols w:space="708"/>
        </w:sectPr>
      </w:pPr>
      <w:r>
        <w:rPr>
          <w:sz w:val="21"/>
        </w:rPr>
        <w:t>380V</w:t>
      </w:r>
      <w:r>
        <w:rPr>
          <w:spacing w:val="-27"/>
          <w:sz w:val="21"/>
        </w:rPr>
        <w:t xml:space="preserve"> 母线 </w:t>
      </w:r>
      <w:r>
        <w:rPr>
          <w:sz w:val="21"/>
        </w:rPr>
        <w:t>PT</w:t>
      </w:r>
      <w:r>
        <w:rPr>
          <w:spacing w:val="-8"/>
          <w:sz w:val="21"/>
        </w:rPr>
        <w:t xml:space="preserve"> 的投、退操作；</w:t>
      </w:r>
    </w:p>
    <w:p>
      <w:pPr>
        <w:pStyle w:val="ListParagraph"/>
        <w:numPr>
          <w:ilvl w:val="4"/>
          <w:numId w:val="34"/>
        </w:numPr>
        <w:tabs>
          <w:tab w:val="left" w:pos="1413"/>
        </w:tabs>
        <w:spacing w:before="2" w:after="0" w:line="240" w:lineRule="auto"/>
        <w:ind w:left="1412" w:right="0" w:hanging="425"/>
        <w:jc w:val="left"/>
        <w:rPr>
          <w:sz w:val="21"/>
        </w:rPr>
      </w:pPr>
      <w:r>
        <w:rPr>
          <w:sz w:val="21"/>
        </w:rPr>
        <w:t>380V</w:t>
      </w:r>
      <w:r>
        <w:rPr>
          <w:spacing w:val="-8"/>
          <w:sz w:val="21"/>
        </w:rPr>
        <w:t xml:space="preserve"> 电气设备的倒闸操作票的正确填写。</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https://d.book118.com/958127104065006037</w:t>
        </w:r>
      </w:hyperlink>
    </w:p>
    <w:p>
      <w:pPr>
        <w:spacing w:after="0" w:line="240" w:lineRule="auto"/>
        <w:jc w:val="left"/>
        <w:rPr>
          <w:sz w:val="21"/>
        </w:rPr>
      </w:pPr>
    </w:p>
    <w:sectPr>
      <w:footerReference w:type="default" r:id="rId26"/>
      <w:type w:val="nextPage"/>
      <w:pgSz w:w="11910" w:h="16840"/>
      <w:pgMar w:top="1580" w:right="920" w:bottom="1340" w:left="1280" w:header="0" w:footer="1141"/>
      <w:pgNumType w:start="13"/>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49" type="#_x0000_t202" style="width:6.5pt;height:11pt;margin-top:773.83pt;margin-left:521.72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0" type="#_x0000_t202" style="width:15.1pt;height:11pt;margin-top:773.83pt;margin-left:515.28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1" type="#_x0000_t202" style="width:15.1pt;height:11pt;margin-top:773.83pt;margin-left:515.28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2" type="#_x0000_t202" style="width:15.1pt;height:11pt;margin-top:773.83pt;margin-left:515.28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3" type="#_x0000_t202" style="width:15.1pt;height:11pt;margin-top:773.83pt;margin-left:515.28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4" type="#_x0000_t202" style="width:15.1pt;height:11pt;margin-top:773.83pt;margin-left:515.28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5" type="#_x0000_t202" style="width:15.1pt;height:11pt;margin-top:773.83pt;margin-left:515.28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6" type="#_x0000_t202" style="width:15.1pt;height:11pt;margin-top:773.83pt;margin-left:515.28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7" type="#_x0000_t202" style="width:15.1pt;height:11pt;margin-top:773.83pt;margin-left:515.28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8" type="#_x0000_t202" style="width:15.1pt;height:11pt;margin-top:773.83pt;margin-left:515.28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59" type="#_x0000_t202" style="width:15.1pt;height:11pt;margin-top:773.83pt;margin-left:515.28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0" type="#_x0000_t202" style="width:15.1pt;height:11pt;margin-top:773.83pt;margin-left:515.28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1" type="#_x0000_t202" style="width:15.1pt;height:11pt;margin-top:773.83pt;margin-left:515.28pt;mso-position-horizontal-relative:page;mso-position-vertical-relative:page;position:absolute;z-index:-25164595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12</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firstLine="0"/>
      <w:rPr>
        <w:sz w:val="20"/>
      </w:rPr>
    </w:pPr>
    <w:r>
      <w:pict>
        <v:shapetype id="_x0000_t202" coordsize="21600,21600" o:spt="202" path="m,l,21600r21600,l21600,xe">
          <v:stroke joinstyle="miter"/>
          <v:path gradientshapeok="t" o:connecttype="rect"/>
        </v:shapetype>
        <v:shape id="_x0000_s2062" type="#_x0000_t202" style="width:15.1pt;height:11pt;margin-top:773.83pt;margin-left:515.28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17A9D"/>
    <w:multiLevelType w:val="hybridMultilevel"/>
    <w:tmpl w:val="00000000"/>
    <w:lvl w:ilvl="0">
      <w:start w:val="5"/>
      <w:numFmt w:val="decimal"/>
      <w:lvlText w:val="%1"/>
      <w:lvlJc w:val="left"/>
      <w:pPr>
        <w:ind w:left="872" w:hanging="735"/>
        <w:jc w:val="left"/>
      </w:pPr>
      <w:rPr>
        <w:rFonts w:hint="default"/>
        <w:lang w:val="zh-CN" w:eastAsia="zh-CN" w:bidi="zh-CN"/>
      </w:rPr>
    </w:lvl>
    <w:lvl w:ilvl="1">
      <w:start w:val="2"/>
      <w:numFmt w:val="decimal"/>
      <w:lvlText w:val="%1.%2"/>
      <w:lvlJc w:val="left"/>
      <w:pPr>
        <w:ind w:left="872" w:hanging="735"/>
        <w:jc w:val="left"/>
      </w:pPr>
      <w:rPr>
        <w:rFonts w:hint="default"/>
        <w:lang w:val="zh-CN" w:eastAsia="zh-CN" w:bidi="zh-CN"/>
      </w:rPr>
    </w:lvl>
    <w:lvl w:ilvl="2">
      <w:start w:val="1"/>
      <w:numFmt w:val="decimal"/>
      <w:lvlText w:val="%1.%2.%3"/>
      <w:lvlJc w:val="left"/>
      <w:pPr>
        <w:ind w:left="872" w:hanging="735"/>
        <w:jc w:val="left"/>
      </w:pPr>
      <w:rPr>
        <w:rFonts w:ascii="黑体" w:eastAsia="黑体" w:hAnsi="黑体" w:cs="黑体" w:hint="default"/>
        <w:spacing w:val="-2"/>
        <w:w w:val="99"/>
        <w:sz w:val="21"/>
        <w:szCs w:val="21"/>
        <w:lang w:val="zh-CN" w:eastAsia="zh-CN" w:bidi="zh-CN"/>
      </w:rPr>
    </w:lvl>
    <w:lvl w:ilvl="3">
      <w:start w:val="1"/>
      <w:numFmt w:val="decimal"/>
      <w:lvlText w:val="%1.%2.%3.%4"/>
      <w:lvlJc w:val="left"/>
      <w:pPr>
        <w:ind w:left="1084" w:hanging="946"/>
        <w:jc w:val="left"/>
      </w:pPr>
      <w:rPr>
        <w:rFonts w:ascii="黑体" w:eastAsia="黑体" w:hAnsi="黑体" w:cs="黑体" w:hint="default"/>
        <w:spacing w:val="-2"/>
        <w:w w:val="99"/>
        <w:sz w:val="21"/>
        <w:szCs w:val="21"/>
        <w:lang w:val="zh-CN" w:eastAsia="zh-CN" w:bidi="zh-CN"/>
      </w:rPr>
    </w:lvl>
    <w:lvl w:ilvl="4">
      <w:start w:val="1"/>
      <w:numFmt w:val="decimal"/>
      <w:lvlText w:val="%5)"/>
      <w:lvlJc w:val="left"/>
      <w:pPr>
        <w:ind w:left="1412" w:hanging="425"/>
        <w:jc w:val="left"/>
      </w:pPr>
      <w:rPr>
        <w:rFonts w:ascii="宋体" w:eastAsia="宋体" w:hAnsi="宋体" w:cs="宋体" w:hint="default"/>
        <w:spacing w:val="0"/>
        <w:w w:val="99"/>
        <w:sz w:val="21"/>
        <w:szCs w:val="21"/>
        <w:lang w:val="zh-CN" w:eastAsia="zh-CN" w:bidi="zh-CN"/>
      </w:rPr>
    </w:lvl>
    <w:lvl w:ilvl="5">
      <w:start w:val="0"/>
      <w:numFmt w:val="bullet"/>
      <w:lvlText w:val="•"/>
      <w:lvlJc w:val="left"/>
      <w:pPr>
        <w:ind w:left="4527" w:hanging="425"/>
      </w:pPr>
      <w:rPr>
        <w:rFonts w:hint="default"/>
        <w:lang w:val="zh-CN" w:eastAsia="zh-CN" w:bidi="zh-CN"/>
      </w:rPr>
    </w:lvl>
    <w:lvl w:ilvl="6">
      <w:start w:val="0"/>
      <w:numFmt w:val="bullet"/>
      <w:lvlText w:val="•"/>
      <w:lvlJc w:val="left"/>
      <w:pPr>
        <w:ind w:left="5563" w:hanging="425"/>
      </w:pPr>
      <w:rPr>
        <w:rFonts w:hint="default"/>
        <w:lang w:val="zh-CN" w:eastAsia="zh-CN" w:bidi="zh-CN"/>
      </w:rPr>
    </w:lvl>
    <w:lvl w:ilvl="7">
      <w:start w:val="0"/>
      <w:numFmt w:val="bullet"/>
      <w:lvlText w:val="•"/>
      <w:lvlJc w:val="left"/>
      <w:pPr>
        <w:ind w:left="6598" w:hanging="425"/>
      </w:pPr>
      <w:rPr>
        <w:rFonts w:hint="default"/>
        <w:lang w:val="zh-CN" w:eastAsia="zh-CN" w:bidi="zh-CN"/>
      </w:rPr>
    </w:lvl>
    <w:lvl w:ilvl="8">
      <w:start w:val="0"/>
      <w:numFmt w:val="bullet"/>
      <w:lvlText w:val="•"/>
      <w:lvlJc w:val="left"/>
      <w:pPr>
        <w:ind w:left="7634" w:hanging="425"/>
      </w:pPr>
      <w:rPr>
        <w:rFonts w:hint="default"/>
        <w:lang w:val="zh-CN" w:eastAsia="zh-CN" w:bidi="zh-CN"/>
      </w:rPr>
    </w:lvl>
  </w:abstractNum>
  <w:abstractNum w:abstractNumId="1">
    <w:nsid w:val="0A3EC84D"/>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
    <w:nsid w:val="0D0385A0"/>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3">
    <w:nsid w:val="0D7A836A"/>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4">
    <w:nsid w:val="0FF29C9E"/>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5">
    <w:nsid w:val="10480A1E"/>
    <w:multiLevelType w:val="hybridMultilevel"/>
    <w:tmpl w:val="00000000"/>
    <w:lvl w:ilvl="0">
      <w:start w:val="1"/>
      <w:numFmt w:val="decimal"/>
      <w:lvlText w:val="%1."/>
      <w:lvlJc w:val="left"/>
      <w:pPr>
        <w:ind w:left="1189" w:hanging="212"/>
        <w:jc w:val="left"/>
      </w:pPr>
      <w:rPr>
        <w:rFonts w:ascii="宋体" w:eastAsia="宋体" w:hAnsi="宋体" w:cs="宋体" w:hint="default"/>
        <w:spacing w:val="-2"/>
        <w:w w:val="99"/>
        <w:sz w:val="19"/>
        <w:szCs w:val="19"/>
        <w:lang w:val="zh-CN" w:eastAsia="zh-CN" w:bidi="zh-CN"/>
      </w:rPr>
    </w:lvl>
    <w:lvl w:ilvl="1">
      <w:start w:val="1"/>
      <w:numFmt w:val="decimal"/>
      <w:lvlText w:val="%2)"/>
      <w:lvlJc w:val="left"/>
      <w:pPr>
        <w:ind w:left="1696"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589" w:hanging="425"/>
      </w:pPr>
      <w:rPr>
        <w:rFonts w:hint="default"/>
        <w:lang w:val="zh-CN" w:eastAsia="zh-CN" w:bidi="zh-CN"/>
      </w:rPr>
    </w:lvl>
    <w:lvl w:ilvl="3">
      <w:start w:val="0"/>
      <w:numFmt w:val="bullet"/>
      <w:lvlText w:val="•"/>
      <w:lvlJc w:val="left"/>
      <w:pPr>
        <w:ind w:left="3479" w:hanging="425"/>
      </w:pPr>
      <w:rPr>
        <w:rFonts w:hint="default"/>
        <w:lang w:val="zh-CN" w:eastAsia="zh-CN" w:bidi="zh-CN"/>
      </w:rPr>
    </w:lvl>
    <w:lvl w:ilvl="4">
      <w:start w:val="0"/>
      <w:numFmt w:val="bullet"/>
      <w:lvlText w:val="•"/>
      <w:lvlJc w:val="left"/>
      <w:pPr>
        <w:ind w:left="4368" w:hanging="425"/>
      </w:pPr>
      <w:rPr>
        <w:rFonts w:hint="default"/>
        <w:lang w:val="zh-CN" w:eastAsia="zh-CN" w:bidi="zh-CN"/>
      </w:rPr>
    </w:lvl>
    <w:lvl w:ilvl="5">
      <w:start w:val="0"/>
      <w:numFmt w:val="bullet"/>
      <w:lvlText w:val="•"/>
      <w:lvlJc w:val="left"/>
      <w:pPr>
        <w:ind w:left="5258" w:hanging="425"/>
      </w:pPr>
      <w:rPr>
        <w:rFonts w:hint="default"/>
        <w:lang w:val="zh-CN" w:eastAsia="zh-CN" w:bidi="zh-CN"/>
      </w:rPr>
    </w:lvl>
    <w:lvl w:ilvl="6">
      <w:start w:val="0"/>
      <w:numFmt w:val="bullet"/>
      <w:lvlText w:val="•"/>
      <w:lvlJc w:val="left"/>
      <w:pPr>
        <w:ind w:left="6147" w:hanging="425"/>
      </w:pPr>
      <w:rPr>
        <w:rFonts w:hint="default"/>
        <w:lang w:val="zh-CN" w:eastAsia="zh-CN" w:bidi="zh-CN"/>
      </w:rPr>
    </w:lvl>
    <w:lvl w:ilvl="7">
      <w:start w:val="0"/>
      <w:numFmt w:val="bullet"/>
      <w:lvlText w:val="•"/>
      <w:lvlJc w:val="left"/>
      <w:pPr>
        <w:ind w:left="7037" w:hanging="425"/>
      </w:pPr>
      <w:rPr>
        <w:rFonts w:hint="default"/>
        <w:lang w:val="zh-CN" w:eastAsia="zh-CN" w:bidi="zh-CN"/>
      </w:rPr>
    </w:lvl>
    <w:lvl w:ilvl="8">
      <w:start w:val="0"/>
      <w:numFmt w:val="bullet"/>
      <w:lvlText w:val="•"/>
      <w:lvlJc w:val="left"/>
      <w:pPr>
        <w:ind w:left="7926" w:hanging="425"/>
      </w:pPr>
      <w:rPr>
        <w:rFonts w:hint="default"/>
        <w:lang w:val="zh-CN" w:eastAsia="zh-CN" w:bidi="zh-CN"/>
      </w:rPr>
    </w:lvl>
  </w:abstractNum>
  <w:abstractNum w:abstractNumId="6">
    <w:nsid w:val="12346D54"/>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1460" w:hanging="425"/>
      </w:pPr>
      <w:rPr>
        <w:rFonts w:hint="default"/>
        <w:lang w:val="zh-CN" w:eastAsia="zh-CN" w:bidi="zh-CN"/>
      </w:rPr>
    </w:lvl>
    <w:lvl w:ilvl="3">
      <w:start w:val="0"/>
      <w:numFmt w:val="bullet"/>
      <w:lvlText w:val="•"/>
      <w:lvlJc w:val="left"/>
      <w:pPr>
        <w:ind w:left="2490" w:hanging="425"/>
      </w:pPr>
      <w:rPr>
        <w:rFonts w:hint="default"/>
        <w:lang w:val="zh-CN" w:eastAsia="zh-CN" w:bidi="zh-CN"/>
      </w:rPr>
    </w:lvl>
    <w:lvl w:ilvl="4">
      <w:start w:val="0"/>
      <w:numFmt w:val="bullet"/>
      <w:lvlText w:val="•"/>
      <w:lvlJc w:val="left"/>
      <w:pPr>
        <w:ind w:left="3521" w:hanging="425"/>
      </w:pPr>
      <w:rPr>
        <w:rFonts w:hint="default"/>
        <w:lang w:val="zh-CN" w:eastAsia="zh-CN" w:bidi="zh-CN"/>
      </w:rPr>
    </w:lvl>
    <w:lvl w:ilvl="5">
      <w:start w:val="0"/>
      <w:numFmt w:val="bullet"/>
      <w:lvlText w:val="•"/>
      <w:lvlJc w:val="left"/>
      <w:pPr>
        <w:ind w:left="4552" w:hanging="425"/>
      </w:pPr>
      <w:rPr>
        <w:rFonts w:hint="default"/>
        <w:lang w:val="zh-CN" w:eastAsia="zh-CN" w:bidi="zh-CN"/>
      </w:rPr>
    </w:lvl>
    <w:lvl w:ilvl="6">
      <w:start w:val="0"/>
      <w:numFmt w:val="bullet"/>
      <w:lvlText w:val="•"/>
      <w:lvlJc w:val="left"/>
      <w:pPr>
        <w:ind w:left="5583" w:hanging="425"/>
      </w:pPr>
      <w:rPr>
        <w:rFonts w:hint="default"/>
        <w:lang w:val="zh-CN" w:eastAsia="zh-CN" w:bidi="zh-CN"/>
      </w:rPr>
    </w:lvl>
    <w:lvl w:ilvl="7">
      <w:start w:val="0"/>
      <w:numFmt w:val="bullet"/>
      <w:lvlText w:val="•"/>
      <w:lvlJc w:val="left"/>
      <w:pPr>
        <w:ind w:left="6613" w:hanging="425"/>
      </w:pPr>
      <w:rPr>
        <w:rFonts w:hint="default"/>
        <w:lang w:val="zh-CN" w:eastAsia="zh-CN" w:bidi="zh-CN"/>
      </w:rPr>
    </w:lvl>
    <w:lvl w:ilvl="8">
      <w:start w:val="0"/>
      <w:numFmt w:val="bullet"/>
      <w:lvlText w:val="•"/>
      <w:lvlJc w:val="left"/>
      <w:pPr>
        <w:ind w:left="7644" w:hanging="425"/>
      </w:pPr>
      <w:rPr>
        <w:rFonts w:hint="default"/>
        <w:lang w:val="zh-CN" w:eastAsia="zh-CN" w:bidi="zh-CN"/>
      </w:rPr>
    </w:lvl>
  </w:abstractNum>
  <w:abstractNum w:abstractNumId="7">
    <w:nsid w:val="1286ABEA"/>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8">
    <w:nsid w:val="167EEE63"/>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9">
    <w:nsid w:val="16DA9DD3"/>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10">
    <w:nsid w:val="172CD12A"/>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11">
    <w:nsid w:val="1B9BCE9A"/>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2">
    <w:nsid w:val="1DB327FB"/>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3">
    <w:nsid w:val="25EA5436"/>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4">
    <w:nsid w:val="2A4D9088"/>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5">
    <w:nsid w:val="2AC7B133"/>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6">
    <w:nsid w:val="30FE225F"/>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7">
    <w:nsid w:val="339C5295"/>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18">
    <w:nsid w:val="350FC977"/>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19">
    <w:nsid w:val="393BBE3A"/>
    <w:multiLevelType w:val="hybridMultilevel"/>
    <w:tmpl w:val="00000000"/>
    <w:lvl w:ilvl="0">
      <w:start w:val="1"/>
      <w:numFmt w:val="decimal"/>
      <w:lvlText w:val="%1"/>
      <w:lvlJc w:val="left"/>
      <w:pPr>
        <w:ind w:left="452" w:hanging="315"/>
        <w:jc w:val="left"/>
      </w:pPr>
      <w:rPr>
        <w:rFonts w:ascii="黑体" w:eastAsia="黑体" w:hAnsi="黑体" w:cs="黑体" w:hint="default"/>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0">
    <w:nsid w:val="3F6C3C45"/>
    <w:multiLevelType w:val="hybridMultilevel"/>
    <w:tmpl w:val="00000000"/>
    <w:lvl w:ilvl="0">
      <w:start w:val="5"/>
      <w:numFmt w:val="decimal"/>
      <w:lvlText w:val="%1"/>
      <w:lvlJc w:val="left"/>
      <w:pPr>
        <w:ind w:left="872" w:hanging="735"/>
        <w:jc w:val="left"/>
      </w:pPr>
      <w:rPr>
        <w:rFonts w:hint="default"/>
        <w:lang w:val="zh-CN" w:eastAsia="zh-CN" w:bidi="zh-CN"/>
      </w:rPr>
    </w:lvl>
    <w:lvl w:ilvl="1">
      <w:start w:val="3"/>
      <w:numFmt w:val="decimal"/>
      <w:lvlText w:val="%1.%2"/>
      <w:lvlJc w:val="left"/>
      <w:pPr>
        <w:ind w:left="872" w:hanging="735"/>
        <w:jc w:val="left"/>
      </w:pPr>
      <w:rPr>
        <w:rFonts w:hint="default"/>
        <w:lang w:val="zh-CN" w:eastAsia="zh-CN" w:bidi="zh-CN"/>
      </w:rPr>
    </w:lvl>
    <w:lvl w:ilvl="2">
      <w:start w:val="1"/>
      <w:numFmt w:val="decimal"/>
      <w:lvlText w:val="%1.%2.%3"/>
      <w:lvlJc w:val="left"/>
      <w:pPr>
        <w:ind w:left="872" w:hanging="735"/>
        <w:jc w:val="left"/>
      </w:pPr>
      <w:rPr>
        <w:rFonts w:ascii="黑体" w:eastAsia="黑体" w:hAnsi="黑体" w:cs="黑体" w:hint="default"/>
        <w:spacing w:val="-2"/>
        <w:w w:val="99"/>
        <w:sz w:val="21"/>
        <w:szCs w:val="21"/>
        <w:lang w:val="zh-CN" w:eastAsia="zh-CN" w:bidi="zh-CN"/>
      </w:rPr>
    </w:lvl>
    <w:lvl w:ilvl="3">
      <w:start w:val="1"/>
      <w:numFmt w:val="decimal"/>
      <w:lvlText w:val="%1.%2.%3.%4"/>
      <w:lvlJc w:val="left"/>
      <w:pPr>
        <w:ind w:left="1084" w:hanging="946"/>
        <w:jc w:val="left"/>
      </w:pPr>
      <w:rPr>
        <w:rFonts w:ascii="黑体" w:eastAsia="黑体" w:hAnsi="黑体" w:cs="黑体" w:hint="default"/>
        <w:spacing w:val="-2"/>
        <w:w w:val="99"/>
        <w:sz w:val="21"/>
        <w:szCs w:val="21"/>
        <w:lang w:val="zh-CN" w:eastAsia="zh-CN" w:bidi="zh-CN"/>
      </w:rPr>
    </w:lvl>
    <w:lvl w:ilvl="4">
      <w:start w:val="1"/>
      <w:numFmt w:val="decimal"/>
      <w:lvlText w:val="%5)"/>
      <w:lvlJc w:val="left"/>
      <w:pPr>
        <w:ind w:left="1412" w:hanging="425"/>
        <w:jc w:val="left"/>
      </w:pPr>
      <w:rPr>
        <w:rFonts w:ascii="宋体" w:eastAsia="宋体" w:hAnsi="宋体" w:cs="宋体" w:hint="default"/>
        <w:spacing w:val="0"/>
        <w:w w:val="99"/>
        <w:sz w:val="21"/>
        <w:szCs w:val="21"/>
        <w:lang w:val="zh-CN" w:eastAsia="zh-CN" w:bidi="zh-CN"/>
      </w:rPr>
    </w:lvl>
    <w:lvl w:ilvl="5">
      <w:start w:val="0"/>
      <w:numFmt w:val="bullet"/>
      <w:lvlText w:val="•"/>
      <w:lvlJc w:val="left"/>
      <w:pPr>
        <w:ind w:left="4527" w:hanging="425"/>
      </w:pPr>
      <w:rPr>
        <w:rFonts w:hint="default"/>
        <w:lang w:val="zh-CN" w:eastAsia="zh-CN" w:bidi="zh-CN"/>
      </w:rPr>
    </w:lvl>
    <w:lvl w:ilvl="6">
      <w:start w:val="0"/>
      <w:numFmt w:val="bullet"/>
      <w:lvlText w:val="•"/>
      <w:lvlJc w:val="left"/>
      <w:pPr>
        <w:ind w:left="5563" w:hanging="425"/>
      </w:pPr>
      <w:rPr>
        <w:rFonts w:hint="default"/>
        <w:lang w:val="zh-CN" w:eastAsia="zh-CN" w:bidi="zh-CN"/>
      </w:rPr>
    </w:lvl>
    <w:lvl w:ilvl="7">
      <w:start w:val="0"/>
      <w:numFmt w:val="bullet"/>
      <w:lvlText w:val="•"/>
      <w:lvlJc w:val="left"/>
      <w:pPr>
        <w:ind w:left="6598" w:hanging="425"/>
      </w:pPr>
      <w:rPr>
        <w:rFonts w:hint="default"/>
        <w:lang w:val="zh-CN" w:eastAsia="zh-CN" w:bidi="zh-CN"/>
      </w:rPr>
    </w:lvl>
    <w:lvl w:ilvl="8">
      <w:start w:val="0"/>
      <w:numFmt w:val="bullet"/>
      <w:lvlText w:val="•"/>
      <w:lvlJc w:val="left"/>
      <w:pPr>
        <w:ind w:left="7634" w:hanging="425"/>
      </w:pPr>
      <w:rPr>
        <w:rFonts w:hint="default"/>
        <w:lang w:val="zh-CN" w:eastAsia="zh-CN" w:bidi="zh-CN"/>
      </w:rPr>
    </w:lvl>
  </w:abstractNum>
  <w:abstractNum w:abstractNumId="21">
    <w:nsid w:val="3F71D46B"/>
    <w:multiLevelType w:val="hybridMultilevel"/>
    <w:tmpl w:val="00000000"/>
    <w:lvl w:ilvl="0">
      <w:start w:val="5"/>
      <w:numFmt w:val="decimal"/>
      <w:lvlText w:val="%1"/>
      <w:lvlJc w:val="left"/>
      <w:pPr>
        <w:ind w:left="872" w:hanging="735"/>
        <w:jc w:val="left"/>
      </w:pPr>
      <w:rPr>
        <w:rFonts w:hint="default"/>
        <w:lang w:val="zh-CN" w:eastAsia="zh-CN" w:bidi="zh-CN"/>
      </w:rPr>
    </w:lvl>
    <w:lvl w:ilvl="1">
      <w:start w:val="1"/>
      <w:numFmt w:val="decimal"/>
      <w:lvlText w:val="%1.%2"/>
      <w:lvlJc w:val="left"/>
      <w:pPr>
        <w:ind w:left="872" w:hanging="735"/>
        <w:jc w:val="left"/>
      </w:pPr>
      <w:rPr>
        <w:rFonts w:hint="default"/>
        <w:lang w:val="zh-CN" w:eastAsia="zh-CN" w:bidi="zh-CN"/>
      </w:rPr>
    </w:lvl>
    <w:lvl w:ilvl="2">
      <w:start w:val="1"/>
      <w:numFmt w:val="decimal"/>
      <w:lvlText w:val="%1.%2.%3"/>
      <w:lvlJc w:val="left"/>
      <w:pPr>
        <w:ind w:left="872" w:hanging="735"/>
        <w:jc w:val="left"/>
      </w:pPr>
      <w:rPr>
        <w:rFonts w:ascii="黑体" w:eastAsia="黑体" w:hAnsi="黑体" w:cs="黑体" w:hint="default"/>
        <w:spacing w:val="-2"/>
        <w:w w:val="99"/>
        <w:sz w:val="21"/>
        <w:szCs w:val="21"/>
        <w:lang w:val="zh-CN" w:eastAsia="zh-CN" w:bidi="zh-CN"/>
      </w:rPr>
    </w:lvl>
    <w:lvl w:ilvl="3">
      <w:start w:val="1"/>
      <w:numFmt w:val="decimal"/>
      <w:lvlText w:val="%4)"/>
      <w:lvlJc w:val="left"/>
      <w:pPr>
        <w:ind w:left="1412" w:hanging="425"/>
        <w:jc w:val="left"/>
      </w:pPr>
      <w:rPr>
        <w:rFonts w:ascii="宋体" w:eastAsia="宋体" w:hAnsi="宋体" w:cs="宋体" w:hint="default"/>
        <w:spacing w:val="0"/>
        <w:w w:val="99"/>
        <w:sz w:val="21"/>
        <w:szCs w:val="21"/>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2">
    <w:nsid w:val="44832240"/>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3">
    <w:nsid w:val="469E13C1"/>
    <w:multiLevelType w:val="hybridMultilevel"/>
    <w:tmpl w:val="00000000"/>
    <w:lvl w:ilvl="0">
      <w:start w:val="4"/>
      <w:numFmt w:val="decimal"/>
      <w:lvlText w:val="%1."/>
      <w:lvlJc w:val="left"/>
      <w:pPr>
        <w:ind w:left="1189" w:hanging="212"/>
        <w:jc w:val="left"/>
      </w:pPr>
      <w:rPr>
        <w:rFonts w:ascii="宋体" w:eastAsia="宋体" w:hAnsi="宋体" w:cs="宋体" w:hint="default"/>
        <w:spacing w:val="-2"/>
        <w:w w:val="99"/>
        <w:sz w:val="19"/>
        <w:szCs w:val="19"/>
        <w:lang w:val="zh-CN" w:eastAsia="zh-CN" w:bidi="zh-CN"/>
      </w:rPr>
    </w:lvl>
    <w:lvl w:ilvl="1">
      <w:start w:val="1"/>
      <w:numFmt w:val="decimal"/>
      <w:lvlText w:val="%2)"/>
      <w:lvlJc w:val="left"/>
      <w:pPr>
        <w:ind w:left="1696"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589" w:hanging="425"/>
      </w:pPr>
      <w:rPr>
        <w:rFonts w:hint="default"/>
        <w:lang w:val="zh-CN" w:eastAsia="zh-CN" w:bidi="zh-CN"/>
      </w:rPr>
    </w:lvl>
    <w:lvl w:ilvl="3">
      <w:start w:val="0"/>
      <w:numFmt w:val="bullet"/>
      <w:lvlText w:val="•"/>
      <w:lvlJc w:val="left"/>
      <w:pPr>
        <w:ind w:left="3479" w:hanging="425"/>
      </w:pPr>
      <w:rPr>
        <w:rFonts w:hint="default"/>
        <w:lang w:val="zh-CN" w:eastAsia="zh-CN" w:bidi="zh-CN"/>
      </w:rPr>
    </w:lvl>
    <w:lvl w:ilvl="4">
      <w:start w:val="0"/>
      <w:numFmt w:val="bullet"/>
      <w:lvlText w:val="•"/>
      <w:lvlJc w:val="left"/>
      <w:pPr>
        <w:ind w:left="4368" w:hanging="425"/>
      </w:pPr>
      <w:rPr>
        <w:rFonts w:hint="default"/>
        <w:lang w:val="zh-CN" w:eastAsia="zh-CN" w:bidi="zh-CN"/>
      </w:rPr>
    </w:lvl>
    <w:lvl w:ilvl="5">
      <w:start w:val="0"/>
      <w:numFmt w:val="bullet"/>
      <w:lvlText w:val="•"/>
      <w:lvlJc w:val="left"/>
      <w:pPr>
        <w:ind w:left="5258" w:hanging="425"/>
      </w:pPr>
      <w:rPr>
        <w:rFonts w:hint="default"/>
        <w:lang w:val="zh-CN" w:eastAsia="zh-CN" w:bidi="zh-CN"/>
      </w:rPr>
    </w:lvl>
    <w:lvl w:ilvl="6">
      <w:start w:val="0"/>
      <w:numFmt w:val="bullet"/>
      <w:lvlText w:val="•"/>
      <w:lvlJc w:val="left"/>
      <w:pPr>
        <w:ind w:left="6147" w:hanging="425"/>
      </w:pPr>
      <w:rPr>
        <w:rFonts w:hint="default"/>
        <w:lang w:val="zh-CN" w:eastAsia="zh-CN" w:bidi="zh-CN"/>
      </w:rPr>
    </w:lvl>
    <w:lvl w:ilvl="7">
      <w:start w:val="0"/>
      <w:numFmt w:val="bullet"/>
      <w:lvlText w:val="•"/>
      <w:lvlJc w:val="left"/>
      <w:pPr>
        <w:ind w:left="7037" w:hanging="425"/>
      </w:pPr>
      <w:rPr>
        <w:rFonts w:hint="default"/>
        <w:lang w:val="zh-CN" w:eastAsia="zh-CN" w:bidi="zh-CN"/>
      </w:rPr>
    </w:lvl>
    <w:lvl w:ilvl="8">
      <w:start w:val="0"/>
      <w:numFmt w:val="bullet"/>
      <w:lvlText w:val="•"/>
      <w:lvlJc w:val="left"/>
      <w:pPr>
        <w:ind w:left="7926" w:hanging="425"/>
      </w:pPr>
      <w:rPr>
        <w:rFonts w:hint="default"/>
        <w:lang w:val="zh-CN" w:eastAsia="zh-CN" w:bidi="zh-CN"/>
      </w:rPr>
    </w:lvl>
  </w:abstractNum>
  <w:abstractNum w:abstractNumId="24">
    <w:nsid w:val="4C31D79C"/>
    <w:multiLevelType w:val="hybridMultilevel"/>
    <w:tmpl w:val="00000000"/>
    <w:lvl w:ilvl="0">
      <w:start w:val="5"/>
      <w:numFmt w:val="decimal"/>
      <w:lvlText w:val="%1"/>
      <w:lvlJc w:val="left"/>
      <w:pPr>
        <w:ind w:left="1084" w:hanging="946"/>
        <w:jc w:val="left"/>
      </w:pPr>
      <w:rPr>
        <w:rFonts w:hint="default"/>
        <w:lang w:val="zh-CN" w:eastAsia="zh-CN" w:bidi="zh-CN"/>
      </w:rPr>
    </w:lvl>
    <w:lvl w:ilvl="1">
      <w:start w:val="1"/>
      <w:numFmt w:val="decimal"/>
      <w:lvlText w:val="%1.%2"/>
      <w:lvlJc w:val="left"/>
      <w:pPr>
        <w:ind w:left="1084" w:hanging="946"/>
        <w:jc w:val="left"/>
      </w:pPr>
      <w:rPr>
        <w:rFonts w:hint="default"/>
        <w:lang w:val="zh-CN" w:eastAsia="zh-CN" w:bidi="zh-CN"/>
      </w:rPr>
    </w:lvl>
    <w:lvl w:ilvl="2">
      <w:start w:val="3"/>
      <w:numFmt w:val="decimal"/>
      <w:lvlText w:val="%1.%2.%3"/>
      <w:lvlJc w:val="left"/>
      <w:pPr>
        <w:ind w:left="1084" w:hanging="946"/>
        <w:jc w:val="left"/>
      </w:pPr>
      <w:rPr>
        <w:rFonts w:hint="default"/>
        <w:lang w:val="zh-CN" w:eastAsia="zh-CN" w:bidi="zh-CN"/>
      </w:rPr>
    </w:lvl>
    <w:lvl w:ilvl="3">
      <w:start w:val="1"/>
      <w:numFmt w:val="decimal"/>
      <w:lvlText w:val="%1.%2.%3.%4"/>
      <w:lvlJc w:val="left"/>
      <w:pPr>
        <w:ind w:left="1084" w:hanging="946"/>
        <w:jc w:val="left"/>
      </w:pPr>
      <w:rPr>
        <w:rFonts w:ascii="黑体" w:eastAsia="黑体" w:hAnsi="黑体" w:cs="黑体" w:hint="default"/>
        <w:spacing w:val="-2"/>
        <w:w w:val="99"/>
        <w:sz w:val="21"/>
        <w:szCs w:val="21"/>
        <w:lang w:val="zh-CN" w:eastAsia="zh-CN" w:bidi="zh-CN"/>
      </w:rPr>
    </w:lvl>
    <w:lvl w:ilvl="4">
      <w:start w:val="1"/>
      <w:numFmt w:val="decimal"/>
      <w:lvlText w:val="%5)"/>
      <w:lvlJc w:val="left"/>
      <w:pPr>
        <w:ind w:left="1412" w:hanging="425"/>
        <w:jc w:val="left"/>
      </w:pPr>
      <w:rPr>
        <w:rFonts w:ascii="宋体" w:eastAsia="宋体" w:hAnsi="宋体" w:cs="宋体" w:hint="default"/>
        <w:spacing w:val="0"/>
        <w:w w:val="99"/>
        <w:sz w:val="21"/>
        <w:szCs w:val="21"/>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5">
    <w:nsid w:val="4E0AC7D0"/>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6">
    <w:nsid w:val="4E761C21"/>
    <w:multiLevelType w:val="hybridMultilevel"/>
    <w:tmpl w:val="00000000"/>
    <w:lvl w:ilvl="0">
      <w:start w:val="1"/>
      <w:numFmt w:val="decimal"/>
      <w:lvlText w:val="%1"/>
      <w:lvlJc w:val="left"/>
      <w:pPr>
        <w:ind w:left="452" w:hanging="315"/>
        <w:jc w:val="left"/>
      </w:pPr>
      <w:rPr>
        <w:rFonts w:ascii="宋体" w:eastAsia="宋体" w:hAnsi="宋体" w:cs="宋体" w:hint="default"/>
        <w:w w:val="99"/>
        <w:sz w:val="21"/>
        <w:szCs w:val="21"/>
        <w:lang w:val="zh-CN" w:eastAsia="zh-CN" w:bidi="zh-CN"/>
      </w:rPr>
    </w:lvl>
    <w:lvl w:ilvl="1">
      <w:start w:val="0"/>
      <w:numFmt w:val="bullet"/>
      <w:lvlText w:val="•"/>
      <w:lvlJc w:val="left"/>
      <w:pPr>
        <w:ind w:left="1384" w:hanging="315"/>
      </w:pPr>
      <w:rPr>
        <w:rFonts w:hint="default"/>
        <w:lang w:val="zh-CN" w:eastAsia="zh-CN" w:bidi="zh-CN"/>
      </w:rPr>
    </w:lvl>
    <w:lvl w:ilvl="2">
      <w:start w:val="0"/>
      <w:numFmt w:val="bullet"/>
      <w:lvlText w:val="•"/>
      <w:lvlJc w:val="left"/>
      <w:pPr>
        <w:ind w:left="2309" w:hanging="315"/>
      </w:pPr>
      <w:rPr>
        <w:rFonts w:hint="default"/>
        <w:lang w:val="zh-CN" w:eastAsia="zh-CN" w:bidi="zh-CN"/>
      </w:rPr>
    </w:lvl>
    <w:lvl w:ilvl="3">
      <w:start w:val="0"/>
      <w:numFmt w:val="bullet"/>
      <w:lvlText w:val="•"/>
      <w:lvlJc w:val="left"/>
      <w:pPr>
        <w:ind w:left="3233" w:hanging="315"/>
      </w:pPr>
      <w:rPr>
        <w:rFonts w:hint="default"/>
        <w:lang w:val="zh-CN" w:eastAsia="zh-CN" w:bidi="zh-CN"/>
      </w:rPr>
    </w:lvl>
    <w:lvl w:ilvl="4">
      <w:start w:val="0"/>
      <w:numFmt w:val="bullet"/>
      <w:lvlText w:val="•"/>
      <w:lvlJc w:val="left"/>
      <w:pPr>
        <w:ind w:left="4158" w:hanging="315"/>
      </w:pPr>
      <w:rPr>
        <w:rFonts w:hint="default"/>
        <w:lang w:val="zh-CN" w:eastAsia="zh-CN" w:bidi="zh-CN"/>
      </w:rPr>
    </w:lvl>
    <w:lvl w:ilvl="5">
      <w:start w:val="0"/>
      <w:numFmt w:val="bullet"/>
      <w:lvlText w:val="•"/>
      <w:lvlJc w:val="left"/>
      <w:pPr>
        <w:ind w:left="5083" w:hanging="315"/>
      </w:pPr>
      <w:rPr>
        <w:rFonts w:hint="default"/>
        <w:lang w:val="zh-CN" w:eastAsia="zh-CN" w:bidi="zh-CN"/>
      </w:rPr>
    </w:lvl>
    <w:lvl w:ilvl="6">
      <w:start w:val="0"/>
      <w:numFmt w:val="bullet"/>
      <w:lvlText w:val="•"/>
      <w:lvlJc w:val="left"/>
      <w:pPr>
        <w:ind w:left="6007" w:hanging="315"/>
      </w:pPr>
      <w:rPr>
        <w:rFonts w:hint="default"/>
        <w:lang w:val="zh-CN" w:eastAsia="zh-CN" w:bidi="zh-CN"/>
      </w:rPr>
    </w:lvl>
    <w:lvl w:ilvl="7">
      <w:start w:val="0"/>
      <w:numFmt w:val="bullet"/>
      <w:lvlText w:val="•"/>
      <w:lvlJc w:val="left"/>
      <w:pPr>
        <w:ind w:left="6932" w:hanging="315"/>
      </w:pPr>
      <w:rPr>
        <w:rFonts w:hint="default"/>
        <w:lang w:val="zh-CN" w:eastAsia="zh-CN" w:bidi="zh-CN"/>
      </w:rPr>
    </w:lvl>
    <w:lvl w:ilvl="8">
      <w:start w:val="0"/>
      <w:numFmt w:val="bullet"/>
      <w:lvlText w:val="•"/>
      <w:lvlJc w:val="left"/>
      <w:pPr>
        <w:ind w:left="7856" w:hanging="315"/>
      </w:pPr>
      <w:rPr>
        <w:rFonts w:hint="default"/>
        <w:lang w:val="zh-CN" w:eastAsia="zh-CN" w:bidi="zh-CN"/>
      </w:rPr>
    </w:lvl>
  </w:abstractNum>
  <w:abstractNum w:abstractNumId="27">
    <w:nsid w:val="5276A1C3"/>
    <w:multiLevelType w:val="hybridMultilevel"/>
    <w:tmpl w:val="00000000"/>
    <w:lvl w:ilvl="0">
      <w:start w:val="5"/>
      <w:numFmt w:val="decimal"/>
      <w:lvlText w:val="%1"/>
      <w:lvlJc w:val="left"/>
      <w:pPr>
        <w:ind w:left="872" w:hanging="735"/>
        <w:jc w:val="left"/>
      </w:pPr>
      <w:rPr>
        <w:rFonts w:hint="default"/>
        <w:lang w:val="zh-CN" w:eastAsia="zh-CN" w:bidi="zh-CN"/>
      </w:rPr>
    </w:lvl>
    <w:lvl w:ilvl="1">
      <w:start w:val="4"/>
      <w:numFmt w:val="decimal"/>
      <w:lvlText w:val="%1.%2"/>
      <w:lvlJc w:val="left"/>
      <w:pPr>
        <w:ind w:left="872" w:hanging="735"/>
        <w:jc w:val="left"/>
      </w:pPr>
      <w:rPr>
        <w:rFonts w:hint="default"/>
        <w:lang w:val="zh-CN" w:eastAsia="zh-CN" w:bidi="zh-CN"/>
      </w:rPr>
    </w:lvl>
    <w:lvl w:ilvl="2">
      <w:start w:val="1"/>
      <w:numFmt w:val="decimal"/>
      <w:lvlText w:val="%1.%2.%3"/>
      <w:lvlJc w:val="left"/>
      <w:pPr>
        <w:ind w:left="872" w:hanging="735"/>
        <w:jc w:val="left"/>
      </w:pPr>
      <w:rPr>
        <w:rFonts w:ascii="黑体" w:eastAsia="黑体" w:hAnsi="黑体" w:cs="黑体" w:hint="default"/>
        <w:spacing w:val="-2"/>
        <w:w w:val="99"/>
        <w:sz w:val="21"/>
        <w:szCs w:val="21"/>
        <w:lang w:val="zh-CN" w:eastAsia="zh-CN" w:bidi="zh-CN"/>
      </w:rPr>
    </w:lvl>
    <w:lvl w:ilvl="3">
      <w:start w:val="1"/>
      <w:numFmt w:val="decimal"/>
      <w:lvlText w:val="%4)"/>
      <w:lvlJc w:val="left"/>
      <w:pPr>
        <w:ind w:left="1412" w:hanging="425"/>
        <w:jc w:val="left"/>
      </w:pPr>
      <w:rPr>
        <w:rFonts w:ascii="宋体" w:eastAsia="宋体" w:hAnsi="宋体" w:cs="宋体" w:hint="default"/>
        <w:spacing w:val="0"/>
        <w:w w:val="99"/>
        <w:sz w:val="21"/>
        <w:szCs w:val="21"/>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28">
    <w:nsid w:val="585FD4D7"/>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29">
    <w:nsid w:val="5872D764"/>
    <w:multiLevelType w:val="hybridMultilevel"/>
    <w:tmpl w:val="00000000"/>
    <w:lvl w:ilvl="0">
      <w:start w:val="1"/>
      <w:numFmt w:val="decimal"/>
      <w:lvlText w:val="%1"/>
      <w:lvlJc w:val="left"/>
      <w:pPr>
        <w:ind w:left="452" w:hanging="315"/>
        <w:jc w:val="left"/>
      </w:pPr>
      <w:rPr>
        <w:rFonts w:ascii="黑体" w:eastAsia="黑体" w:hAnsi="黑体" w:cs="黑体" w:hint="default"/>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abstractNum w:abstractNumId="30">
    <w:nsid w:val="5CC1DFE4"/>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31">
    <w:nsid w:val="5EA628D4"/>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32">
    <w:nsid w:val="65425B47"/>
    <w:multiLevelType w:val="hybridMultilevel"/>
    <w:tmpl w:val="00000000"/>
    <w:lvl w:ilvl="0">
      <w:start w:val="1"/>
      <w:numFmt w:val="decimal"/>
      <w:lvlText w:val="%1"/>
      <w:lvlJc w:val="left"/>
      <w:pPr>
        <w:ind w:left="452" w:hanging="315"/>
        <w:jc w:val="left"/>
      </w:pPr>
      <w:rPr>
        <w:rFonts w:ascii="宋体" w:eastAsia="宋体" w:hAnsi="宋体" w:cs="宋体" w:hint="default"/>
        <w:w w:val="99"/>
        <w:sz w:val="21"/>
        <w:szCs w:val="21"/>
        <w:lang w:val="zh-CN" w:eastAsia="zh-CN" w:bidi="zh-CN"/>
      </w:rPr>
    </w:lvl>
    <w:lvl w:ilvl="1">
      <w:start w:val="0"/>
      <w:numFmt w:val="bullet"/>
      <w:lvlText w:val="•"/>
      <w:lvlJc w:val="left"/>
      <w:pPr>
        <w:ind w:left="1384" w:hanging="315"/>
      </w:pPr>
      <w:rPr>
        <w:rFonts w:hint="default"/>
        <w:lang w:val="zh-CN" w:eastAsia="zh-CN" w:bidi="zh-CN"/>
      </w:rPr>
    </w:lvl>
    <w:lvl w:ilvl="2">
      <w:start w:val="0"/>
      <w:numFmt w:val="bullet"/>
      <w:lvlText w:val="•"/>
      <w:lvlJc w:val="left"/>
      <w:pPr>
        <w:ind w:left="2309" w:hanging="315"/>
      </w:pPr>
      <w:rPr>
        <w:rFonts w:hint="default"/>
        <w:lang w:val="zh-CN" w:eastAsia="zh-CN" w:bidi="zh-CN"/>
      </w:rPr>
    </w:lvl>
    <w:lvl w:ilvl="3">
      <w:start w:val="0"/>
      <w:numFmt w:val="bullet"/>
      <w:lvlText w:val="•"/>
      <w:lvlJc w:val="left"/>
      <w:pPr>
        <w:ind w:left="3233" w:hanging="315"/>
      </w:pPr>
      <w:rPr>
        <w:rFonts w:hint="default"/>
        <w:lang w:val="zh-CN" w:eastAsia="zh-CN" w:bidi="zh-CN"/>
      </w:rPr>
    </w:lvl>
    <w:lvl w:ilvl="4">
      <w:start w:val="0"/>
      <w:numFmt w:val="bullet"/>
      <w:lvlText w:val="•"/>
      <w:lvlJc w:val="left"/>
      <w:pPr>
        <w:ind w:left="4158" w:hanging="315"/>
      </w:pPr>
      <w:rPr>
        <w:rFonts w:hint="default"/>
        <w:lang w:val="zh-CN" w:eastAsia="zh-CN" w:bidi="zh-CN"/>
      </w:rPr>
    </w:lvl>
    <w:lvl w:ilvl="5">
      <w:start w:val="0"/>
      <w:numFmt w:val="bullet"/>
      <w:lvlText w:val="•"/>
      <w:lvlJc w:val="left"/>
      <w:pPr>
        <w:ind w:left="5083" w:hanging="315"/>
      </w:pPr>
      <w:rPr>
        <w:rFonts w:hint="default"/>
        <w:lang w:val="zh-CN" w:eastAsia="zh-CN" w:bidi="zh-CN"/>
      </w:rPr>
    </w:lvl>
    <w:lvl w:ilvl="6">
      <w:start w:val="0"/>
      <w:numFmt w:val="bullet"/>
      <w:lvlText w:val="•"/>
      <w:lvlJc w:val="left"/>
      <w:pPr>
        <w:ind w:left="6007" w:hanging="315"/>
      </w:pPr>
      <w:rPr>
        <w:rFonts w:hint="default"/>
        <w:lang w:val="zh-CN" w:eastAsia="zh-CN" w:bidi="zh-CN"/>
      </w:rPr>
    </w:lvl>
    <w:lvl w:ilvl="7">
      <w:start w:val="0"/>
      <w:numFmt w:val="bullet"/>
      <w:lvlText w:val="•"/>
      <w:lvlJc w:val="left"/>
      <w:pPr>
        <w:ind w:left="6932" w:hanging="315"/>
      </w:pPr>
      <w:rPr>
        <w:rFonts w:hint="default"/>
        <w:lang w:val="zh-CN" w:eastAsia="zh-CN" w:bidi="zh-CN"/>
      </w:rPr>
    </w:lvl>
    <w:lvl w:ilvl="8">
      <w:start w:val="0"/>
      <w:numFmt w:val="bullet"/>
      <w:lvlText w:val="•"/>
      <w:lvlJc w:val="left"/>
      <w:pPr>
        <w:ind w:left="7856" w:hanging="315"/>
      </w:pPr>
      <w:rPr>
        <w:rFonts w:hint="default"/>
        <w:lang w:val="zh-CN" w:eastAsia="zh-CN" w:bidi="zh-CN"/>
      </w:rPr>
    </w:lvl>
  </w:abstractNum>
  <w:abstractNum w:abstractNumId="33">
    <w:nsid w:val="6A472BBC"/>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34">
    <w:nsid w:val="6D16F356"/>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1700" w:hanging="425"/>
      </w:pPr>
      <w:rPr>
        <w:rFonts w:hint="default"/>
        <w:lang w:val="zh-CN" w:eastAsia="zh-CN" w:bidi="zh-CN"/>
      </w:rPr>
    </w:lvl>
    <w:lvl w:ilvl="3">
      <w:start w:val="0"/>
      <w:numFmt w:val="bullet"/>
      <w:lvlText w:val="•"/>
      <w:lvlJc w:val="left"/>
      <w:pPr>
        <w:ind w:left="2700" w:hanging="425"/>
      </w:pPr>
      <w:rPr>
        <w:rFonts w:hint="default"/>
        <w:lang w:val="zh-CN" w:eastAsia="zh-CN" w:bidi="zh-CN"/>
      </w:rPr>
    </w:lvl>
    <w:lvl w:ilvl="4">
      <w:start w:val="0"/>
      <w:numFmt w:val="bullet"/>
      <w:lvlText w:val="•"/>
      <w:lvlJc w:val="left"/>
      <w:pPr>
        <w:ind w:left="3701" w:hanging="425"/>
      </w:pPr>
      <w:rPr>
        <w:rFonts w:hint="default"/>
        <w:lang w:val="zh-CN" w:eastAsia="zh-CN" w:bidi="zh-CN"/>
      </w:rPr>
    </w:lvl>
    <w:lvl w:ilvl="5">
      <w:start w:val="0"/>
      <w:numFmt w:val="bullet"/>
      <w:lvlText w:val="•"/>
      <w:lvlJc w:val="left"/>
      <w:pPr>
        <w:ind w:left="4702" w:hanging="425"/>
      </w:pPr>
      <w:rPr>
        <w:rFonts w:hint="default"/>
        <w:lang w:val="zh-CN" w:eastAsia="zh-CN" w:bidi="zh-CN"/>
      </w:rPr>
    </w:lvl>
    <w:lvl w:ilvl="6">
      <w:start w:val="0"/>
      <w:numFmt w:val="bullet"/>
      <w:lvlText w:val="•"/>
      <w:lvlJc w:val="left"/>
      <w:pPr>
        <w:ind w:left="5703" w:hanging="425"/>
      </w:pPr>
      <w:rPr>
        <w:rFonts w:hint="default"/>
        <w:lang w:val="zh-CN" w:eastAsia="zh-CN" w:bidi="zh-CN"/>
      </w:rPr>
    </w:lvl>
    <w:lvl w:ilvl="7">
      <w:start w:val="0"/>
      <w:numFmt w:val="bullet"/>
      <w:lvlText w:val="•"/>
      <w:lvlJc w:val="left"/>
      <w:pPr>
        <w:ind w:left="6703" w:hanging="425"/>
      </w:pPr>
      <w:rPr>
        <w:rFonts w:hint="default"/>
        <w:lang w:val="zh-CN" w:eastAsia="zh-CN" w:bidi="zh-CN"/>
      </w:rPr>
    </w:lvl>
    <w:lvl w:ilvl="8">
      <w:start w:val="0"/>
      <w:numFmt w:val="bullet"/>
      <w:lvlText w:val="•"/>
      <w:lvlJc w:val="left"/>
      <w:pPr>
        <w:ind w:left="7704" w:hanging="425"/>
      </w:pPr>
      <w:rPr>
        <w:rFonts w:hint="default"/>
        <w:lang w:val="zh-CN" w:eastAsia="zh-CN" w:bidi="zh-CN"/>
      </w:rPr>
    </w:lvl>
  </w:abstractNum>
  <w:abstractNum w:abstractNumId="35">
    <w:nsid w:val="6D7EC530"/>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36">
    <w:nsid w:val="6DEA58B4"/>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37">
    <w:nsid w:val="6F1A41BA"/>
    <w:multiLevelType w:val="hybridMultilevel"/>
    <w:tmpl w:val="00000000"/>
    <w:lvl w:ilvl="0">
      <w:start w:val="1"/>
      <w:numFmt w:val="decimal"/>
      <w:lvlText w:val="%1)"/>
      <w:lvlJc w:val="left"/>
      <w:pPr>
        <w:ind w:left="1696"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500" w:hanging="425"/>
      </w:pPr>
      <w:rPr>
        <w:rFonts w:hint="default"/>
        <w:lang w:val="zh-CN" w:eastAsia="zh-CN" w:bidi="zh-CN"/>
      </w:rPr>
    </w:lvl>
    <w:lvl w:ilvl="2">
      <w:start w:val="0"/>
      <w:numFmt w:val="bullet"/>
      <w:lvlText w:val="•"/>
      <w:lvlJc w:val="left"/>
      <w:pPr>
        <w:ind w:left="3301" w:hanging="425"/>
      </w:pPr>
      <w:rPr>
        <w:rFonts w:hint="default"/>
        <w:lang w:val="zh-CN" w:eastAsia="zh-CN" w:bidi="zh-CN"/>
      </w:rPr>
    </w:lvl>
    <w:lvl w:ilvl="3">
      <w:start w:val="0"/>
      <w:numFmt w:val="bullet"/>
      <w:lvlText w:val="•"/>
      <w:lvlJc w:val="left"/>
      <w:pPr>
        <w:ind w:left="4101" w:hanging="425"/>
      </w:pPr>
      <w:rPr>
        <w:rFonts w:hint="default"/>
        <w:lang w:val="zh-CN" w:eastAsia="zh-CN" w:bidi="zh-CN"/>
      </w:rPr>
    </w:lvl>
    <w:lvl w:ilvl="4">
      <w:start w:val="0"/>
      <w:numFmt w:val="bullet"/>
      <w:lvlText w:val="•"/>
      <w:lvlJc w:val="left"/>
      <w:pPr>
        <w:ind w:left="4902" w:hanging="425"/>
      </w:pPr>
      <w:rPr>
        <w:rFonts w:hint="default"/>
        <w:lang w:val="zh-CN" w:eastAsia="zh-CN" w:bidi="zh-CN"/>
      </w:rPr>
    </w:lvl>
    <w:lvl w:ilvl="5">
      <w:start w:val="0"/>
      <w:numFmt w:val="bullet"/>
      <w:lvlText w:val="•"/>
      <w:lvlJc w:val="left"/>
      <w:pPr>
        <w:ind w:left="5703" w:hanging="425"/>
      </w:pPr>
      <w:rPr>
        <w:rFonts w:hint="default"/>
        <w:lang w:val="zh-CN" w:eastAsia="zh-CN" w:bidi="zh-CN"/>
      </w:rPr>
    </w:lvl>
    <w:lvl w:ilvl="6">
      <w:start w:val="0"/>
      <w:numFmt w:val="bullet"/>
      <w:lvlText w:val="•"/>
      <w:lvlJc w:val="left"/>
      <w:pPr>
        <w:ind w:left="6503" w:hanging="425"/>
      </w:pPr>
      <w:rPr>
        <w:rFonts w:hint="default"/>
        <w:lang w:val="zh-CN" w:eastAsia="zh-CN" w:bidi="zh-CN"/>
      </w:rPr>
    </w:lvl>
    <w:lvl w:ilvl="7">
      <w:start w:val="0"/>
      <w:numFmt w:val="bullet"/>
      <w:lvlText w:val="•"/>
      <w:lvlJc w:val="left"/>
      <w:pPr>
        <w:ind w:left="7304" w:hanging="425"/>
      </w:pPr>
      <w:rPr>
        <w:rFonts w:hint="default"/>
        <w:lang w:val="zh-CN" w:eastAsia="zh-CN" w:bidi="zh-CN"/>
      </w:rPr>
    </w:lvl>
    <w:lvl w:ilvl="8">
      <w:start w:val="0"/>
      <w:numFmt w:val="bullet"/>
      <w:lvlText w:val="•"/>
      <w:lvlJc w:val="left"/>
      <w:pPr>
        <w:ind w:left="8104" w:hanging="425"/>
      </w:pPr>
      <w:rPr>
        <w:rFonts w:hint="default"/>
        <w:lang w:val="zh-CN" w:eastAsia="zh-CN" w:bidi="zh-CN"/>
      </w:rPr>
    </w:lvl>
  </w:abstractNum>
  <w:abstractNum w:abstractNumId="38">
    <w:nsid w:val="72656E92"/>
    <w:multiLevelType w:val="hybridMultilevel"/>
    <w:tmpl w:val="00000000"/>
    <w:lvl w:ilvl="0">
      <w:start w:val="1"/>
      <w:numFmt w:val="decimal"/>
      <w:lvlText w:val="%1)"/>
      <w:lvlJc w:val="left"/>
      <w:pPr>
        <w:ind w:left="141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248" w:hanging="425"/>
      </w:pPr>
      <w:rPr>
        <w:rFonts w:hint="default"/>
        <w:lang w:val="zh-CN" w:eastAsia="zh-CN" w:bidi="zh-CN"/>
      </w:rPr>
    </w:lvl>
    <w:lvl w:ilvl="2">
      <w:start w:val="0"/>
      <w:numFmt w:val="bullet"/>
      <w:lvlText w:val="•"/>
      <w:lvlJc w:val="left"/>
      <w:pPr>
        <w:ind w:left="3077" w:hanging="425"/>
      </w:pPr>
      <w:rPr>
        <w:rFonts w:hint="default"/>
        <w:lang w:val="zh-CN" w:eastAsia="zh-CN" w:bidi="zh-CN"/>
      </w:rPr>
    </w:lvl>
    <w:lvl w:ilvl="3">
      <w:start w:val="0"/>
      <w:numFmt w:val="bullet"/>
      <w:lvlText w:val="•"/>
      <w:lvlJc w:val="left"/>
      <w:pPr>
        <w:ind w:left="3905" w:hanging="425"/>
      </w:pPr>
      <w:rPr>
        <w:rFonts w:hint="default"/>
        <w:lang w:val="zh-CN" w:eastAsia="zh-CN" w:bidi="zh-CN"/>
      </w:rPr>
    </w:lvl>
    <w:lvl w:ilvl="4">
      <w:start w:val="0"/>
      <w:numFmt w:val="bullet"/>
      <w:lvlText w:val="•"/>
      <w:lvlJc w:val="left"/>
      <w:pPr>
        <w:ind w:left="4734" w:hanging="425"/>
      </w:pPr>
      <w:rPr>
        <w:rFonts w:hint="default"/>
        <w:lang w:val="zh-CN" w:eastAsia="zh-CN" w:bidi="zh-CN"/>
      </w:rPr>
    </w:lvl>
    <w:lvl w:ilvl="5">
      <w:start w:val="0"/>
      <w:numFmt w:val="bullet"/>
      <w:lvlText w:val="•"/>
      <w:lvlJc w:val="left"/>
      <w:pPr>
        <w:ind w:left="5563" w:hanging="425"/>
      </w:pPr>
      <w:rPr>
        <w:rFonts w:hint="default"/>
        <w:lang w:val="zh-CN" w:eastAsia="zh-CN" w:bidi="zh-CN"/>
      </w:rPr>
    </w:lvl>
    <w:lvl w:ilvl="6">
      <w:start w:val="0"/>
      <w:numFmt w:val="bullet"/>
      <w:lvlText w:val="•"/>
      <w:lvlJc w:val="left"/>
      <w:pPr>
        <w:ind w:left="6391" w:hanging="425"/>
      </w:pPr>
      <w:rPr>
        <w:rFonts w:hint="default"/>
        <w:lang w:val="zh-CN" w:eastAsia="zh-CN" w:bidi="zh-CN"/>
      </w:rPr>
    </w:lvl>
    <w:lvl w:ilvl="7">
      <w:start w:val="0"/>
      <w:numFmt w:val="bullet"/>
      <w:lvlText w:val="•"/>
      <w:lvlJc w:val="left"/>
      <w:pPr>
        <w:ind w:left="7220" w:hanging="425"/>
      </w:pPr>
      <w:rPr>
        <w:rFonts w:hint="default"/>
        <w:lang w:val="zh-CN" w:eastAsia="zh-CN" w:bidi="zh-CN"/>
      </w:rPr>
    </w:lvl>
    <w:lvl w:ilvl="8">
      <w:start w:val="0"/>
      <w:numFmt w:val="bullet"/>
      <w:lvlText w:val="•"/>
      <w:lvlJc w:val="left"/>
      <w:pPr>
        <w:ind w:left="8048" w:hanging="425"/>
      </w:pPr>
      <w:rPr>
        <w:rFonts w:hint="default"/>
        <w:lang w:val="zh-CN" w:eastAsia="zh-CN" w:bidi="zh-CN"/>
      </w:rPr>
    </w:lvl>
  </w:abstractNum>
  <w:abstractNum w:abstractNumId="39">
    <w:nsid w:val="7A7AC595"/>
    <w:multiLevelType w:val="hybridMultilevel"/>
    <w:tmpl w:val="00000000"/>
    <w:lvl w:ilvl="0">
      <w:start w:val="5"/>
      <w:numFmt w:val="decimal"/>
      <w:lvlText w:val="%1"/>
      <w:lvlJc w:val="left"/>
      <w:pPr>
        <w:ind w:left="872" w:hanging="735"/>
        <w:jc w:val="left"/>
      </w:pPr>
      <w:rPr>
        <w:rFonts w:hint="default"/>
        <w:lang w:val="zh-CN" w:eastAsia="zh-CN" w:bidi="zh-CN"/>
      </w:rPr>
    </w:lvl>
    <w:lvl w:ilvl="1">
      <w:start w:val="5"/>
      <w:numFmt w:val="decimal"/>
      <w:lvlText w:val="%1.%2"/>
      <w:lvlJc w:val="left"/>
      <w:pPr>
        <w:ind w:left="872" w:hanging="735"/>
        <w:jc w:val="left"/>
      </w:pPr>
      <w:rPr>
        <w:rFonts w:hint="default"/>
        <w:lang w:val="zh-CN" w:eastAsia="zh-CN" w:bidi="zh-CN"/>
      </w:rPr>
    </w:lvl>
    <w:lvl w:ilvl="2">
      <w:start w:val="1"/>
      <w:numFmt w:val="decimal"/>
      <w:lvlText w:val="%1.%2.%3"/>
      <w:lvlJc w:val="left"/>
      <w:pPr>
        <w:ind w:left="872" w:hanging="735"/>
        <w:jc w:val="left"/>
      </w:pPr>
      <w:rPr>
        <w:rFonts w:ascii="黑体" w:eastAsia="黑体" w:hAnsi="黑体" w:cs="黑体" w:hint="default"/>
        <w:spacing w:val="-2"/>
        <w:w w:val="99"/>
        <w:sz w:val="21"/>
        <w:szCs w:val="21"/>
        <w:lang w:val="zh-CN" w:eastAsia="zh-CN" w:bidi="zh-CN"/>
      </w:rPr>
    </w:lvl>
    <w:lvl w:ilvl="3">
      <w:start w:val="1"/>
      <w:numFmt w:val="lowerLetter"/>
      <w:lvlText w:val="%4)"/>
      <w:lvlJc w:val="left"/>
      <w:pPr>
        <w:ind w:left="988" w:hanging="425"/>
        <w:jc w:val="left"/>
      </w:pPr>
      <w:rPr>
        <w:rFonts w:ascii="宋体" w:eastAsia="宋体" w:hAnsi="宋体" w:cs="宋体" w:hint="default"/>
        <w:spacing w:val="0"/>
        <w:w w:val="99"/>
        <w:sz w:val="21"/>
        <w:szCs w:val="21"/>
        <w:lang w:val="zh-CN" w:eastAsia="zh-CN" w:bidi="zh-CN"/>
      </w:rPr>
    </w:lvl>
    <w:lvl w:ilvl="4">
      <w:start w:val="1"/>
      <w:numFmt w:val="decimal"/>
      <w:lvlText w:val="%5)"/>
      <w:lvlJc w:val="left"/>
      <w:pPr>
        <w:ind w:left="1412" w:hanging="425"/>
        <w:jc w:val="left"/>
      </w:pPr>
      <w:rPr>
        <w:rFonts w:ascii="宋体" w:eastAsia="宋体" w:hAnsi="宋体" w:cs="宋体" w:hint="default"/>
        <w:spacing w:val="0"/>
        <w:w w:val="99"/>
        <w:sz w:val="21"/>
        <w:szCs w:val="21"/>
        <w:lang w:val="zh-CN" w:eastAsia="zh-CN" w:bidi="zh-CN"/>
      </w:rPr>
    </w:lvl>
    <w:lvl w:ilvl="5">
      <w:start w:val="0"/>
      <w:numFmt w:val="bullet"/>
      <w:lvlText w:val="•"/>
      <w:lvlJc w:val="left"/>
      <w:pPr>
        <w:ind w:left="4527" w:hanging="425"/>
      </w:pPr>
      <w:rPr>
        <w:rFonts w:hint="default"/>
        <w:lang w:val="zh-CN" w:eastAsia="zh-CN" w:bidi="zh-CN"/>
      </w:rPr>
    </w:lvl>
    <w:lvl w:ilvl="6">
      <w:start w:val="0"/>
      <w:numFmt w:val="bullet"/>
      <w:lvlText w:val="•"/>
      <w:lvlJc w:val="left"/>
      <w:pPr>
        <w:ind w:left="5563" w:hanging="425"/>
      </w:pPr>
      <w:rPr>
        <w:rFonts w:hint="default"/>
        <w:lang w:val="zh-CN" w:eastAsia="zh-CN" w:bidi="zh-CN"/>
      </w:rPr>
    </w:lvl>
    <w:lvl w:ilvl="7">
      <w:start w:val="0"/>
      <w:numFmt w:val="bullet"/>
      <w:lvlText w:val="•"/>
      <w:lvlJc w:val="left"/>
      <w:pPr>
        <w:ind w:left="6598" w:hanging="425"/>
      </w:pPr>
      <w:rPr>
        <w:rFonts w:hint="default"/>
        <w:lang w:val="zh-CN" w:eastAsia="zh-CN" w:bidi="zh-CN"/>
      </w:rPr>
    </w:lvl>
    <w:lvl w:ilvl="8">
      <w:start w:val="0"/>
      <w:numFmt w:val="bullet"/>
      <w:lvlText w:val="•"/>
      <w:lvlJc w:val="left"/>
      <w:pPr>
        <w:ind w:left="7634" w:hanging="425"/>
      </w:pPr>
      <w:rPr>
        <w:rFonts w:hint="default"/>
        <w:lang w:val="zh-CN" w:eastAsia="zh-CN" w:bidi="zh-CN"/>
      </w:rPr>
    </w:lvl>
  </w:abstractNum>
  <w:abstractNum w:abstractNumId="40">
    <w:nsid w:val="7DACC8A2"/>
    <w:multiLevelType w:val="hybridMultilevel"/>
    <w:tmpl w:val="00000000"/>
    <w:lvl w:ilvl="0">
      <w:start w:val="1"/>
      <w:numFmt w:val="lowerLetter"/>
      <w:lvlText w:val="%1)"/>
      <w:lvlJc w:val="left"/>
      <w:pPr>
        <w:ind w:left="98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1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340" w:hanging="425"/>
      </w:pPr>
      <w:rPr>
        <w:rFonts w:hint="default"/>
        <w:lang w:val="zh-CN" w:eastAsia="zh-CN" w:bidi="zh-CN"/>
      </w:rPr>
    </w:lvl>
    <w:lvl w:ilvl="3">
      <w:start w:val="0"/>
      <w:numFmt w:val="bullet"/>
      <w:lvlText w:val="•"/>
      <w:lvlJc w:val="left"/>
      <w:pPr>
        <w:ind w:left="3261" w:hanging="425"/>
      </w:pPr>
      <w:rPr>
        <w:rFonts w:hint="default"/>
        <w:lang w:val="zh-CN" w:eastAsia="zh-CN" w:bidi="zh-CN"/>
      </w:rPr>
    </w:lvl>
    <w:lvl w:ilvl="4">
      <w:start w:val="0"/>
      <w:numFmt w:val="bullet"/>
      <w:lvlText w:val="•"/>
      <w:lvlJc w:val="left"/>
      <w:pPr>
        <w:ind w:left="4182" w:hanging="425"/>
      </w:pPr>
      <w:rPr>
        <w:rFonts w:hint="default"/>
        <w:lang w:val="zh-CN" w:eastAsia="zh-CN" w:bidi="zh-CN"/>
      </w:rPr>
    </w:lvl>
    <w:lvl w:ilvl="5">
      <w:start w:val="0"/>
      <w:numFmt w:val="bullet"/>
      <w:lvlText w:val="•"/>
      <w:lvlJc w:val="left"/>
      <w:pPr>
        <w:ind w:left="5102" w:hanging="425"/>
      </w:pPr>
      <w:rPr>
        <w:rFonts w:hint="default"/>
        <w:lang w:val="zh-CN" w:eastAsia="zh-CN" w:bidi="zh-CN"/>
      </w:rPr>
    </w:lvl>
    <w:lvl w:ilvl="6">
      <w:start w:val="0"/>
      <w:numFmt w:val="bullet"/>
      <w:lvlText w:val="•"/>
      <w:lvlJc w:val="left"/>
      <w:pPr>
        <w:ind w:left="6023" w:hanging="425"/>
      </w:pPr>
      <w:rPr>
        <w:rFonts w:hint="default"/>
        <w:lang w:val="zh-CN" w:eastAsia="zh-CN" w:bidi="zh-CN"/>
      </w:rPr>
    </w:lvl>
    <w:lvl w:ilvl="7">
      <w:start w:val="0"/>
      <w:numFmt w:val="bullet"/>
      <w:lvlText w:val="•"/>
      <w:lvlJc w:val="left"/>
      <w:pPr>
        <w:ind w:left="6944" w:hanging="425"/>
      </w:pPr>
      <w:rPr>
        <w:rFonts w:hint="default"/>
        <w:lang w:val="zh-CN" w:eastAsia="zh-CN" w:bidi="zh-CN"/>
      </w:rPr>
    </w:lvl>
    <w:lvl w:ilvl="8">
      <w:start w:val="0"/>
      <w:numFmt w:val="bullet"/>
      <w:lvlText w:val="•"/>
      <w:lvlJc w:val="left"/>
      <w:pPr>
        <w:ind w:left="7864" w:hanging="425"/>
      </w:pPr>
      <w:rPr>
        <w:rFonts w:hint="default"/>
        <w:lang w:val="zh-CN" w:eastAsia="zh-CN" w:bidi="zh-CN"/>
      </w:rPr>
    </w:lvl>
  </w:abstractNum>
  <w:num w:numId="1">
    <w:abstractNumId w:val="3"/>
  </w:num>
  <w:num w:numId="2">
    <w:abstractNumId w:val="11"/>
  </w:num>
  <w:num w:numId="3">
    <w:abstractNumId w:val="7"/>
  </w:num>
  <w:num w:numId="4">
    <w:abstractNumId w:val="22"/>
  </w:num>
  <w:num w:numId="5">
    <w:abstractNumId w:val="4"/>
  </w:num>
  <w:num w:numId="6">
    <w:abstractNumId w:val="13"/>
  </w:num>
  <w:num w:numId="7">
    <w:abstractNumId w:val="16"/>
  </w:num>
  <w:num w:numId="8">
    <w:abstractNumId w:val="14"/>
  </w:num>
  <w:num w:numId="9">
    <w:abstractNumId w:val="8"/>
  </w:num>
  <w:num w:numId="10">
    <w:abstractNumId w:val="28"/>
  </w:num>
  <w:num w:numId="11">
    <w:abstractNumId w:val="31"/>
  </w:num>
  <w:num w:numId="12">
    <w:abstractNumId w:val="9"/>
  </w:num>
  <w:num w:numId="13">
    <w:abstractNumId w:val="5"/>
  </w:num>
  <w:num w:numId="14">
    <w:abstractNumId w:val="36"/>
  </w:num>
  <w:num w:numId="15">
    <w:abstractNumId w:val="35"/>
  </w:num>
  <w:num w:numId="16">
    <w:abstractNumId w:val="23"/>
  </w:num>
  <w:num w:numId="17">
    <w:abstractNumId w:val="2"/>
  </w:num>
  <w:num w:numId="18">
    <w:abstractNumId w:val="37"/>
  </w:num>
  <w:num w:numId="19">
    <w:abstractNumId w:val="17"/>
  </w:num>
  <w:num w:numId="20">
    <w:abstractNumId w:val="34"/>
  </w:num>
  <w:num w:numId="21">
    <w:abstractNumId w:val="10"/>
  </w:num>
  <w:num w:numId="22">
    <w:abstractNumId w:val="40"/>
  </w:num>
  <w:num w:numId="23">
    <w:abstractNumId w:val="1"/>
  </w:num>
  <w:num w:numId="24">
    <w:abstractNumId w:val="18"/>
  </w:num>
  <w:num w:numId="25">
    <w:abstractNumId w:val="6"/>
  </w:num>
  <w:num w:numId="26">
    <w:abstractNumId w:val="25"/>
  </w:num>
  <w:num w:numId="27">
    <w:abstractNumId w:val="38"/>
  </w:num>
  <w:num w:numId="28">
    <w:abstractNumId w:val="15"/>
  </w:num>
  <w:num w:numId="29">
    <w:abstractNumId w:val="12"/>
  </w:num>
  <w:num w:numId="30">
    <w:abstractNumId w:val="33"/>
  </w:num>
  <w:num w:numId="31">
    <w:abstractNumId w:val="30"/>
  </w:num>
  <w:num w:numId="32">
    <w:abstractNumId w:val="39"/>
  </w:num>
  <w:num w:numId="33">
    <w:abstractNumId w:val="27"/>
  </w:num>
  <w:num w:numId="34">
    <w:abstractNumId w:val="20"/>
  </w:num>
  <w:num w:numId="35">
    <w:abstractNumId w:val="0"/>
  </w:num>
  <w:num w:numId="36">
    <w:abstractNumId w:val="24"/>
  </w:num>
  <w:num w:numId="37">
    <w:abstractNumId w:val="21"/>
  </w:num>
  <w:num w:numId="38">
    <w:abstractNumId w:val="29"/>
  </w:num>
  <w:num w:numId="39">
    <w:abstractNumId w:val="26"/>
  </w:num>
  <w:num w:numId="40">
    <w:abstractNumId w:val="32"/>
  </w:num>
  <w:num w:numId="4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
      <w:ind w:left="1412" w:hanging="425"/>
    </w:pPr>
    <w:rPr>
      <w:rFonts w:ascii="宋体" w:eastAsia="宋体" w:hAnsi="宋体" w:cs="宋体"/>
      <w:sz w:val="21"/>
      <w:szCs w:val="21"/>
      <w:lang w:val="zh-CN" w:eastAsia="zh-CN" w:bidi="zh-CN"/>
    </w:rPr>
  </w:style>
  <w:style w:type="paragraph" w:styleId="Title">
    <w:name w:val="Title"/>
    <w:basedOn w:val="Normal"/>
    <w:uiPriority w:val="1"/>
    <w:qFormat/>
    <w:pPr>
      <w:spacing w:before="28"/>
      <w:ind w:left="278" w:right="74"/>
      <w:jc w:val="center"/>
    </w:pPr>
    <w:rPr>
      <w:rFonts w:ascii="黑体" w:eastAsia="黑体" w:hAnsi="黑体" w:cs="黑体"/>
      <w:sz w:val="52"/>
      <w:szCs w:val="52"/>
      <w:lang w:val="zh-CN" w:eastAsia="zh-CN" w:bidi="zh-CN"/>
    </w:rPr>
  </w:style>
  <w:style w:type="paragraph" w:styleId="ListParagraph">
    <w:name w:val="List Paragraph"/>
    <w:basedOn w:val="Normal"/>
    <w:uiPriority w:val="1"/>
    <w:qFormat/>
    <w:pPr>
      <w:spacing w:before="2"/>
      <w:ind w:left="1412" w:hanging="425"/>
    </w:pPr>
    <w:rPr>
      <w:rFonts w:ascii="宋体" w:eastAsia="宋体" w:hAnsi="宋体" w:cs="宋体"/>
      <w:lang w:val="zh-CN" w:eastAsia="zh-CN" w:bidi="zh-CN"/>
    </w:rPr>
  </w:style>
  <w:style w:type="paragraph" w:customStyle="1" w:styleId="TableParagraph">
    <w:name w:val="Table Paragraph"/>
    <w:basedOn w:val="Normal"/>
    <w:uiPriority w:val="1"/>
    <w:qFormat/>
    <w:rPr>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6.jpe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image" Target="media/image7.jpeg"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jpeg" /><Relationship Id="rId24" Type="http://schemas.openxmlformats.org/officeDocument/2006/relationships/footer" Target="footer13.xml" /><Relationship Id="rId25" Type="http://schemas.openxmlformats.org/officeDocument/2006/relationships/hyperlink" Target="https://d.book118.com/958127104065006037" TargetMode="External" /><Relationship Id="rId26" Type="http://schemas.openxmlformats.org/officeDocument/2006/relationships/footer" Target="footer14.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杨玉鹏</dc:creator>
  <cp:revision>0</cp:revision>
  <dcterms:created xsi:type="dcterms:W3CDTF">2024-02-22T08:59:22Z</dcterms:created>
  <dcterms:modified xsi:type="dcterms:W3CDTF">2024-02-22T08:59:22Z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2023-10-20T00:00:00Z</vt:filetime>
  </property>
  <property fmtid="{D5CDD505-2E9C-101B-9397-08002B2CF9AE}" pid="3" name="Creator">
    <vt:lpwstr>WPS 文字</vt:lpwstr>
  </property>
  <property fmtid="{D5CDD505-2E9C-101B-9397-08002B2CF9AE}" pid="4" name="LastSaved">
    <vt:filetime>2024-02-22T00:00:00Z</vt:filetime>
  </property>
</Properties>
</file>