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447" w:lineRule="auto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6186417</wp:posOffset>
            </wp:positionH>
            <wp:positionV relativeFrom="page">
              <wp:posOffset>9354222</wp:posOffset>
            </wp:positionV>
            <wp:extent cx="831183" cy="76889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1183" cy="768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51" w:lineRule="exact"/>
        <w:ind w:firstLine="850"/>
      </w:pPr>
      <w:r>
        <w:rPr>
          <w:position w:val="-11"/>
        </w:rPr>
        <w:drawing>
          <wp:inline distT="0" distB="0" distL="0" distR="0">
            <wp:extent cx="1871989" cy="34998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71989" cy="349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line="8112" w:lineRule="exact"/>
        <w:ind w:firstLine="1896"/>
      </w:pPr>
      <w:r>
        <w:rPr>
          <w:position w:val="-162"/>
        </w:rPr>
        <w:drawing>
          <wp:inline distT="0" distB="0" distL="0" distR="0">
            <wp:extent cx="5151602" cy="515159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1602" cy="515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  <w:sectPr>
          <w:headerReference w:type="default" r:id="rId7"/>
          <w:pgSz w:w="11906" w:h="16838"/>
          <w:pgMar w:top="400" w:right="0" w:bottom="0" w:left="0" w:header="0" w:footer="0" w:gutter="0"/>
          <w:cols w:space="708"/>
        </w:sectPr>
      </w:pPr>
    </w:p>
    <w:p>
      <w:pPr>
        <w:spacing w:before="195" w:line="220" w:lineRule="auto"/>
        <w:ind w:left="886"/>
        <w:rPr>
          <w:rFonts w:ascii="NSimSun" w:eastAsia="NSimSun" w:hAnsi="NSimSun" w:cs="NSimSun"/>
          <w:sz w:val="60"/>
          <w:szCs w:val="60"/>
        </w:rPr>
      </w:pPr>
      <w:r>
        <w:rPr>
          <w:rFonts w:ascii="NSimSun" w:eastAsia="NSimSun" w:hAnsi="NSimSun" w:cs="NSimSun"/>
          <w:color w:val="94CE0C"/>
          <w:spacing w:val="-20"/>
          <w:sz w:val="60"/>
          <w:szCs w:val="60"/>
        </w:rPr>
        <w:t>前景展望：</w:t>
      </w:r>
    </w:p>
    <w:p>
      <w:pPr>
        <w:spacing w:before="5" w:line="222" w:lineRule="auto"/>
        <w:ind w:left="902"/>
        <w:rPr>
          <w:rFonts w:ascii="NSimSun" w:eastAsia="NSimSun" w:hAnsi="NSimSun" w:cs="NSimSun"/>
          <w:sz w:val="60"/>
          <w:szCs w:val="60"/>
        </w:rPr>
      </w:pPr>
      <w:r>
        <w:rPr>
          <w:rFonts w:ascii="NSimSun" w:eastAsia="NSimSun" w:hAnsi="NSimSun" w:cs="NSimSun"/>
          <w:color w:val="FFFFFF"/>
          <w:spacing w:val="-20"/>
          <w:sz w:val="60"/>
          <w:szCs w:val="60"/>
        </w:rPr>
        <w:t>工业产品及建筑行业</w:t>
      </w:r>
    </w:p>
    <w:p>
      <w:pPr>
        <w:spacing w:before="2" w:line="219" w:lineRule="auto"/>
        <w:ind w:left="930"/>
        <w:rPr>
          <w:rFonts w:ascii="NSimSun" w:eastAsia="NSimSun" w:hAnsi="NSimSun" w:cs="NSimSun"/>
          <w:sz w:val="60"/>
          <w:szCs w:val="60"/>
        </w:rPr>
      </w:pPr>
      <w:r>
        <w:rPr>
          <w:rFonts w:ascii="NSimSun" w:eastAsia="NSimSun" w:hAnsi="NSimSun" w:cs="NSimSun"/>
          <w:color w:val="FFFFFF"/>
          <w:spacing w:val="-26"/>
          <w:sz w:val="60"/>
          <w:szCs w:val="60"/>
        </w:rPr>
        <w:t>四大发展趋势</w:t>
      </w:r>
    </w:p>
    <w:p>
      <w:pPr>
        <w:spacing w:line="219" w:lineRule="auto"/>
        <w:rPr>
          <w:rFonts w:ascii="NSimSun" w:eastAsia="NSimSun" w:hAnsi="NSimSun" w:cs="NSimSun"/>
          <w:sz w:val="60"/>
          <w:szCs w:val="60"/>
        </w:rPr>
        <w:sectPr>
          <w:headerReference w:type="default" r:id="rId8"/>
          <w:type w:val="nextPage"/>
          <w:pgSz w:w="11906" w:h="16838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277" w:line="220" w:lineRule="auto"/>
        <w:ind w:left="687"/>
        <w:rPr>
          <w:rFonts w:ascii="NSimSun" w:eastAsia="NSimSun" w:hAnsi="NSimSun" w:cs="NSimSun"/>
          <w:sz w:val="14"/>
          <w:szCs w:val="14"/>
        </w:rPr>
      </w:pP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5379103</wp:posOffset>
            </wp:positionH>
            <wp:positionV relativeFrom="page">
              <wp:posOffset>13</wp:posOffset>
            </wp:positionV>
            <wp:extent cx="2180889" cy="7115449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80889" cy="7115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NSimSun" w:eastAsia="NSimSun" w:hAnsi="NSimSun" w:cs="NSimSun"/>
          <w:color w:val="FFFFFF"/>
          <w:spacing w:val="-2"/>
          <w:sz w:val="14"/>
          <w:szCs w:val="14"/>
        </w:rPr>
        <w:t>前景展望：工业产品及建筑行业四大发展趋势</w:t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10070" w:lineRule="exact"/>
        <w:ind w:firstLine="694"/>
      </w:pPr>
      <w:r>
        <w:rPr>
          <w:position w:val="-20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5" type="#_x0000_t202" style="width:415.3pt;height:509.5pt;mso-position-horizontal-relative:char;mso-position-vertical-relative:line" filled="f" stroked="f">
            <o:lock v:ext="edit" aspectratio="f"/>
            <v:textbox inset="0,0,0,0">
              <w:txbxContent>
                <w:sdt>
                  <w:sdtPr>
                    <w:rPr>
                      <w:rFonts w:ascii="NSimSun" w:eastAsia="NSimSun" w:hAnsi="NSimSun" w:cs="NSimSun"/>
                      <w:sz w:val="84"/>
                      <w:szCs w:val="84"/>
                    </w:rPr>
                    <w:id w:val="2056188343"/>
                    <w:docPartObj>
                      <w:docPartGallery w:val="Table of Contents"/>
                      <w:docPartUnique/>
                    </w:docPartObj>
                  </w:sdtPr>
                  <w:sdtEndPr>
                    <w:rPr>
                      <w:rFonts w:ascii="Microsoft JhengHei" w:eastAsia="Microsoft JhengHei" w:hAnsi="Microsoft JhengHei" w:cs="Microsoft JhengHei"/>
                      <w:sz w:val="28"/>
                      <w:szCs w:val="28"/>
                    </w:rPr>
                  </w:sdtEndPr>
                  <w:sdtContent>
                    <w:p>
                      <w:pPr>
                        <w:spacing w:before="58" w:line="222" w:lineRule="auto"/>
                        <w:ind w:left="11"/>
                        <w:rPr>
                          <w:rFonts w:ascii="NSimSun" w:eastAsia="NSimSun" w:hAnsi="NSimSun" w:cs="NSimSun"/>
                          <w:sz w:val="84"/>
                          <w:szCs w:val="84"/>
                        </w:rPr>
                      </w:pPr>
                      <w:r>
                        <w:rPr>
                          <w:rFonts w:ascii="NSimSun" w:eastAsia="NSimSun" w:hAnsi="NSimSun" w:cs="NSimSun"/>
                          <w:color w:val="98CF10"/>
                          <w:spacing w:val="-62"/>
                          <w:sz w:val="84"/>
                          <w:szCs w:val="84"/>
                        </w:rPr>
                        <w:t>目录</w:t>
                      </w:r>
                    </w:p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line="241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before="121" w:line="189" w:lineRule="auto"/>
                        <w:jc w:val="right"/>
                        <w:rPr>
                          <w:rFonts w:ascii="Microsoft JhengHei" w:eastAsia="Microsoft JhengHei" w:hAnsi="Microsoft JhengHei" w:cs="Microsoft JhengHei"/>
                          <w:sz w:val="28"/>
                          <w:szCs w:val="28"/>
                        </w:rPr>
                      </w:pPr>
                      <w:r>
                        <w:rPr>
                          <w:rFonts w:ascii="NSimSun" w:eastAsia="NSimSun" w:hAnsi="NSimSun" w:cs="NSimSun"/>
                          <w:color w:val="FFFFFF"/>
                          <w:spacing w:val="-15"/>
                          <w:sz w:val="28"/>
                          <w:szCs w:val="28"/>
                        </w:rPr>
                        <w:t>引言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pacing w:val="1"/>
                          <w:sz w:val="28"/>
                          <w:szCs w:val="28"/>
                        </w:rPr>
                        <w:t xml:space="preserve">                                                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z w:val="28"/>
                          <w:szCs w:val="28"/>
                        </w:rPr>
                        <w:t xml:space="preserve">      </w:t>
                      </w:r>
                      <w:hyperlink w:anchor="bookmark1" w:history="1">
                        <w:r>
                          <w:rPr>
                            <w:rFonts w:ascii="Microsoft JhengHei" w:eastAsia="Microsoft JhengHei" w:hAnsi="Microsoft JhengHei" w:cs="Microsoft JhengHei"/>
                            <w:color w:val="FFFFFF"/>
                            <w:spacing w:val="-15"/>
                            <w:sz w:val="28"/>
                            <w:szCs w:val="28"/>
                          </w:rPr>
                          <w:t>3</w:t>
                        </w:r>
                      </w:hyperlink>
                    </w:p>
                    <w:p>
                      <w:pPr>
                        <w:spacing w:line="454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before="121" w:line="188" w:lineRule="auto"/>
                        <w:jc w:val="right"/>
                        <w:rPr>
                          <w:rFonts w:ascii="Microsoft JhengHei" w:eastAsia="Microsoft JhengHei" w:hAnsi="Microsoft JhengHei" w:cs="Microsoft JhengHei"/>
                          <w:sz w:val="28"/>
                          <w:szCs w:val="28"/>
                        </w:rPr>
                      </w:pPr>
                      <w:r>
                        <w:rPr>
                          <w:rFonts w:ascii="NSimSun" w:eastAsia="NSimSun" w:hAnsi="NSimSun" w:cs="NSimSun"/>
                          <w:color w:val="FFFFFF"/>
                          <w:spacing w:val="-3"/>
                          <w:sz w:val="28"/>
                          <w:szCs w:val="28"/>
                        </w:rPr>
                        <w:t>趋势一：</w:t>
                      </w:r>
                      <w:r>
                        <w:rPr>
                          <w:rFonts w:ascii="Microsoft JhengHei" w:eastAsia="Microsoft JhengHei" w:hAnsi="Microsoft JhengHei" w:cs="Microsoft JhengHei"/>
                          <w:color w:val="FFFFFF"/>
                          <w:spacing w:val="-3"/>
                          <w:sz w:val="28"/>
                          <w:szCs w:val="28"/>
                        </w:rPr>
                        <w:t>ESG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pacing w:val="-3"/>
                          <w:sz w:val="28"/>
                          <w:szCs w:val="28"/>
                        </w:rPr>
                        <w:t>理念逐渐兴起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pacing w:val="3"/>
                          <w:sz w:val="28"/>
                          <w:szCs w:val="28"/>
                        </w:rPr>
                        <w:t xml:space="preserve">                                  </w:t>
                      </w:r>
                      <w:hyperlink w:anchor="bookmark2" w:history="1">
                        <w:r>
                          <w:rPr>
                            <w:rFonts w:ascii="Microsoft JhengHei" w:eastAsia="Microsoft JhengHei" w:hAnsi="Microsoft JhengHei" w:cs="Microsoft JhengHei"/>
                            <w:color w:val="FFFFFF"/>
                            <w:spacing w:val="-3"/>
                            <w:sz w:val="28"/>
                            <w:szCs w:val="28"/>
                          </w:rPr>
                          <w:t>4</w:t>
                        </w:r>
                      </w:hyperlink>
                    </w:p>
                    <w:p>
                      <w:pPr>
                        <w:spacing w:line="457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before="121" w:line="188" w:lineRule="auto"/>
                        <w:jc w:val="right"/>
                        <w:rPr>
                          <w:rFonts w:ascii="Microsoft JhengHei" w:eastAsia="Microsoft JhengHei" w:hAnsi="Microsoft JhengHei" w:cs="Microsoft JhengHei"/>
                          <w:sz w:val="28"/>
                          <w:szCs w:val="28"/>
                        </w:rPr>
                      </w:pPr>
                      <w:r>
                        <w:rPr>
                          <w:rFonts w:ascii="NSimSun" w:eastAsia="NSimSun" w:hAnsi="NSimSun" w:cs="NSimSun"/>
                          <w:color w:val="FFFFFF"/>
                          <w:spacing w:val="-3"/>
                          <w:sz w:val="28"/>
                          <w:szCs w:val="28"/>
                        </w:rPr>
                        <w:t>趋势二：解决方案取代产品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pacing w:val="2"/>
                          <w:sz w:val="28"/>
                          <w:szCs w:val="28"/>
                        </w:rPr>
                        <w:t xml:space="preserve">                         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pacing w:val="1"/>
                          <w:sz w:val="28"/>
                          <w:szCs w:val="28"/>
                        </w:rPr>
                        <w:t xml:space="preserve">         </w:t>
                      </w:r>
                      <w:hyperlink w:anchor="bookmark3" w:history="1">
                        <w:r>
                          <w:rPr>
                            <w:rFonts w:ascii="Microsoft JhengHei" w:eastAsia="Microsoft JhengHei" w:hAnsi="Microsoft JhengHei" w:cs="Microsoft JhengHei"/>
                            <w:color w:val="FFFFFF"/>
                            <w:spacing w:val="-3"/>
                            <w:sz w:val="28"/>
                            <w:szCs w:val="28"/>
                          </w:rPr>
                          <w:t>8</w:t>
                        </w:r>
                      </w:hyperlink>
                    </w:p>
                    <w:p>
                      <w:pPr>
                        <w:spacing w:line="457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before="121" w:line="188" w:lineRule="auto"/>
                        <w:jc w:val="right"/>
                        <w:rPr>
                          <w:rFonts w:ascii="Microsoft JhengHei" w:eastAsia="Microsoft JhengHei" w:hAnsi="Microsoft JhengHei" w:cs="Microsoft JhengHei"/>
                          <w:sz w:val="28"/>
                          <w:szCs w:val="28"/>
                        </w:rPr>
                      </w:pPr>
                      <w:r>
                        <w:rPr>
                          <w:rFonts w:ascii="NSimSun" w:eastAsia="NSimSun" w:hAnsi="NSimSun" w:cs="NSimSun"/>
                          <w:color w:val="FFFFFF"/>
                          <w:spacing w:val="-4"/>
                          <w:sz w:val="28"/>
                          <w:szCs w:val="28"/>
                        </w:rPr>
                        <w:t>趋势三：全球格局不断变化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pacing w:val="2"/>
                          <w:sz w:val="28"/>
                          <w:szCs w:val="28"/>
                        </w:rPr>
                        <w:t xml:space="preserve">                     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pacing w:val="1"/>
                          <w:sz w:val="28"/>
                          <w:szCs w:val="28"/>
                        </w:rPr>
                        <w:t xml:space="preserve">            </w:t>
                      </w:r>
                      <w:hyperlink w:anchor="bookmark4" w:history="1">
                        <w:r>
                          <w:rPr>
                            <w:rFonts w:ascii="Microsoft JhengHei" w:eastAsia="Microsoft JhengHei" w:hAnsi="Microsoft JhengHei" w:cs="Microsoft JhengHei"/>
                            <w:color w:val="FFFFFF"/>
                            <w:spacing w:val="-4"/>
                            <w:sz w:val="28"/>
                            <w:szCs w:val="28"/>
                          </w:rPr>
                          <w:t>10</w:t>
                        </w:r>
                      </w:hyperlink>
                    </w:p>
                    <w:p>
                      <w:pPr>
                        <w:spacing w:line="457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before="121" w:line="187" w:lineRule="auto"/>
                        <w:jc w:val="right"/>
                        <w:rPr>
                          <w:rFonts w:ascii="Microsoft JhengHei" w:eastAsia="Microsoft JhengHei" w:hAnsi="Microsoft JhengHei" w:cs="Microsoft JhengHei"/>
                          <w:sz w:val="28"/>
                          <w:szCs w:val="28"/>
                        </w:rPr>
                      </w:pPr>
                      <w:r>
                        <w:rPr>
                          <w:rFonts w:ascii="NSimSun" w:eastAsia="NSimSun" w:hAnsi="NSimSun" w:cs="NSimSun"/>
                          <w:color w:val="FFFFFF"/>
                          <w:spacing w:val="-4"/>
                          <w:sz w:val="28"/>
                          <w:szCs w:val="28"/>
                        </w:rPr>
                        <w:t>趋势四：人才竞争持续上演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pacing w:val="2"/>
                          <w:sz w:val="28"/>
                          <w:szCs w:val="28"/>
                        </w:rPr>
                        <w:t xml:space="preserve">                     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pacing w:val="1"/>
                          <w:sz w:val="28"/>
                          <w:szCs w:val="28"/>
                        </w:rPr>
                        <w:t xml:space="preserve">            </w:t>
                      </w:r>
                      <w:hyperlink w:anchor="bookmark5" w:history="1">
                        <w:r>
                          <w:rPr>
                            <w:rFonts w:ascii="Microsoft JhengHei" w:eastAsia="Microsoft JhengHei" w:hAnsi="Microsoft JhengHei" w:cs="Microsoft JhengHei"/>
                            <w:color w:val="FFFFFF"/>
                            <w:spacing w:val="-4"/>
                            <w:sz w:val="28"/>
                            <w:szCs w:val="28"/>
                          </w:rPr>
                          <w:t>12</w:t>
                        </w:r>
                      </w:hyperlink>
                    </w:p>
                    <w:p>
                      <w:pPr>
                        <w:spacing w:line="458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before="121" w:line="188" w:lineRule="auto"/>
                        <w:jc w:val="right"/>
                        <w:rPr>
                          <w:rFonts w:ascii="Microsoft JhengHei" w:eastAsia="Microsoft JhengHei" w:hAnsi="Microsoft JhengHei" w:cs="Microsoft JhengHei"/>
                          <w:sz w:val="28"/>
                          <w:szCs w:val="28"/>
                        </w:rPr>
                      </w:pPr>
                      <w:r>
                        <w:rPr>
                          <w:rFonts w:ascii="NSimSun" w:eastAsia="NSimSun" w:hAnsi="NSimSun" w:cs="NSimSun"/>
                          <w:color w:val="FFFFFF"/>
                          <w:spacing w:val="-5"/>
                          <w:sz w:val="28"/>
                          <w:szCs w:val="28"/>
                        </w:rPr>
                        <w:t>面向未来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pacing w:val="-5"/>
                          <w:sz w:val="28"/>
                          <w:szCs w:val="28"/>
                        </w:rPr>
                        <w:t xml:space="preserve">                                             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pacing w:val="-6"/>
                          <w:sz w:val="28"/>
                          <w:szCs w:val="28"/>
                        </w:rPr>
                        <w:t xml:space="preserve">      </w:t>
                      </w:r>
                      <w:hyperlink w:anchor="bookmark6" w:history="1">
                        <w:r>
                          <w:rPr>
                            <w:rFonts w:ascii="Microsoft JhengHei" w:eastAsia="Microsoft JhengHei" w:hAnsi="Microsoft JhengHei" w:cs="Microsoft JhengHei"/>
                            <w:color w:val="FFFFFF"/>
                            <w:spacing w:val="-6"/>
                            <w:sz w:val="28"/>
                            <w:szCs w:val="28"/>
                          </w:rPr>
                          <w:t>14</w:t>
                        </w:r>
                      </w:hyperlink>
                    </w:p>
                    <w:p>
                      <w:pPr>
                        <w:spacing w:line="458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before="122" w:line="189" w:lineRule="auto"/>
                        <w:jc w:val="right"/>
                        <w:rPr>
                          <w:rFonts w:ascii="Microsoft JhengHei" w:eastAsia="Microsoft JhengHei" w:hAnsi="Microsoft JhengHei" w:cs="Microsoft JhengHei"/>
                          <w:sz w:val="28"/>
                          <w:szCs w:val="28"/>
                        </w:rPr>
                      </w:pPr>
                      <w:r>
                        <w:rPr>
                          <w:rFonts w:ascii="NSimSun" w:eastAsia="NSimSun" w:hAnsi="NSimSun" w:cs="NSimSun"/>
                          <w:color w:val="FFFFFF"/>
                          <w:spacing w:val="-5"/>
                          <w:sz w:val="28"/>
                          <w:szCs w:val="28"/>
                        </w:rPr>
                        <w:t>联系人</w:t>
                      </w:r>
                      <w:r>
                        <w:rPr>
                          <w:rFonts w:ascii="NSimSun" w:eastAsia="NSimSun" w:hAnsi="NSimSun" w:cs="NSimSun"/>
                          <w:color w:val="FFFFFF"/>
                          <w:spacing w:val="-5"/>
                          <w:sz w:val="28"/>
                          <w:szCs w:val="28"/>
                        </w:rPr>
                        <w:t xml:space="preserve">                                                     </w:t>
                      </w:r>
                      <w:hyperlink w:anchor="bookmark7" w:history="1">
                        <w:r>
                          <w:rPr>
                            <w:rFonts w:ascii="Microsoft JhengHei" w:eastAsia="Microsoft JhengHei" w:hAnsi="Microsoft JhengHei" w:cs="Microsoft JhengHei"/>
                            <w:color w:val="FFFFFF"/>
                            <w:spacing w:val="-5"/>
                            <w:sz w:val="28"/>
                            <w:szCs w:val="28"/>
                          </w:rPr>
                          <w:t>15</w:t>
                        </w:r>
                      </w:hyperlink>
                    </w:p>
                  </w:sdtContent>
                </w:sdt>
              </w:txbxContent>
            </v:textbox>
            <w10:wrap type="none"/>
          </v:shape>
        </w:pict>
      </w:r>
    </w:p>
    <w:p>
      <w:pPr>
        <w:spacing w:line="10070" w:lineRule="exact"/>
        <w:sectPr>
          <w:headerReference w:type="default" r:id="rId10"/>
          <w:pgSz w:w="11906" w:h="16838"/>
          <w:pgMar w:top="400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241" w:lineRule="auto"/>
      </w:pP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208801</wp:posOffset>
            </wp:positionV>
            <wp:extent cx="6350" cy="10274401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0274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240" w:line="221" w:lineRule="auto"/>
        <w:ind w:left="5206"/>
        <w:rPr>
          <w:rFonts w:ascii="NSimSun" w:eastAsia="NSimSun" w:hAnsi="NSimSun" w:cs="NSimSun"/>
          <w:sz w:val="74"/>
          <w:szCs w:val="74"/>
        </w:rPr>
      </w:pPr>
      <w:bookmarkStart w:id="0" w:name="bookmark1"/>
      <w:bookmarkEnd w:id="0"/>
      <w:r>
        <w:rPr>
          <w:rFonts w:ascii="NSimSun" w:eastAsia="NSimSun" w:hAnsi="NSimSun" w:cs="NSimSun"/>
          <w:spacing w:val="-33"/>
          <w:sz w:val="74"/>
          <w:szCs w:val="74"/>
        </w:rPr>
        <w:t>引言</w:t>
      </w: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before="121" w:line="178" w:lineRule="auto"/>
        <w:ind w:left="5201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6"/>
          <w:sz w:val="28"/>
          <w:szCs w:val="28"/>
        </w:rPr>
        <w:t>全球工业产品及建筑（</w:t>
      </w:r>
      <w:r>
        <w:rPr>
          <w:rFonts w:ascii="Microsoft JhengHei" w:eastAsia="Microsoft JhengHei" w:hAnsi="Microsoft JhengHei" w:cs="Microsoft JhengHei"/>
          <w:spacing w:val="-16"/>
          <w:sz w:val="28"/>
          <w:szCs w:val="28"/>
        </w:rPr>
        <w:t>IP&amp;C</w:t>
      </w:r>
      <w:r>
        <w:rPr>
          <w:rFonts w:ascii="NSimSun" w:eastAsia="NSimSun" w:hAnsi="NSimSun" w:cs="NSimSun"/>
          <w:spacing w:val="-16"/>
          <w:sz w:val="28"/>
          <w:szCs w:val="28"/>
        </w:rPr>
        <w:t>）行业发展日新</w:t>
      </w:r>
      <w:r>
        <w:rPr>
          <w:rFonts w:ascii="NSimSun" w:eastAsia="NSimSun" w:hAnsi="NSimSun" w:cs="NSimSun"/>
          <w:spacing w:val="-17"/>
          <w:sz w:val="28"/>
          <w:szCs w:val="28"/>
        </w:rPr>
        <w:t>月异。</w:t>
      </w:r>
    </w:p>
    <w:p>
      <w:pPr>
        <w:spacing w:before="2" w:line="231" w:lineRule="auto"/>
        <w:ind w:left="5202" w:right="20" w:hanging="1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5"/>
          <w:sz w:val="28"/>
          <w:szCs w:val="28"/>
        </w:rPr>
        <w:t>全球化加速、技术进步、消费者偏好转变以及政府</w:t>
      </w:r>
      <w:r>
        <w:rPr>
          <w:rFonts w:ascii="NSimSun" w:eastAsia="NSimSun" w:hAnsi="NSimSun" w:cs="NSimSun"/>
          <w:spacing w:val="3"/>
          <w:sz w:val="28"/>
          <w:szCs w:val="28"/>
        </w:rPr>
        <w:t xml:space="preserve">  </w:t>
      </w:r>
      <w:r>
        <w:rPr>
          <w:rFonts w:ascii="NSimSun" w:eastAsia="NSimSun" w:hAnsi="NSimSun" w:cs="NSimSun"/>
          <w:spacing w:val="-19"/>
          <w:sz w:val="28"/>
          <w:szCs w:val="28"/>
        </w:rPr>
        <w:t>政策调整等因素正在颠覆制造、航空航天、国防、工</w:t>
      </w:r>
      <w:r>
        <w:rPr>
          <w:rFonts w:ascii="NSimSun" w:eastAsia="NSimSun" w:hAnsi="NSimSun" w:cs="NSimSun"/>
          <w:spacing w:val="4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3"/>
          <w:sz w:val="28"/>
          <w:szCs w:val="28"/>
        </w:rPr>
        <w:t>程和建筑行业，同时也将市场竞争推向白热化。</w:t>
      </w:r>
    </w:p>
    <w:p>
      <w:pPr>
        <w:pStyle w:val="BodyText"/>
        <w:spacing w:line="297" w:lineRule="auto"/>
      </w:pPr>
    </w:p>
    <w:p>
      <w:pPr>
        <w:spacing w:before="91" w:line="219" w:lineRule="auto"/>
        <w:ind w:left="5205" w:right="49" w:firstLine="12"/>
        <w:jc w:val="both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21"/>
          <w:sz w:val="28"/>
          <w:szCs w:val="28"/>
        </w:rPr>
        <w:t>与此同时，挑战也层出不穷。在当今时代脱颖而出，</w:t>
      </w:r>
      <w:r>
        <w:rPr>
          <w:rFonts w:ascii="NSimSun" w:eastAsia="NSimSun" w:hAnsi="NSimSun" w:cs="NSimSun"/>
          <w:spacing w:val="7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9"/>
          <w:sz w:val="28"/>
          <w:szCs w:val="28"/>
        </w:rPr>
        <w:t>工业产品及建筑企业必须积极应对地缘政治动荡、</w:t>
      </w:r>
      <w:r>
        <w:rPr>
          <w:rFonts w:ascii="NSimSun" w:eastAsia="NSimSun" w:hAnsi="NSimSun" w:cs="NSimSun"/>
          <w:spacing w:val="15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6"/>
          <w:sz w:val="28"/>
          <w:szCs w:val="28"/>
        </w:rPr>
        <w:t>通货膨胀、供应链中断、成本压力和技术人才</w:t>
      </w:r>
      <w:r>
        <w:rPr>
          <w:rFonts w:ascii="NSimSun" w:eastAsia="NSimSun" w:hAnsi="NSimSun" w:cs="NSimSun"/>
          <w:spacing w:val="-17"/>
          <w:sz w:val="28"/>
          <w:szCs w:val="28"/>
        </w:rPr>
        <w:t>短缺</w:t>
      </w:r>
      <w:r>
        <w:rPr>
          <w:rFonts w:ascii="NSimSun" w:eastAsia="NSimSun" w:hAnsi="NSimSun" w:cs="NSimSun"/>
          <w:sz w:val="28"/>
          <w:szCs w:val="28"/>
        </w:rPr>
        <w:t xml:space="preserve">  </w:t>
      </w:r>
      <w:r>
        <w:rPr>
          <w:rFonts w:ascii="NSimSun" w:eastAsia="NSimSun" w:hAnsi="NSimSun" w:cs="NSimSun"/>
          <w:spacing w:val="-21"/>
          <w:sz w:val="28"/>
          <w:szCs w:val="28"/>
        </w:rPr>
        <w:t>等挑战，同时适应环境、社会和企业管治（</w:t>
      </w:r>
      <w:r>
        <w:rPr>
          <w:rFonts w:ascii="Microsoft JhengHei" w:eastAsia="Microsoft JhengHei" w:hAnsi="Microsoft JhengHei" w:cs="Microsoft JhengHei"/>
          <w:spacing w:val="-21"/>
          <w:sz w:val="28"/>
          <w:szCs w:val="28"/>
        </w:rPr>
        <w:t>ESG</w:t>
      </w:r>
      <w:r>
        <w:rPr>
          <w:rFonts w:ascii="NSimSun" w:eastAsia="NSimSun" w:hAnsi="NSimSun" w:cs="NSimSun"/>
          <w:spacing w:val="-21"/>
          <w:sz w:val="28"/>
          <w:szCs w:val="28"/>
        </w:rPr>
        <w:t>）等</w:t>
      </w:r>
      <w:r>
        <w:rPr>
          <w:rFonts w:ascii="NSimSun" w:eastAsia="NSimSun" w:hAnsi="NSimSun" w:cs="NSimSun"/>
          <w:spacing w:val="15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0"/>
          <w:sz w:val="28"/>
          <w:szCs w:val="28"/>
        </w:rPr>
        <w:t>新兴趋势和客户日益提升的期望。</w:t>
      </w:r>
    </w:p>
    <w:p>
      <w:pPr>
        <w:pStyle w:val="BodyText"/>
        <w:spacing w:line="294" w:lineRule="auto"/>
      </w:pPr>
    </w:p>
    <w:p>
      <w:pPr>
        <w:spacing w:before="91" w:line="234" w:lineRule="auto"/>
        <w:ind w:left="5205" w:right="161" w:firstLine="1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5"/>
          <w:sz w:val="28"/>
          <w:szCs w:val="28"/>
        </w:rPr>
        <w:t>在缺乏明确路线图的情况下，企业必须利用现有信</w:t>
      </w:r>
      <w:r>
        <w:rPr>
          <w:rFonts w:ascii="NSimSun" w:eastAsia="NSimSun" w:hAnsi="NSimSun" w:cs="NSimSun"/>
          <w:spacing w:val="13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2"/>
          <w:sz w:val="28"/>
          <w:szCs w:val="28"/>
        </w:rPr>
        <w:t>息做出具有风险意识的商业决策，以实现蓬勃发</w:t>
      </w:r>
      <w:r>
        <w:rPr>
          <w:rFonts w:ascii="NSimSun" w:eastAsia="NSimSun" w:hAnsi="NSimSun" w:cs="NSimSun"/>
          <w:spacing w:val="-12"/>
          <w:sz w:val="28"/>
          <w:szCs w:val="28"/>
        </w:rPr>
        <w:t xml:space="preserve">  </w:t>
      </w:r>
      <w:r>
        <w:rPr>
          <w:rFonts w:ascii="NSimSun" w:eastAsia="NSimSun" w:hAnsi="NSimSun" w:cs="NSimSun"/>
          <w:spacing w:val="-14"/>
          <w:sz w:val="28"/>
          <w:szCs w:val="28"/>
        </w:rPr>
        <w:t>展。在此，我们将探讨工业产品及建筑企业应当关</w:t>
      </w:r>
      <w:r>
        <w:rPr>
          <w:rFonts w:ascii="NSimSun" w:eastAsia="NSimSun" w:hAnsi="NSimSun" w:cs="NSimSun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4"/>
          <w:sz w:val="28"/>
          <w:szCs w:val="28"/>
        </w:rPr>
        <w:t>注的四大趋势，以及调整现有业务战略时需要考虑</w:t>
      </w:r>
      <w:r>
        <w:rPr>
          <w:rFonts w:ascii="NSimSun" w:eastAsia="NSimSun" w:hAnsi="NSimSun" w:cs="NSimSun"/>
          <w:spacing w:val="12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7"/>
          <w:sz w:val="28"/>
          <w:szCs w:val="28"/>
        </w:rPr>
        <w:t>的关键问题。</w:t>
      </w:r>
    </w:p>
    <w:p>
      <w:pPr>
        <w:pStyle w:val="BodyText"/>
      </w:pPr>
    </w:p>
    <w:p>
      <w:pPr>
        <w:pStyle w:val="BodyText"/>
        <w:sectPr>
          <w:headerReference w:type="default" r:id="rId12"/>
          <w:pgSz w:w="11906" w:h="16838"/>
          <w:pgMar w:top="818" w:right="672" w:bottom="0" w:left="0" w:header="678" w:footer="0" w:gutter="0"/>
          <w:pgNumType w:start="4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42" w:line="183" w:lineRule="auto"/>
        <w:jc w:val="right"/>
        <w:rPr>
          <w:rFonts w:ascii="Verdana" w:eastAsia="Verdana" w:hAnsi="Verdana" w:cs="Verdana"/>
          <w:sz w:val="14"/>
          <w:szCs w:val="14"/>
        </w:rPr>
      </w:pPr>
      <w:r>
        <w:rPr>
          <w:rFonts w:ascii="Verdana" w:eastAsia="Verdana" w:hAnsi="Verdana" w:cs="Verdana"/>
          <w:b/>
          <w:bCs/>
          <w:spacing w:val="-17"/>
          <w:w w:val="92"/>
          <w:sz w:val="14"/>
          <w:szCs w:val="14"/>
        </w:rPr>
        <w:t>3</w:t>
      </w:r>
    </w:p>
    <w:p>
      <w:pPr>
        <w:spacing w:line="183" w:lineRule="auto"/>
        <w:rPr>
          <w:rFonts w:ascii="Verdana" w:eastAsia="Verdana" w:hAnsi="Verdana" w:cs="Verdana"/>
          <w:sz w:val="14"/>
          <w:szCs w:val="14"/>
        </w:rPr>
        <w:sectPr>
          <w:headerReference w:type="default" r:id="rId13"/>
          <w:type w:val="nextPage"/>
          <w:pgSz w:w="11906" w:h="16838"/>
          <w:pgMar w:top="818" w:right="672" w:bottom="0" w:left="0" w:header="678" w:footer="0" w:gutter="0"/>
          <w:pgNumType w:start="5"/>
          <w:cols w:space="708"/>
          <w:titlePg w:val="0"/>
        </w:sectPr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spacing w:before="273" w:line="209" w:lineRule="auto"/>
        <w:ind w:left="33"/>
        <w:rPr>
          <w:rFonts w:ascii="NSimSun" w:eastAsia="NSimSun" w:hAnsi="NSimSun" w:cs="NSimSun"/>
          <w:sz w:val="84"/>
          <w:szCs w:val="84"/>
        </w:rPr>
      </w:pPr>
      <w:bookmarkStart w:id="1" w:name="bookmark2"/>
      <w:bookmarkEnd w:id="1"/>
      <w:r>
        <w:rPr>
          <w:rFonts w:ascii="NSimSun" w:eastAsia="NSimSun" w:hAnsi="NSimSun" w:cs="NSimSun"/>
          <w:spacing w:val="-16"/>
          <w:sz w:val="84"/>
          <w:szCs w:val="84"/>
        </w:rPr>
        <w:t>趋势一</w:t>
      </w:r>
      <w:r>
        <w:rPr>
          <w:rFonts w:ascii="NSimSun" w:eastAsia="NSimSun" w:hAnsi="NSimSun" w:cs="NSimSun"/>
          <w:spacing w:val="-16"/>
          <w:position w:val="-1"/>
          <w:sz w:val="84"/>
          <w:szCs w:val="84"/>
        </w:rPr>
        <w:t>：</w:t>
      </w:r>
    </w:p>
    <w:p>
      <w:pPr>
        <w:spacing w:before="1" w:line="188" w:lineRule="auto"/>
        <w:ind w:left="84"/>
        <w:rPr>
          <w:rFonts w:ascii="NSimSun" w:eastAsia="NSimSun" w:hAnsi="NSimSun" w:cs="NSimSun"/>
          <w:sz w:val="84"/>
          <w:szCs w:val="84"/>
        </w:rPr>
      </w:pPr>
      <w:r>
        <w:rPr>
          <w:rFonts w:ascii="Microsoft JhengHei" w:eastAsia="Microsoft JhengHei" w:hAnsi="Microsoft JhengHei" w:cs="Microsoft JhengHei"/>
          <w:spacing w:val="-26"/>
          <w:sz w:val="84"/>
          <w:szCs w:val="84"/>
        </w:rPr>
        <w:t>ESG</w:t>
      </w:r>
      <w:r>
        <w:rPr>
          <w:rFonts w:ascii="NSimSun" w:eastAsia="NSimSun" w:hAnsi="NSimSun" w:cs="NSimSun"/>
          <w:spacing w:val="-26"/>
          <w:sz w:val="84"/>
          <w:szCs w:val="84"/>
        </w:rPr>
        <w:t>理念逐渐兴起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83" w:line="189" w:lineRule="auto"/>
        <w:ind w:left="15"/>
        <w:rPr>
          <w:rFonts w:ascii="NSimSun" w:eastAsia="NSimSun" w:hAnsi="NSimSun" w:cs="NSimSun"/>
          <w:sz w:val="19"/>
          <w:szCs w:val="19"/>
        </w:rPr>
      </w:pPr>
      <w:r>
        <w:rPr>
          <w:rFonts w:ascii="NSimSun" w:eastAsia="NSimSun" w:hAnsi="NSimSun" w:cs="NSimSun"/>
          <w:spacing w:val="-7"/>
          <w:sz w:val="19"/>
          <w:szCs w:val="19"/>
        </w:rPr>
        <w:t>随着各国政府和企业着手履行《巴黎协定》各项承诺，以及</w:t>
      </w:r>
      <w:r>
        <w:rPr>
          <w:rFonts w:ascii="Microsoft JhengHei" w:eastAsia="Microsoft JhengHei" w:hAnsi="Microsoft JhengHei" w:cs="Microsoft JhengHei"/>
          <w:spacing w:val="-7"/>
          <w:sz w:val="19"/>
          <w:szCs w:val="19"/>
        </w:rPr>
        <w:t>ESG</w:t>
      </w:r>
      <w:r>
        <w:rPr>
          <w:rFonts w:ascii="NSimSun" w:eastAsia="NSimSun" w:hAnsi="NSimSun" w:cs="NSimSun"/>
          <w:spacing w:val="-7"/>
          <w:sz w:val="19"/>
          <w:szCs w:val="19"/>
        </w:rPr>
        <w:t>投资工具日益普及，工业产品及建筑行业已采取跟进措施。</w:t>
      </w:r>
    </w:p>
    <w:p>
      <w:pPr>
        <w:spacing w:before="281" w:line="193" w:lineRule="auto"/>
        <w:ind w:left="4" w:firstLine="6"/>
        <w:rPr>
          <w:rFonts w:ascii="NSimSun" w:eastAsia="NSimSun" w:hAnsi="NSimSun" w:cs="NSimSun"/>
          <w:sz w:val="19"/>
          <w:szCs w:val="19"/>
        </w:rPr>
      </w:pPr>
      <w:r>
        <w:rPr>
          <w:rFonts w:ascii="Microsoft JhengHei" w:eastAsia="Microsoft JhengHei" w:hAnsi="Microsoft JhengHei" w:cs="Microsoft JhengHei"/>
          <w:spacing w:val="-6"/>
          <w:sz w:val="19"/>
          <w:szCs w:val="19"/>
        </w:rPr>
        <w:t>2022</w:t>
      </w:r>
      <w:r>
        <w:rPr>
          <w:rFonts w:ascii="NSimSun" w:eastAsia="NSimSun" w:hAnsi="NSimSun" w:cs="NSimSun"/>
          <w:spacing w:val="-6"/>
          <w:sz w:val="19"/>
          <w:szCs w:val="19"/>
        </w:rPr>
        <w:t>年，工业生产的二氧化碳排放量约为</w:t>
      </w:r>
      <w:r>
        <w:rPr>
          <w:rFonts w:ascii="Microsoft JhengHei" w:eastAsia="Microsoft JhengHei" w:hAnsi="Microsoft JhengHei" w:cs="Microsoft JhengHei"/>
          <w:spacing w:val="-6"/>
          <w:sz w:val="19"/>
          <w:szCs w:val="19"/>
        </w:rPr>
        <w:t>9.2</w:t>
      </w:r>
      <w:r>
        <w:rPr>
          <w:rFonts w:ascii="NSimSun" w:eastAsia="NSimSun" w:hAnsi="NSimSun" w:cs="NSimSun"/>
          <w:spacing w:val="-6"/>
          <w:sz w:val="19"/>
          <w:szCs w:val="19"/>
        </w:rPr>
        <w:t>亿吨。</w:t>
      </w:r>
      <w:r>
        <w:rPr>
          <w:rFonts w:ascii="Microsoft JhengHei" w:eastAsia="Microsoft JhengHei" w:hAnsi="Microsoft JhengHei" w:cs="Microsoft JhengHei"/>
          <w:spacing w:val="-6"/>
          <w:position w:val="6"/>
          <w:sz w:val="11"/>
          <w:szCs w:val="11"/>
        </w:rPr>
        <w:t>1</w:t>
      </w:r>
      <w:r>
        <w:rPr>
          <w:rFonts w:ascii="NSimSun" w:eastAsia="NSimSun" w:hAnsi="NSimSun" w:cs="NSimSun"/>
          <w:spacing w:val="-6"/>
          <w:sz w:val="19"/>
          <w:szCs w:val="19"/>
        </w:rPr>
        <w:t>多国政府针对高排放企业实施了一系列政治干预、技</w:t>
      </w:r>
      <w:r>
        <w:rPr>
          <w:rFonts w:ascii="NSimSun" w:eastAsia="NSimSun" w:hAnsi="NSimSun" w:cs="NSimSun"/>
          <w:spacing w:val="-7"/>
          <w:sz w:val="19"/>
          <w:szCs w:val="19"/>
        </w:rPr>
        <w:t>术和环境措施，包括征收碳</w:t>
      </w:r>
      <w:r>
        <w:rPr>
          <w:rFonts w:ascii="NSimSun" w:eastAsia="NSimSun" w:hAnsi="NSimSun" w:cs="NSimSun"/>
          <w:sz w:val="19"/>
          <w:szCs w:val="19"/>
        </w:rPr>
        <w:t xml:space="preserve"> </w:t>
      </w:r>
      <w:r>
        <w:rPr>
          <w:rFonts w:ascii="NSimSun" w:eastAsia="NSimSun" w:hAnsi="NSimSun" w:cs="NSimSun"/>
          <w:spacing w:val="-9"/>
          <w:sz w:val="19"/>
          <w:szCs w:val="19"/>
        </w:rPr>
        <w:t>税、建立碳交易制度、对碳捕集与封存提供财政支持等，旨在推动能源转型和脱碳进程（图</w:t>
      </w:r>
      <w:r>
        <w:rPr>
          <w:rFonts w:ascii="Microsoft JhengHei" w:eastAsia="Microsoft JhengHei" w:hAnsi="Microsoft JhengHei" w:cs="Microsoft JhengHei"/>
          <w:spacing w:val="-9"/>
          <w:sz w:val="19"/>
          <w:szCs w:val="19"/>
        </w:rPr>
        <w:t>1</w:t>
      </w:r>
      <w:r>
        <w:rPr>
          <w:rFonts w:ascii="NSimSun" w:eastAsia="NSimSun" w:hAnsi="NSimSun" w:cs="NSimSun"/>
          <w:spacing w:val="-9"/>
          <w:sz w:val="19"/>
          <w:szCs w:val="19"/>
        </w:rPr>
        <w:t>）。</w:t>
      </w:r>
    </w:p>
    <w:p>
      <w:pPr>
        <w:spacing w:before="280" w:line="219" w:lineRule="auto"/>
        <w:ind w:left="16"/>
        <w:rPr>
          <w:rFonts w:ascii="NSimSun" w:eastAsia="NSimSun" w:hAnsi="NSimSun" w:cs="NSimSun"/>
          <w:sz w:val="19"/>
          <w:szCs w:val="19"/>
        </w:rPr>
      </w:pPr>
      <w:r>
        <w:rPr>
          <w:rFonts w:ascii="NSimSun" w:eastAsia="NSimSun" w:hAnsi="NSimSun" w:cs="NSimSun"/>
          <w:spacing w:val="-4"/>
          <w:sz w:val="19"/>
          <w:szCs w:val="19"/>
        </w:rPr>
        <w:t>图</w:t>
      </w:r>
      <w:r>
        <w:rPr>
          <w:rFonts w:ascii="Verdana" w:eastAsia="Verdana" w:hAnsi="Verdana" w:cs="Verdana"/>
          <w:b/>
          <w:bCs/>
          <w:spacing w:val="-4"/>
          <w:sz w:val="19"/>
          <w:szCs w:val="19"/>
        </w:rPr>
        <w:t>1</w:t>
      </w:r>
      <w:r>
        <w:rPr>
          <w:rFonts w:ascii="NSimSun" w:eastAsia="NSimSun" w:hAnsi="NSimSun" w:cs="NSimSun"/>
          <w:spacing w:val="-4"/>
          <w:sz w:val="19"/>
          <w:szCs w:val="19"/>
        </w:rPr>
        <w:t>：全球主要政府倡议和清洁能源相关措施</w:t>
      </w:r>
    </w:p>
    <w:p>
      <w:pPr>
        <w:spacing w:before="232"/>
      </w:pPr>
    </w:p>
    <w:tbl>
      <w:tblPr>
        <w:tblStyle w:val="TableNormal0"/>
        <w:tblW w:w="1052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41"/>
        <w:gridCol w:w="878"/>
        <w:gridCol w:w="4349"/>
        <w:gridCol w:w="1191"/>
        <w:gridCol w:w="868"/>
        <w:gridCol w:w="1225"/>
        <w:gridCol w:w="1170"/>
      </w:tblGrid>
      <w:tr>
        <w:tblPrEx>
          <w:tblW w:w="1052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54"/>
        </w:trPr>
        <w:tc>
          <w:tcPr>
            <w:tcW w:w="841" w:type="dxa"/>
            <w:tcBorders>
              <w:top w:val="single" w:sz="24" w:space="0" w:color="00A6D5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05" w:line="220" w:lineRule="auto"/>
              <w:ind w:left="15"/>
            </w:pPr>
            <w:r>
              <w:rPr>
                <w:color w:val="00A6D5"/>
                <w:spacing w:val="-4"/>
              </w:rPr>
              <w:t>国家</w:t>
            </w:r>
          </w:p>
        </w:tc>
        <w:tc>
          <w:tcPr>
            <w:tcW w:w="5227" w:type="dxa"/>
            <w:gridSpan w:val="2"/>
            <w:tcBorders>
              <w:top w:val="single" w:sz="24" w:space="0" w:color="00A6D5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04" w:line="209" w:lineRule="auto"/>
              <w:ind w:left="162"/>
            </w:pPr>
            <w:r>
              <w:rPr>
                <w:color w:val="00A6D5"/>
                <w:spacing w:val="-4"/>
              </w:rPr>
              <w:t>净零排放目标</w:t>
            </w:r>
            <w:r>
              <w:rPr>
                <w:color w:val="00A6D5"/>
                <w:spacing w:val="2"/>
              </w:rPr>
              <w:t xml:space="preserve">             </w:t>
            </w:r>
            <w:r>
              <w:rPr>
                <w:color w:val="00A6D5"/>
                <w:spacing w:val="-4"/>
              </w:rPr>
              <w:t>主要清洁能源倡议</w:t>
            </w:r>
            <w:r>
              <w:rPr>
                <w:rFonts w:ascii="Verdana" w:eastAsia="Verdana" w:hAnsi="Verdana" w:cs="Verdana"/>
                <w:b/>
                <w:bCs/>
                <w:color w:val="00A6D5"/>
                <w:spacing w:val="-4"/>
              </w:rPr>
              <w:t>/</w:t>
            </w:r>
            <w:r>
              <w:rPr>
                <w:color w:val="00A6D5"/>
                <w:spacing w:val="-4"/>
              </w:rPr>
              <w:t>政策</w:t>
            </w:r>
          </w:p>
        </w:tc>
        <w:tc>
          <w:tcPr>
            <w:tcW w:w="1191" w:type="dxa"/>
            <w:tcBorders>
              <w:top w:val="single" w:sz="24" w:space="0" w:color="00A6D5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04" w:line="220" w:lineRule="auto"/>
              <w:ind w:left="70"/>
            </w:pPr>
            <w:r>
              <w:rPr>
                <w:color w:val="00A6D5"/>
                <w:spacing w:val="-2"/>
              </w:rPr>
              <w:t>电动车补贴</w:t>
            </w:r>
          </w:p>
        </w:tc>
        <w:tc>
          <w:tcPr>
            <w:tcW w:w="868" w:type="dxa"/>
            <w:tcBorders>
              <w:top w:val="single" w:sz="24" w:space="0" w:color="00A6D5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05" w:line="220" w:lineRule="auto"/>
              <w:ind w:left="289"/>
            </w:pPr>
            <w:r>
              <w:rPr>
                <w:color w:val="00A6D5"/>
                <w:spacing w:val="-1"/>
              </w:rPr>
              <w:t>碳税</w:t>
            </w:r>
          </w:p>
        </w:tc>
        <w:tc>
          <w:tcPr>
            <w:tcW w:w="1225" w:type="dxa"/>
            <w:tcBorders>
              <w:top w:val="single" w:sz="24" w:space="0" w:color="00A6D5"/>
              <w:bottom w:val="single" w:sz="4" w:space="0" w:color="63656A"/>
            </w:tcBorders>
            <w:vAlign w:val="top"/>
          </w:tcPr>
          <w:p>
            <w:pPr>
              <w:spacing w:before="118" w:line="134" w:lineRule="exact"/>
              <w:ind w:left="246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b/>
                <w:bCs/>
                <w:color w:val="00A6D5"/>
                <w:spacing w:val="-18"/>
                <w:w w:val="99"/>
                <w:position w:val="-1"/>
                <w:sz w:val="17"/>
                <w:szCs w:val="17"/>
              </w:rPr>
              <w:t>CCS/CCUS</w:t>
            </w:r>
          </w:p>
        </w:tc>
        <w:tc>
          <w:tcPr>
            <w:tcW w:w="1170" w:type="dxa"/>
            <w:tcBorders>
              <w:top w:val="single" w:sz="24" w:space="0" w:color="00A6D5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05" w:line="220" w:lineRule="auto"/>
              <w:ind w:left="176"/>
            </w:pPr>
            <w:r>
              <w:rPr>
                <w:color w:val="00A6D5"/>
              </w:rPr>
              <w:t>清洁氢能</w:t>
            </w:r>
          </w:p>
        </w:tc>
      </w:tr>
      <w:tr>
        <w:tblPrEx>
          <w:tblW w:w="10522" w:type="dxa"/>
          <w:tblInd w:w="0" w:type="dxa"/>
          <w:tblLayout w:type="fixed"/>
        </w:tblPrEx>
        <w:trPr>
          <w:trHeight w:val="504"/>
        </w:trPr>
        <w:tc>
          <w:tcPr>
            <w:tcW w:w="84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77" w:line="220" w:lineRule="auto"/>
              <w:ind w:left="8"/>
            </w:pPr>
            <w:r>
              <w:rPr>
                <w:color w:val="63656A"/>
                <w:spacing w:val="-2"/>
              </w:rPr>
              <w:t>美国</w:t>
            </w:r>
          </w:p>
        </w:tc>
        <w:tc>
          <w:tcPr>
            <w:tcW w:w="5227" w:type="dxa"/>
            <w:gridSpan w:val="2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83" w:line="167" w:lineRule="auto"/>
              <w:ind w:left="166"/>
              <w:rPr>
                <w:rFonts w:ascii="Microsoft JhengHei" w:eastAsia="Microsoft JhengHei" w:hAnsi="Microsoft JhengHei" w:cs="Microsoft JhengHei"/>
                <w:sz w:val="17"/>
                <w:szCs w:val="17"/>
              </w:rPr>
            </w:pPr>
            <w:r>
              <w:rPr>
                <w:rFonts w:ascii="Microsoft JhengHei" w:eastAsia="Microsoft JhengHei" w:hAnsi="Microsoft JhengHei" w:cs="Microsoft JhengHei"/>
                <w:color w:val="63656A"/>
                <w:spacing w:val="-4"/>
                <w:sz w:val="17"/>
                <w:szCs w:val="17"/>
              </w:rPr>
              <w:t>2050                CEMI,</w:t>
            </w:r>
            <w:r>
              <w:rPr>
                <w:rFonts w:ascii="Microsoft JhengHei" w:eastAsia="Microsoft JhengHei" w:hAnsi="Microsoft JhengHei" w:cs="Microsoft JhengHei"/>
                <w:color w:val="63656A"/>
                <w:spacing w:val="26"/>
                <w:w w:val="101"/>
                <w:sz w:val="17"/>
                <w:szCs w:val="17"/>
              </w:rPr>
              <w:t xml:space="preserve"> </w:t>
            </w:r>
            <w:r>
              <w:rPr>
                <w:rFonts w:ascii="Microsoft JhengHei" w:eastAsia="Microsoft JhengHei" w:hAnsi="Microsoft JhengHei" w:cs="Microsoft JhengHei"/>
                <w:color w:val="63656A"/>
                <w:spacing w:val="-4"/>
                <w:sz w:val="17"/>
                <w:szCs w:val="17"/>
              </w:rPr>
              <w:t>CEDI,</w:t>
            </w:r>
            <w:r>
              <w:rPr>
                <w:rFonts w:ascii="Microsoft JhengHei" w:eastAsia="Microsoft JhengHei" w:hAnsi="Microsoft JhengHei" w:cs="Microsoft JhengHei"/>
                <w:color w:val="63656A"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Microsoft JhengHei" w:eastAsia="Microsoft JhengHei" w:hAnsi="Microsoft JhengHei" w:cs="Microsoft JhengHei"/>
                <w:color w:val="63656A"/>
                <w:spacing w:val="-4"/>
                <w:sz w:val="17"/>
                <w:szCs w:val="17"/>
              </w:rPr>
              <w:t>IRA*</w:t>
            </w:r>
          </w:p>
        </w:tc>
        <w:tc>
          <w:tcPr>
            <w:tcW w:w="119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04" w:line="360" w:lineRule="exact"/>
              <w:ind w:left="393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04" w:line="360" w:lineRule="exact"/>
              <w:ind w:left="366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04" w:line="360" w:lineRule="exact"/>
              <w:ind w:left="556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0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04" w:line="360" w:lineRule="exact"/>
              <w:ind w:left="424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22" w:type="dxa"/>
          <w:tblInd w:w="0" w:type="dxa"/>
          <w:tblLayout w:type="fixed"/>
        </w:tblPrEx>
        <w:trPr>
          <w:trHeight w:val="503"/>
        </w:trPr>
        <w:tc>
          <w:tcPr>
            <w:tcW w:w="84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78" w:line="220" w:lineRule="auto"/>
              <w:ind w:left="9"/>
            </w:pPr>
            <w:r>
              <w:rPr>
                <w:color w:val="63656A"/>
                <w:spacing w:val="-3"/>
              </w:rPr>
              <w:t>英国</w:t>
            </w:r>
          </w:p>
        </w:tc>
        <w:tc>
          <w:tcPr>
            <w:tcW w:w="5227" w:type="dxa"/>
            <w:gridSpan w:val="2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77" w:line="189" w:lineRule="auto"/>
              <w:ind w:left="166"/>
            </w:pPr>
            <w:r>
              <w:rPr>
                <w:rFonts w:ascii="Microsoft JhengHei" w:eastAsia="Microsoft JhengHei" w:hAnsi="Microsoft JhengHei" w:cs="Microsoft JhengHei"/>
                <w:color w:val="63656A"/>
                <w:spacing w:val="-6"/>
              </w:rPr>
              <w:t>2050</w:t>
            </w:r>
            <w:r>
              <w:rPr>
                <w:rFonts w:ascii="Microsoft JhengHei" w:eastAsia="Microsoft JhengHei" w:hAnsi="Microsoft JhengHei" w:cs="Microsoft JhengHei"/>
                <w:color w:val="63656A"/>
              </w:rPr>
              <w:t xml:space="preserve">               </w:t>
            </w:r>
            <w:r>
              <w:rPr>
                <w:color w:val="63656A"/>
                <w:spacing w:val="-6"/>
              </w:rPr>
              <w:t>《清洁增长战略》、差价合约</w:t>
            </w:r>
          </w:p>
        </w:tc>
        <w:tc>
          <w:tcPr>
            <w:tcW w:w="119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05" w:line="360" w:lineRule="exact"/>
              <w:ind w:left="393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05" w:line="360" w:lineRule="exact"/>
              <w:ind w:left="366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05" w:line="360" w:lineRule="exact"/>
              <w:ind w:left="556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0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05" w:line="360" w:lineRule="exact"/>
              <w:ind w:left="424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22" w:type="dxa"/>
          <w:tblInd w:w="0" w:type="dxa"/>
          <w:tblLayout w:type="fixed"/>
        </w:tblPrEx>
        <w:trPr>
          <w:trHeight w:val="504"/>
        </w:trPr>
        <w:tc>
          <w:tcPr>
            <w:tcW w:w="84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79" w:line="222" w:lineRule="auto"/>
              <w:ind w:left="3"/>
            </w:pPr>
            <w:r>
              <w:rPr>
                <w:color w:val="63656A"/>
                <w:spacing w:val="-1"/>
              </w:rPr>
              <w:t>德国</w:t>
            </w:r>
          </w:p>
        </w:tc>
        <w:tc>
          <w:tcPr>
            <w:tcW w:w="5227" w:type="dxa"/>
            <w:gridSpan w:val="2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79" w:line="190" w:lineRule="auto"/>
              <w:ind w:left="166"/>
            </w:pPr>
            <w:r>
              <w:rPr>
                <w:rFonts w:ascii="Microsoft JhengHei" w:eastAsia="Microsoft JhengHei" w:hAnsi="Microsoft JhengHei" w:cs="Microsoft JhengHei"/>
                <w:color w:val="63656A"/>
                <w:spacing w:val="-8"/>
              </w:rPr>
              <w:t>2045</w:t>
            </w:r>
            <w:r>
              <w:rPr>
                <w:rFonts w:ascii="Microsoft JhengHei" w:eastAsia="Microsoft JhengHei" w:hAnsi="Microsoft JhengHei" w:cs="Microsoft JhengHei"/>
                <w:color w:val="63656A"/>
              </w:rPr>
              <w:t xml:space="preserve">               </w:t>
            </w:r>
            <w:r>
              <w:rPr>
                <w:color w:val="63656A"/>
                <w:spacing w:val="-8"/>
              </w:rPr>
              <w:t>《可再生能源法》、《国家氢能战略》</w:t>
            </w:r>
          </w:p>
        </w:tc>
        <w:tc>
          <w:tcPr>
            <w:tcW w:w="119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06" w:line="360" w:lineRule="exact"/>
              <w:ind w:left="393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06" w:line="360" w:lineRule="exact"/>
              <w:ind w:left="366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06" w:line="360" w:lineRule="exact"/>
              <w:ind w:left="556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0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06" w:line="360" w:lineRule="exact"/>
              <w:ind w:left="424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22" w:type="dxa"/>
          <w:tblInd w:w="0" w:type="dxa"/>
          <w:tblLayout w:type="fixed"/>
        </w:tblPrEx>
        <w:trPr>
          <w:trHeight w:val="585"/>
        </w:trPr>
        <w:tc>
          <w:tcPr>
            <w:tcW w:w="84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221" w:line="222" w:lineRule="auto"/>
              <w:ind w:left="5"/>
            </w:pPr>
            <w:r>
              <w:rPr>
                <w:color w:val="63656A"/>
                <w:spacing w:val="-2"/>
              </w:rPr>
              <w:t>法国</w:t>
            </w:r>
          </w:p>
        </w:tc>
        <w:tc>
          <w:tcPr>
            <w:tcW w:w="5227" w:type="dxa"/>
            <w:gridSpan w:val="2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221" w:line="190" w:lineRule="auto"/>
              <w:ind w:left="166"/>
            </w:pPr>
            <w:r>
              <w:rPr>
                <w:rFonts w:ascii="Microsoft JhengHei" w:eastAsia="Microsoft JhengHei" w:hAnsi="Microsoft JhengHei" w:cs="Microsoft JhengHei"/>
                <w:color w:val="63656A"/>
                <w:spacing w:val="-5"/>
              </w:rPr>
              <w:t xml:space="preserve">2050               </w:t>
            </w:r>
            <w:r>
              <w:rPr>
                <w:color w:val="63656A"/>
                <w:spacing w:val="-5"/>
              </w:rPr>
              <w:t>《国家能源与气候计划》、《国家低碳战略》</w:t>
            </w:r>
          </w:p>
        </w:tc>
        <w:tc>
          <w:tcPr>
            <w:tcW w:w="119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48" w:line="360" w:lineRule="exact"/>
              <w:ind w:left="393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48" w:line="360" w:lineRule="exact"/>
              <w:ind w:left="366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48" w:line="360" w:lineRule="exact"/>
              <w:ind w:left="556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0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48" w:line="360" w:lineRule="exact"/>
              <w:ind w:left="424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22" w:type="dxa"/>
          <w:tblInd w:w="0" w:type="dxa"/>
          <w:tblLayout w:type="fixed"/>
        </w:tblPrEx>
        <w:trPr>
          <w:trHeight w:val="549"/>
        </w:trPr>
        <w:tc>
          <w:tcPr>
            <w:tcW w:w="84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204" w:line="220" w:lineRule="auto"/>
              <w:ind w:left="14"/>
            </w:pPr>
            <w:r>
              <w:rPr>
                <w:color w:val="63656A"/>
                <w:spacing w:val="-4"/>
              </w:rPr>
              <w:t>中国</w:t>
            </w:r>
          </w:p>
        </w:tc>
        <w:tc>
          <w:tcPr>
            <w:tcW w:w="878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218" w:line="163" w:lineRule="auto"/>
              <w:ind w:left="166"/>
              <w:rPr>
                <w:rFonts w:ascii="Microsoft JhengHei" w:eastAsia="Microsoft JhengHei" w:hAnsi="Microsoft JhengHei" w:cs="Microsoft JhengHei"/>
                <w:sz w:val="17"/>
                <w:szCs w:val="17"/>
              </w:rPr>
            </w:pPr>
            <w:r>
              <w:rPr>
                <w:rFonts w:ascii="Microsoft JhengHei" w:eastAsia="Microsoft JhengHei" w:hAnsi="Microsoft JhengHei" w:cs="Microsoft JhengHei"/>
                <w:color w:val="63656A"/>
                <w:spacing w:val="-2"/>
                <w:sz w:val="17"/>
                <w:szCs w:val="17"/>
              </w:rPr>
              <w:t>2060</w:t>
            </w:r>
          </w:p>
        </w:tc>
        <w:tc>
          <w:tcPr>
            <w:tcW w:w="4349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02" w:line="178" w:lineRule="auto"/>
              <w:ind w:left="324" w:right="71" w:hanging="2"/>
            </w:pPr>
            <w:r>
              <w:rPr>
                <w:color w:val="63656A"/>
                <w:spacing w:val="-10"/>
              </w:rPr>
              <w:t>《可再生能源法》、《氢能产业发展中长期规划（</w:t>
            </w:r>
            <w:r>
              <w:rPr>
                <w:rFonts w:ascii="Microsoft JhengHei" w:eastAsia="Microsoft JhengHei" w:hAnsi="Microsoft JhengHei" w:cs="Microsoft JhengHei"/>
                <w:color w:val="63656A"/>
                <w:spacing w:val="-10"/>
              </w:rPr>
              <w:t>2021-</w:t>
            </w:r>
            <w:r>
              <w:rPr>
                <w:rFonts w:ascii="Microsoft JhengHei" w:eastAsia="Microsoft JhengHei" w:hAnsi="Microsoft JhengHei" w:cs="Microsoft JhengHei"/>
                <w:color w:val="63656A"/>
                <w:spacing w:val="16"/>
                <w:w w:val="101"/>
              </w:rPr>
              <w:t xml:space="preserve"> </w:t>
            </w:r>
            <w:r>
              <w:rPr>
                <w:rFonts w:ascii="Microsoft JhengHei" w:eastAsia="Microsoft JhengHei" w:hAnsi="Microsoft JhengHei" w:cs="Microsoft JhengHei"/>
                <w:color w:val="63656A"/>
                <w:spacing w:val="-10"/>
              </w:rPr>
              <w:t>2035</w:t>
            </w:r>
            <w:r>
              <w:rPr>
                <w:color w:val="63656A"/>
                <w:spacing w:val="-10"/>
              </w:rPr>
              <w:t>年）》</w:t>
            </w:r>
          </w:p>
        </w:tc>
        <w:tc>
          <w:tcPr>
            <w:tcW w:w="119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32" w:line="360" w:lineRule="exact"/>
              <w:ind w:left="393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72" w:line="285" w:lineRule="exact"/>
              <w:ind w:left="372"/>
              <w:rPr>
                <w:rFonts w:ascii="Webdings" w:eastAsia="Webdings" w:hAnsi="Webdings" w:cs="Webdings"/>
                <w:sz w:val="26"/>
                <w:szCs w:val="26"/>
              </w:rPr>
            </w:pPr>
            <w:r>
              <w:rPr>
                <w:rFonts w:ascii="Webdings" w:eastAsia="Webdings" w:hAnsi="Webdings" w:cs="Webdings"/>
                <w:color w:val="63656A"/>
                <w:position w:val="1"/>
                <w:sz w:val="26"/>
                <w:szCs w:val="26"/>
                <w14:textOutline w14:w="3175">
                  <w14:solidFill>
                    <w14:srgbClr w14:val="63656A"/>
                  </w14:solidFill>
                  <w14:prstDash w14:val="solid"/>
                  <w14:miter w14:lim="0"/>
                </w14:textOutline>
              </w:rPr>
              <w:t>x</w:t>
            </w:r>
          </w:p>
        </w:tc>
        <w:tc>
          <w:tcPr>
            <w:tcW w:w="1225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32" w:line="360" w:lineRule="exact"/>
              <w:ind w:left="556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0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32" w:line="360" w:lineRule="exact"/>
              <w:ind w:left="424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22" w:type="dxa"/>
          <w:tblInd w:w="0" w:type="dxa"/>
          <w:tblLayout w:type="fixed"/>
        </w:tblPrEx>
        <w:trPr>
          <w:trHeight w:val="504"/>
        </w:trPr>
        <w:tc>
          <w:tcPr>
            <w:tcW w:w="84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82" w:line="219" w:lineRule="auto"/>
              <w:ind w:left="31"/>
            </w:pPr>
            <w:r>
              <w:rPr>
                <w:color w:val="63656A"/>
                <w:spacing w:val="-10"/>
              </w:rPr>
              <w:t>日本</w:t>
            </w:r>
          </w:p>
        </w:tc>
        <w:tc>
          <w:tcPr>
            <w:tcW w:w="5227" w:type="dxa"/>
            <w:gridSpan w:val="2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82" w:line="189" w:lineRule="auto"/>
              <w:ind w:left="166"/>
            </w:pPr>
            <w:r>
              <w:rPr>
                <w:rFonts w:ascii="Microsoft JhengHei" w:eastAsia="Microsoft JhengHei" w:hAnsi="Microsoft JhengHei" w:cs="Microsoft JhengHei"/>
                <w:color w:val="63656A"/>
                <w:spacing w:val="-4"/>
              </w:rPr>
              <w:t xml:space="preserve">2050**           </w:t>
            </w:r>
            <w:r>
              <w:rPr>
                <w:color w:val="63656A"/>
                <w:spacing w:val="-4"/>
              </w:rPr>
              <w:t>上网电价、《氢能基本战略》</w:t>
            </w:r>
          </w:p>
        </w:tc>
        <w:tc>
          <w:tcPr>
            <w:tcW w:w="119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10" w:line="360" w:lineRule="exact"/>
              <w:ind w:left="393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10" w:line="360" w:lineRule="exact"/>
              <w:ind w:left="366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10" w:line="360" w:lineRule="exact"/>
              <w:ind w:left="556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0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10" w:line="360" w:lineRule="exact"/>
              <w:ind w:left="424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22" w:type="dxa"/>
          <w:tblInd w:w="0" w:type="dxa"/>
          <w:tblLayout w:type="fixed"/>
        </w:tblPrEx>
        <w:trPr>
          <w:trHeight w:val="504"/>
        </w:trPr>
        <w:tc>
          <w:tcPr>
            <w:tcW w:w="84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83" w:line="220" w:lineRule="auto"/>
              <w:ind w:left="13"/>
            </w:pPr>
            <w:r>
              <w:rPr>
                <w:color w:val="63656A"/>
                <w:spacing w:val="-4"/>
              </w:rPr>
              <w:t>印度</w:t>
            </w:r>
          </w:p>
        </w:tc>
        <w:tc>
          <w:tcPr>
            <w:tcW w:w="5227" w:type="dxa"/>
            <w:gridSpan w:val="2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pStyle w:val="TableText"/>
              <w:spacing w:before="183" w:line="190" w:lineRule="auto"/>
              <w:ind w:left="166"/>
            </w:pPr>
            <w:r>
              <w:rPr>
                <w:rFonts w:ascii="Microsoft JhengHei" w:eastAsia="Microsoft JhengHei" w:hAnsi="Microsoft JhengHei" w:cs="Microsoft JhengHei"/>
                <w:color w:val="63656A"/>
                <w:spacing w:val="-1"/>
              </w:rPr>
              <w:t xml:space="preserve">2070               </w:t>
            </w:r>
            <w:r>
              <w:rPr>
                <w:color w:val="63656A"/>
                <w:spacing w:val="-1"/>
              </w:rPr>
              <w:t>《国家氢能任务》</w:t>
            </w:r>
          </w:p>
        </w:tc>
        <w:tc>
          <w:tcPr>
            <w:tcW w:w="1191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11" w:line="360" w:lineRule="exact"/>
              <w:ind w:left="393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51" w:line="285" w:lineRule="exact"/>
              <w:ind w:left="372"/>
              <w:rPr>
                <w:rFonts w:ascii="Webdings" w:eastAsia="Webdings" w:hAnsi="Webdings" w:cs="Webdings"/>
                <w:sz w:val="26"/>
                <w:szCs w:val="26"/>
              </w:rPr>
            </w:pPr>
            <w:r>
              <w:rPr>
                <w:rFonts w:ascii="Webdings" w:eastAsia="Webdings" w:hAnsi="Webdings" w:cs="Webdings"/>
                <w:color w:val="63656A"/>
                <w:position w:val="1"/>
                <w:sz w:val="26"/>
                <w:szCs w:val="26"/>
                <w14:textOutline w14:w="3175">
                  <w14:solidFill>
                    <w14:srgbClr w14:val="63656A"/>
                  </w14:solidFill>
                  <w14:prstDash w14:val="solid"/>
                  <w14:miter w14:lim="0"/>
                </w14:textOutline>
              </w:rPr>
              <w:t>x</w:t>
            </w:r>
          </w:p>
        </w:tc>
        <w:tc>
          <w:tcPr>
            <w:tcW w:w="1225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11" w:line="360" w:lineRule="exact"/>
              <w:ind w:left="556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0" w:type="dxa"/>
            <w:tcBorders>
              <w:top w:val="single" w:sz="4" w:space="0" w:color="63656A"/>
              <w:bottom w:val="single" w:sz="4" w:space="0" w:color="63656A"/>
            </w:tcBorders>
            <w:vAlign w:val="top"/>
          </w:tcPr>
          <w:p>
            <w:pPr>
              <w:spacing w:before="111" w:line="360" w:lineRule="exact"/>
              <w:ind w:left="424"/>
            </w:pPr>
            <w:r>
              <w:rPr>
                <w:color w:val="63656A"/>
                <w:position w:val="-7"/>
              </w:rPr>
              <w:drawing>
                <wp:inline distT="0" distB="0" distL="0" distR="0">
                  <wp:extent cx="100126" cy="228600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https://d.book118.com/958133067015006036</w:t>
        </w:r>
      </w:hyperlink>
    </w:p>
    <w:p/>
    <w:sectPr>
      <w:headerReference w:type="default" r:id="rId19"/>
      <w:footerReference w:type="default" r:id="rId20"/>
      <w:pgSz w:w="11906" w:h="16838"/>
      <w:pgMar w:top="818" w:right="569" w:bottom="673" w:left="680" w:header="678" w:footer="544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2"/>
      <w:rPr>
        <w:rFonts w:ascii="Verdana" w:eastAsia="Verdana" w:hAnsi="Verdana" w:cs="Verdana"/>
        <w:sz w:val="14"/>
        <w:szCs w:val="14"/>
      </w:rPr>
    </w:pPr>
    <w:r>
      <w:rPr>
        <w:rFonts w:ascii="Verdana" w:eastAsia="Verdana" w:hAnsi="Verdana" w:cs="Verdana"/>
        <w:b/>
        <w:bCs/>
        <w:sz w:val="14"/>
        <w:szCs w:val="14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09" cy="1069213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7560309" cy="1069213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595.3pt;height:841.9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black" stroked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131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09" cy="10692130"/>
              <wp:effectExtent l="0" t="0" r="0" b="0"/>
              <wp:wrapNone/>
              <wp:docPr id="1397377555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7560309" cy="1069213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595.3pt;height:841.9pt;margin-top:0;margin-left:0;mso-position-horizontal-relative:page;mso-position-vertical-relative:page;mso-wrap-distance-bottom:0;mso-wrap-distance-left:0;mso-wrap-distance-right:0;mso-wrap-distance-top:0;position:absolute;v-text-anchor:top;z-index:-251656192" o:allowincell="f" fillcolor="black" stroked="f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595.3pt;height:809.05pt;margin-top:16.44pt;margin-left:0;mso-position-horizontal-relative:page;mso-position-vertical-relative:page;position:absolute;z-index:251662336" o:allowincell="f" filled="t" fillcolor="#bdbebf" stroked="f"/>
      </w:pict>
    </w: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992" cy="10692003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992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right="5"/>
      <w:jc w:val="right"/>
      <w:rPr>
        <w:rFonts w:ascii="NSimSun" w:eastAsia="NSimSun" w:hAnsi="NSimSun" w:cs="NSimSun"/>
        <w:sz w:val="14"/>
        <w:szCs w:val="14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2065579</wp:posOffset>
          </wp:positionV>
          <wp:extent cx="6887147" cy="8626423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87147" cy="86264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NSimSun" w:eastAsia="NSimSun" w:hAnsi="NSimSun" w:cs="NSimSun"/>
        <w:spacing w:val="-2"/>
        <w:sz w:val="14"/>
        <w:szCs w:val="14"/>
      </w:rPr>
      <w:t>前景展望：工业产品及建筑行业四大发展趋势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right="5"/>
      <w:jc w:val="right"/>
      <w:rPr>
        <w:rFonts w:ascii="NSimSun" w:eastAsia="NSimSun" w:hAnsi="NSimSun" w:cs="NSimSun"/>
        <w:sz w:val="14"/>
        <w:szCs w:val="14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2065579</wp:posOffset>
          </wp:positionV>
          <wp:extent cx="6887147" cy="8626423"/>
          <wp:effectExtent l="0" t="0" r="0" b="0"/>
          <wp:wrapNone/>
          <wp:docPr id="125539934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39934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87147" cy="86264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NSimSun" w:eastAsia="NSimSun" w:hAnsi="NSimSun" w:cs="NSimSun"/>
        <w:spacing w:val="-2"/>
        <w:sz w:val="14"/>
        <w:szCs w:val="14"/>
      </w:rPr>
      <w:t>前景展望：工业产品及建筑行业四大发展趋势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7"/>
      <w:rPr>
        <w:rFonts w:ascii="NSimSun" w:eastAsia="NSimSun" w:hAnsi="NSimSun" w:cs="NSimSun"/>
        <w:sz w:val="14"/>
        <w:szCs w:val="14"/>
      </w:rPr>
    </w:pPr>
    <w:r>
      <w:rPr>
        <w:rFonts w:ascii="NSimSun" w:eastAsia="NSimSun" w:hAnsi="NSimSun" w:cs="NSimSun"/>
        <w:spacing w:val="-2"/>
        <w:sz w:val="14"/>
        <w:szCs w:val="14"/>
      </w:rPr>
      <w:t>前景展望：工业产品及建筑行业四大发展趋势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NSimSun" w:eastAsia="NSimSun" w:hAnsi="NSimSun" w:cs="NSimSun"/>
      <w:sz w:val="17"/>
      <w:szCs w:val="1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image" Target="media/image6.pn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hyperlink" Target="https://d.book118.com/958133067015006036" TargetMode="Externa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1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前景展望：工业产品及建筑行业四大发展趋势</dc:title>
  <cp:revision>0</cp:revision>
  <dcterms:created xsi:type="dcterms:W3CDTF">2024-02-16T18:00:16Z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2024-02-16T18:06:40Z</vt:filetime>
  </property>
  <property fmtid="{D5CDD505-2E9C-101B-9397-08002B2CF9AE}" pid="3" name="CRO">
    <vt:lpwstr>wqlLaW5nc29mdCBQREYgdG8gV1BTIDkw</vt:lpwstr>
  </property>
</Properties>
</file>