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稳相微波射频同轴电缆项目规划设计方案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36" w:history="1">
        <w:r>
          <w:rPr>
            <w:rFonts w:ascii="仿宋" w:eastAsia="仿宋" w:hAnsi="仿宋" w:cs="仿宋" w:hint="eastAsia"/>
            <w:lang w:eastAsia="zh-CN"/>
          </w:rPr>
          <w:t>序言</w:t>
        </w:r>
        <w:r>
          <w:tab/>
        </w:r>
        <w:r>
          <w:fldChar w:fldCharType="begin"/>
        </w:r>
        <w:r>
          <w:instrText xml:space="preserve"> PAGEREF _Toc14736 \h </w:instrText>
        </w:r>
        <w:r>
          <w:fldChar w:fldCharType="separate"/>
        </w:r>
        <w:r>
          <w:t>3</w:t>
        </w:r>
        <w:r>
          <w:fldChar w:fldCharType="end"/>
        </w:r>
      </w:hyperlink>
    </w:p>
    <w:p>
      <w:pPr>
        <w:pStyle w:val="TOC1"/>
        <w:tabs>
          <w:tab w:val="right" w:leader="dot" w:pos="8306"/>
        </w:tabs>
      </w:pPr>
      <w:hyperlink w:anchor="_Toc25046" w:history="1">
        <w:r>
          <w:rPr>
            <w:rFonts w:ascii="仿宋" w:eastAsia="仿宋" w:hAnsi="仿宋" w:cs="仿宋" w:hint="eastAsia"/>
            <w:lang w:eastAsia="zh-CN"/>
          </w:rPr>
          <w:t>一、工艺说明</w:t>
        </w:r>
        <w:r>
          <w:tab/>
        </w:r>
        <w:r>
          <w:fldChar w:fldCharType="begin"/>
        </w:r>
        <w:r>
          <w:instrText xml:space="preserve"> PAGEREF _Toc25046 \h </w:instrText>
        </w:r>
        <w:r>
          <w:fldChar w:fldCharType="separate"/>
        </w:r>
        <w:r>
          <w:t>3</w:t>
        </w:r>
        <w:r>
          <w:fldChar w:fldCharType="end"/>
        </w:r>
      </w:hyperlink>
    </w:p>
    <w:p>
      <w:pPr>
        <w:pStyle w:val="TOC2"/>
        <w:tabs>
          <w:tab w:val="right" w:leader="dot" w:pos="8306"/>
        </w:tabs>
      </w:pPr>
      <w:hyperlink w:anchor="_Toc26029" w:history="1">
        <w:r>
          <w:rPr>
            <w:rFonts w:ascii="仿宋" w:eastAsia="仿宋" w:hAnsi="仿宋" w:cs="仿宋" w:hint="eastAsia"/>
            <w:lang w:eastAsia="zh-CN"/>
          </w:rPr>
          <w:t>(一)、技术管理特点</w:t>
        </w:r>
        <w:r>
          <w:tab/>
        </w:r>
        <w:r>
          <w:fldChar w:fldCharType="begin"/>
        </w:r>
        <w:r>
          <w:instrText xml:space="preserve"> PAGEREF _Toc26029 \h </w:instrText>
        </w:r>
        <w:r>
          <w:fldChar w:fldCharType="separate"/>
        </w:r>
        <w:r>
          <w:t>3</w:t>
        </w:r>
        <w:r>
          <w:fldChar w:fldCharType="end"/>
        </w:r>
      </w:hyperlink>
    </w:p>
    <w:p>
      <w:pPr>
        <w:pStyle w:val="TOC2"/>
        <w:tabs>
          <w:tab w:val="right" w:leader="dot" w:pos="8306"/>
        </w:tabs>
      </w:pPr>
      <w:hyperlink w:anchor="_Toc28510" w:history="1">
        <w:r>
          <w:rPr>
            <w:rFonts w:ascii="仿宋" w:eastAsia="仿宋" w:hAnsi="仿宋" w:cs="仿宋" w:hint="eastAsia"/>
            <w:lang w:eastAsia="zh-CN"/>
          </w:rPr>
          <w:t>(二)、稳相微波射频同轴电缆项目工艺技术设计方案</w:t>
        </w:r>
        <w:r>
          <w:tab/>
        </w:r>
        <w:r>
          <w:fldChar w:fldCharType="begin"/>
        </w:r>
        <w:r>
          <w:instrText xml:space="preserve"> PAGEREF _Toc28510 \h </w:instrText>
        </w:r>
        <w:r>
          <w:fldChar w:fldCharType="separate"/>
        </w:r>
        <w:r>
          <w:t>4</w:t>
        </w:r>
        <w:r>
          <w:fldChar w:fldCharType="end"/>
        </w:r>
      </w:hyperlink>
    </w:p>
    <w:p>
      <w:pPr>
        <w:pStyle w:val="TOC2"/>
        <w:tabs>
          <w:tab w:val="right" w:leader="dot" w:pos="8306"/>
        </w:tabs>
      </w:pPr>
      <w:hyperlink w:anchor="_Toc12573" w:history="1">
        <w:r>
          <w:rPr>
            <w:rFonts w:ascii="仿宋" w:eastAsia="仿宋" w:hAnsi="仿宋" w:cs="仿宋" w:hint="eastAsia"/>
            <w:lang w:eastAsia="zh-CN"/>
          </w:rPr>
          <w:t>(三)、设备选型方案</w:t>
        </w:r>
        <w:r>
          <w:tab/>
        </w:r>
        <w:r>
          <w:fldChar w:fldCharType="begin"/>
        </w:r>
        <w:r>
          <w:instrText xml:space="preserve"> PAGEREF _Toc12573 \h </w:instrText>
        </w:r>
        <w:r>
          <w:fldChar w:fldCharType="separate"/>
        </w:r>
        <w:r>
          <w:t>5</w:t>
        </w:r>
        <w:r>
          <w:fldChar w:fldCharType="end"/>
        </w:r>
      </w:hyperlink>
    </w:p>
    <w:p>
      <w:pPr>
        <w:pStyle w:val="TOC1"/>
        <w:tabs>
          <w:tab w:val="right" w:leader="dot" w:pos="8306"/>
        </w:tabs>
      </w:pPr>
      <w:hyperlink w:anchor="_Toc13340" w:history="1">
        <w:r>
          <w:rPr>
            <w:rFonts w:ascii="仿宋" w:eastAsia="仿宋" w:hAnsi="仿宋" w:cs="仿宋" w:hint="eastAsia"/>
            <w:lang w:eastAsia="zh-CN"/>
          </w:rPr>
          <w:t>二、产品规划分析</w:t>
        </w:r>
        <w:r>
          <w:tab/>
        </w:r>
        <w:r>
          <w:fldChar w:fldCharType="begin"/>
        </w:r>
        <w:r>
          <w:instrText xml:space="preserve"> PAGEREF _Toc13340 \h </w:instrText>
        </w:r>
        <w:r>
          <w:fldChar w:fldCharType="separate"/>
        </w:r>
        <w:r>
          <w:t>7</w:t>
        </w:r>
        <w:r>
          <w:fldChar w:fldCharType="end"/>
        </w:r>
      </w:hyperlink>
    </w:p>
    <w:p>
      <w:pPr>
        <w:pStyle w:val="TOC2"/>
        <w:tabs>
          <w:tab w:val="right" w:leader="dot" w:pos="8306"/>
        </w:tabs>
      </w:pPr>
      <w:hyperlink w:anchor="_Toc25692" w:history="1">
        <w:r>
          <w:rPr>
            <w:rFonts w:ascii="仿宋" w:eastAsia="仿宋" w:hAnsi="仿宋" w:cs="仿宋" w:hint="eastAsia"/>
            <w:lang w:eastAsia="zh-CN"/>
          </w:rPr>
          <w:t>(一)、产品规划</w:t>
        </w:r>
        <w:r>
          <w:tab/>
        </w:r>
        <w:r>
          <w:fldChar w:fldCharType="begin"/>
        </w:r>
        <w:r>
          <w:instrText xml:space="preserve"> PAGEREF _Toc25692 \h </w:instrText>
        </w:r>
        <w:r>
          <w:fldChar w:fldCharType="separate"/>
        </w:r>
        <w:r>
          <w:t>7</w:t>
        </w:r>
        <w:r>
          <w:fldChar w:fldCharType="end"/>
        </w:r>
      </w:hyperlink>
    </w:p>
    <w:p>
      <w:pPr>
        <w:pStyle w:val="TOC2"/>
        <w:tabs>
          <w:tab w:val="right" w:leader="dot" w:pos="8306"/>
        </w:tabs>
      </w:pPr>
      <w:hyperlink w:anchor="_Toc12820" w:history="1">
        <w:r>
          <w:rPr>
            <w:rFonts w:ascii="仿宋" w:eastAsia="仿宋" w:hAnsi="仿宋" w:cs="仿宋" w:hint="eastAsia"/>
            <w:lang w:eastAsia="zh-CN"/>
          </w:rPr>
          <w:t>(二)、建设规模</w:t>
        </w:r>
        <w:r>
          <w:tab/>
        </w:r>
        <w:r>
          <w:fldChar w:fldCharType="begin"/>
        </w:r>
        <w:r>
          <w:instrText xml:space="preserve"> PAGEREF _Toc12820 \h </w:instrText>
        </w:r>
        <w:r>
          <w:fldChar w:fldCharType="separate"/>
        </w:r>
        <w:r>
          <w:t>8</w:t>
        </w:r>
        <w:r>
          <w:fldChar w:fldCharType="end"/>
        </w:r>
      </w:hyperlink>
    </w:p>
    <w:p>
      <w:pPr>
        <w:pStyle w:val="TOC1"/>
        <w:tabs>
          <w:tab w:val="right" w:leader="dot" w:pos="8306"/>
        </w:tabs>
      </w:pPr>
      <w:hyperlink w:anchor="_Toc20209" w:history="1">
        <w:r>
          <w:rPr>
            <w:rFonts w:ascii="仿宋" w:eastAsia="仿宋" w:hAnsi="仿宋" w:cs="仿宋" w:hint="eastAsia"/>
            <w:lang w:eastAsia="zh-CN"/>
          </w:rPr>
          <w:t>三、稳相微波射频同轴电缆项目绩效评估</w:t>
        </w:r>
        <w:r>
          <w:tab/>
        </w:r>
        <w:r>
          <w:fldChar w:fldCharType="begin"/>
        </w:r>
        <w:r>
          <w:instrText xml:space="preserve"> PAGEREF _Toc20209 \h </w:instrText>
        </w:r>
        <w:r>
          <w:fldChar w:fldCharType="separate"/>
        </w:r>
        <w:r>
          <w:t>9</w:t>
        </w:r>
        <w:r>
          <w:fldChar w:fldCharType="end"/>
        </w:r>
      </w:hyperlink>
    </w:p>
    <w:p>
      <w:pPr>
        <w:pStyle w:val="TOC2"/>
        <w:tabs>
          <w:tab w:val="right" w:leader="dot" w:pos="8306"/>
        </w:tabs>
      </w:pPr>
      <w:hyperlink w:anchor="_Toc16897" w:history="1">
        <w:r>
          <w:rPr>
            <w:rFonts w:ascii="仿宋" w:eastAsia="仿宋" w:hAnsi="仿宋" w:cs="仿宋" w:hint="eastAsia"/>
            <w:lang w:eastAsia="zh-CN"/>
          </w:rPr>
          <w:t>(一)、绩效评估指标</w:t>
        </w:r>
        <w:r>
          <w:tab/>
        </w:r>
        <w:r>
          <w:fldChar w:fldCharType="begin"/>
        </w:r>
        <w:r>
          <w:instrText xml:space="preserve"> PAGEREF _Toc16897 \h </w:instrText>
        </w:r>
        <w:r>
          <w:fldChar w:fldCharType="separate"/>
        </w:r>
        <w:r>
          <w:t>9</w:t>
        </w:r>
        <w:r>
          <w:fldChar w:fldCharType="end"/>
        </w:r>
      </w:hyperlink>
    </w:p>
    <w:p>
      <w:pPr>
        <w:pStyle w:val="TOC2"/>
        <w:tabs>
          <w:tab w:val="right" w:leader="dot" w:pos="8306"/>
        </w:tabs>
      </w:pPr>
      <w:hyperlink w:anchor="_Toc14542" w:history="1">
        <w:r>
          <w:rPr>
            <w:rFonts w:ascii="仿宋" w:eastAsia="仿宋" w:hAnsi="仿宋" w:cs="仿宋" w:hint="eastAsia"/>
            <w:lang w:eastAsia="zh-CN"/>
          </w:rPr>
          <w:t>(二)、绩效评估方法</w:t>
        </w:r>
        <w:r>
          <w:tab/>
        </w:r>
        <w:r>
          <w:fldChar w:fldCharType="begin"/>
        </w:r>
        <w:r>
          <w:instrText xml:space="preserve"> PAGEREF _Toc14542 \h </w:instrText>
        </w:r>
        <w:r>
          <w:fldChar w:fldCharType="separate"/>
        </w:r>
        <w:r>
          <w:t>10</w:t>
        </w:r>
        <w:r>
          <w:fldChar w:fldCharType="end"/>
        </w:r>
      </w:hyperlink>
    </w:p>
    <w:p>
      <w:pPr>
        <w:pStyle w:val="TOC2"/>
        <w:tabs>
          <w:tab w:val="right" w:leader="dot" w:pos="8306"/>
        </w:tabs>
      </w:pPr>
      <w:hyperlink w:anchor="_Toc7585" w:history="1">
        <w:r>
          <w:rPr>
            <w:rFonts w:ascii="仿宋" w:eastAsia="仿宋" w:hAnsi="仿宋" w:cs="仿宋" w:hint="eastAsia"/>
            <w:lang w:eastAsia="zh-CN"/>
          </w:rPr>
          <w:t>(三)、绩效评估周期</w:t>
        </w:r>
        <w:r>
          <w:tab/>
        </w:r>
        <w:r>
          <w:fldChar w:fldCharType="begin"/>
        </w:r>
        <w:r>
          <w:instrText xml:space="preserve"> PAGEREF _Toc7585 \h </w:instrText>
        </w:r>
        <w:r>
          <w:fldChar w:fldCharType="separate"/>
        </w:r>
        <w:r>
          <w:t>11</w:t>
        </w:r>
        <w:r>
          <w:fldChar w:fldCharType="end"/>
        </w:r>
      </w:hyperlink>
    </w:p>
    <w:p>
      <w:pPr>
        <w:pStyle w:val="TOC1"/>
        <w:tabs>
          <w:tab w:val="right" w:leader="dot" w:pos="8306"/>
        </w:tabs>
      </w:pPr>
      <w:hyperlink w:anchor="_Toc10215" w:history="1">
        <w:r>
          <w:rPr>
            <w:rFonts w:ascii="仿宋" w:eastAsia="仿宋" w:hAnsi="仿宋" w:cs="仿宋" w:hint="eastAsia"/>
            <w:lang w:eastAsia="zh-CN"/>
          </w:rPr>
          <w:t>四、稳相微波射频同轴电缆项目危机管理</w:t>
        </w:r>
        <w:r>
          <w:tab/>
        </w:r>
        <w:r>
          <w:fldChar w:fldCharType="begin"/>
        </w:r>
        <w:r>
          <w:instrText xml:space="preserve"> PAGEREF _Toc10215 \h </w:instrText>
        </w:r>
        <w:r>
          <w:fldChar w:fldCharType="separate"/>
        </w:r>
        <w:r>
          <w:t>12</w:t>
        </w:r>
        <w:r>
          <w:fldChar w:fldCharType="end"/>
        </w:r>
      </w:hyperlink>
    </w:p>
    <w:p>
      <w:pPr>
        <w:pStyle w:val="TOC2"/>
        <w:tabs>
          <w:tab w:val="right" w:leader="dot" w:pos="8306"/>
        </w:tabs>
      </w:pPr>
      <w:hyperlink w:anchor="_Toc24961" w:history="1">
        <w:r>
          <w:rPr>
            <w:rFonts w:ascii="仿宋" w:eastAsia="仿宋" w:hAnsi="仿宋" w:cs="仿宋" w:hint="eastAsia"/>
            <w:lang w:eastAsia="zh-CN"/>
          </w:rPr>
          <w:t>(一)、危机预警与识别</w:t>
        </w:r>
        <w:r>
          <w:tab/>
        </w:r>
        <w:r>
          <w:fldChar w:fldCharType="begin"/>
        </w:r>
        <w:r>
          <w:instrText xml:space="preserve"> PAGEREF _Toc24961 \h </w:instrText>
        </w:r>
        <w:r>
          <w:fldChar w:fldCharType="separate"/>
        </w:r>
        <w:r>
          <w:t>12</w:t>
        </w:r>
        <w:r>
          <w:fldChar w:fldCharType="end"/>
        </w:r>
      </w:hyperlink>
    </w:p>
    <w:p>
      <w:pPr>
        <w:pStyle w:val="TOC2"/>
        <w:tabs>
          <w:tab w:val="right" w:leader="dot" w:pos="8306"/>
        </w:tabs>
      </w:pPr>
      <w:hyperlink w:anchor="_Toc25436" w:history="1">
        <w:r>
          <w:rPr>
            <w:rFonts w:ascii="仿宋" w:eastAsia="仿宋" w:hAnsi="仿宋" w:cs="仿宋" w:hint="eastAsia"/>
            <w:lang w:eastAsia="zh-CN"/>
          </w:rPr>
          <w:t>(二)、危机应对与恢复</w:t>
        </w:r>
        <w:r>
          <w:tab/>
        </w:r>
        <w:r>
          <w:fldChar w:fldCharType="begin"/>
        </w:r>
        <w:r>
          <w:instrText xml:space="preserve"> PAGEREF _Toc25436 \h </w:instrText>
        </w:r>
        <w:r>
          <w:fldChar w:fldCharType="separate"/>
        </w:r>
        <w:r>
          <w:t>13</w:t>
        </w:r>
        <w:r>
          <w:fldChar w:fldCharType="end"/>
        </w:r>
      </w:hyperlink>
    </w:p>
    <w:p>
      <w:pPr>
        <w:pStyle w:val="TOC1"/>
        <w:tabs>
          <w:tab w:val="right" w:leader="dot" w:pos="8306"/>
        </w:tabs>
      </w:pPr>
      <w:hyperlink w:anchor="_Toc27141" w:history="1">
        <w:r>
          <w:rPr>
            <w:rFonts w:ascii="仿宋" w:eastAsia="仿宋" w:hAnsi="仿宋" w:cs="仿宋" w:hint="eastAsia"/>
            <w:lang w:eastAsia="zh-CN"/>
          </w:rPr>
          <w:t>五、稳相微波射频同轴电缆项目土建工程</w:t>
        </w:r>
        <w:r>
          <w:tab/>
        </w:r>
        <w:r>
          <w:fldChar w:fldCharType="begin"/>
        </w:r>
        <w:r>
          <w:instrText xml:space="preserve"> PAGEREF _Toc27141 \h </w:instrText>
        </w:r>
        <w:r>
          <w:fldChar w:fldCharType="separate"/>
        </w:r>
        <w:r>
          <w:t>15</w:t>
        </w:r>
        <w:r>
          <w:fldChar w:fldCharType="end"/>
        </w:r>
      </w:hyperlink>
    </w:p>
    <w:p>
      <w:pPr>
        <w:pStyle w:val="TOC2"/>
        <w:tabs>
          <w:tab w:val="right" w:leader="dot" w:pos="8306"/>
        </w:tabs>
      </w:pPr>
      <w:hyperlink w:anchor="_Toc10452" w:history="1">
        <w:r>
          <w:rPr>
            <w:rFonts w:ascii="仿宋" w:eastAsia="仿宋" w:hAnsi="仿宋" w:cs="仿宋" w:hint="eastAsia"/>
            <w:lang w:eastAsia="zh-CN"/>
          </w:rPr>
          <w:t>(一)、建筑工程设计原则</w:t>
        </w:r>
        <w:r>
          <w:tab/>
        </w:r>
        <w:r>
          <w:fldChar w:fldCharType="begin"/>
        </w:r>
        <w:r>
          <w:instrText xml:space="preserve"> PAGEREF _Toc10452 \h </w:instrText>
        </w:r>
        <w:r>
          <w:fldChar w:fldCharType="separate"/>
        </w:r>
        <w:r>
          <w:t>15</w:t>
        </w:r>
        <w:r>
          <w:fldChar w:fldCharType="end"/>
        </w:r>
      </w:hyperlink>
    </w:p>
    <w:p>
      <w:pPr>
        <w:pStyle w:val="TOC2"/>
        <w:tabs>
          <w:tab w:val="right" w:leader="dot" w:pos="8306"/>
        </w:tabs>
      </w:pPr>
      <w:hyperlink w:anchor="_Toc19893" w:history="1">
        <w:r>
          <w:rPr>
            <w:rFonts w:ascii="仿宋" w:eastAsia="仿宋" w:hAnsi="仿宋" w:cs="仿宋" w:hint="eastAsia"/>
            <w:lang w:eastAsia="zh-CN"/>
          </w:rPr>
          <w:t>(二)、土建工程设计年限及安全等级</w:t>
        </w:r>
        <w:r>
          <w:tab/>
        </w:r>
        <w:r>
          <w:fldChar w:fldCharType="begin"/>
        </w:r>
        <w:r>
          <w:instrText xml:space="preserve"> PAGEREF _Toc19893 \h </w:instrText>
        </w:r>
        <w:r>
          <w:fldChar w:fldCharType="separate"/>
        </w:r>
        <w:r>
          <w:t>16</w:t>
        </w:r>
        <w:r>
          <w:fldChar w:fldCharType="end"/>
        </w:r>
      </w:hyperlink>
    </w:p>
    <w:p>
      <w:pPr>
        <w:pStyle w:val="TOC2"/>
        <w:tabs>
          <w:tab w:val="right" w:leader="dot" w:pos="8306"/>
        </w:tabs>
      </w:pPr>
      <w:hyperlink w:anchor="_Toc28179" w:history="1">
        <w:r>
          <w:rPr>
            <w:rFonts w:ascii="仿宋" w:eastAsia="仿宋" w:hAnsi="仿宋" w:cs="仿宋" w:hint="eastAsia"/>
            <w:lang w:eastAsia="zh-CN"/>
          </w:rPr>
          <w:t>(三)、建筑工程设计总体要求</w:t>
        </w:r>
        <w:r>
          <w:tab/>
        </w:r>
        <w:r>
          <w:fldChar w:fldCharType="begin"/>
        </w:r>
        <w:r>
          <w:instrText xml:space="preserve"> PAGEREF _Toc28179 \h </w:instrText>
        </w:r>
        <w:r>
          <w:fldChar w:fldCharType="separate"/>
        </w:r>
        <w:r>
          <w:t>17</w:t>
        </w:r>
        <w:r>
          <w:fldChar w:fldCharType="end"/>
        </w:r>
      </w:hyperlink>
    </w:p>
    <w:p>
      <w:pPr>
        <w:pStyle w:val="TOC2"/>
        <w:tabs>
          <w:tab w:val="right" w:leader="dot" w:pos="8306"/>
        </w:tabs>
      </w:pPr>
      <w:hyperlink w:anchor="_Toc1834" w:history="1">
        <w:r>
          <w:rPr>
            <w:rFonts w:ascii="仿宋" w:eastAsia="仿宋" w:hAnsi="仿宋" w:cs="仿宋" w:hint="eastAsia"/>
            <w:lang w:eastAsia="zh-CN"/>
          </w:rPr>
          <w:t>(四)、土建工程建设指标</w:t>
        </w:r>
        <w:r>
          <w:tab/>
        </w:r>
        <w:r>
          <w:fldChar w:fldCharType="begin"/>
        </w:r>
        <w:r>
          <w:instrText xml:space="preserve"> PAGEREF _Toc1834 \h </w:instrText>
        </w:r>
        <w:r>
          <w:fldChar w:fldCharType="separate"/>
        </w:r>
        <w:r>
          <w:t>18</w:t>
        </w:r>
        <w:r>
          <w:fldChar w:fldCharType="end"/>
        </w:r>
      </w:hyperlink>
    </w:p>
    <w:p>
      <w:pPr>
        <w:pStyle w:val="TOC1"/>
        <w:tabs>
          <w:tab w:val="right" w:leader="dot" w:pos="8306"/>
        </w:tabs>
      </w:pPr>
      <w:hyperlink w:anchor="_Toc6086" w:history="1">
        <w:r>
          <w:rPr>
            <w:rFonts w:ascii="仿宋" w:eastAsia="仿宋" w:hAnsi="仿宋" w:cs="仿宋" w:hint="eastAsia"/>
            <w:lang w:eastAsia="zh-CN"/>
          </w:rPr>
          <w:t>六、稳相微波射频同轴电缆项目文档管理</w:t>
        </w:r>
        <w:r>
          <w:tab/>
        </w:r>
        <w:r>
          <w:fldChar w:fldCharType="begin"/>
        </w:r>
        <w:r>
          <w:instrText xml:space="preserve"> PAGEREF _Toc6086 \h </w:instrText>
        </w:r>
        <w:r>
          <w:fldChar w:fldCharType="separate"/>
        </w:r>
        <w:r>
          <w:t>18</w:t>
        </w:r>
        <w:r>
          <w:fldChar w:fldCharType="end"/>
        </w:r>
      </w:hyperlink>
    </w:p>
    <w:p>
      <w:pPr>
        <w:pStyle w:val="TOC2"/>
        <w:tabs>
          <w:tab w:val="right" w:leader="dot" w:pos="8306"/>
        </w:tabs>
      </w:pPr>
      <w:hyperlink w:anchor="_Toc13056" w:history="1">
        <w:r>
          <w:rPr>
            <w:rFonts w:ascii="仿宋" w:eastAsia="仿宋" w:hAnsi="仿宋" w:cs="仿宋" w:hint="eastAsia"/>
            <w:lang w:eastAsia="zh-CN"/>
          </w:rPr>
          <w:t>(一)、文档编制与审查</w:t>
        </w:r>
        <w:r>
          <w:tab/>
        </w:r>
        <w:r>
          <w:fldChar w:fldCharType="begin"/>
        </w:r>
        <w:r>
          <w:instrText xml:space="preserve"> PAGEREF _Toc13056 \h </w:instrText>
        </w:r>
        <w:r>
          <w:fldChar w:fldCharType="separate"/>
        </w:r>
        <w:r>
          <w:t>18</w:t>
        </w:r>
        <w:r>
          <w:fldChar w:fldCharType="end"/>
        </w:r>
      </w:hyperlink>
    </w:p>
    <w:p>
      <w:pPr>
        <w:pStyle w:val="TOC2"/>
        <w:tabs>
          <w:tab w:val="right" w:leader="dot" w:pos="8306"/>
        </w:tabs>
      </w:pPr>
      <w:hyperlink w:anchor="_Toc6165" w:history="1">
        <w:r>
          <w:rPr>
            <w:rFonts w:ascii="仿宋" w:eastAsia="仿宋" w:hAnsi="仿宋" w:cs="仿宋" w:hint="eastAsia"/>
            <w:lang w:eastAsia="zh-CN"/>
          </w:rPr>
          <w:t>(二)、文档发布与分发</w:t>
        </w:r>
        <w:r>
          <w:tab/>
        </w:r>
        <w:r>
          <w:fldChar w:fldCharType="begin"/>
        </w:r>
        <w:r>
          <w:instrText xml:space="preserve"> PAGEREF _Toc6165 \h </w:instrText>
        </w:r>
        <w:r>
          <w:fldChar w:fldCharType="separate"/>
        </w:r>
        <w:r>
          <w:t>20</w:t>
        </w:r>
        <w:r>
          <w:fldChar w:fldCharType="end"/>
        </w:r>
      </w:hyperlink>
    </w:p>
    <w:p>
      <w:pPr>
        <w:pStyle w:val="TOC2"/>
        <w:tabs>
          <w:tab w:val="right" w:leader="dot" w:pos="8306"/>
        </w:tabs>
      </w:pPr>
      <w:hyperlink w:anchor="_Toc10939" w:history="1">
        <w:r>
          <w:rPr>
            <w:rFonts w:ascii="仿宋" w:eastAsia="仿宋" w:hAnsi="仿宋" w:cs="仿宋" w:hint="eastAsia"/>
            <w:lang w:eastAsia="zh-CN"/>
          </w:rPr>
          <w:t>(三)、文档存档与归档</w:t>
        </w:r>
        <w:r>
          <w:tab/>
        </w:r>
        <w:r>
          <w:fldChar w:fldCharType="begin"/>
        </w:r>
        <w:r>
          <w:instrText xml:space="preserve"> PAGEREF _Toc10939 \h </w:instrText>
        </w:r>
        <w:r>
          <w:fldChar w:fldCharType="separate"/>
        </w:r>
        <w:r>
          <w:t>21</w:t>
        </w:r>
        <w:r>
          <w:fldChar w:fldCharType="end"/>
        </w:r>
      </w:hyperlink>
    </w:p>
    <w:p>
      <w:pPr>
        <w:pStyle w:val="TOC1"/>
        <w:tabs>
          <w:tab w:val="right" w:leader="dot" w:pos="8306"/>
        </w:tabs>
      </w:pPr>
      <w:hyperlink w:anchor="_Toc14985" w:history="1">
        <w:r>
          <w:rPr>
            <w:rFonts w:ascii="仿宋" w:eastAsia="仿宋" w:hAnsi="仿宋" w:cs="仿宋" w:hint="eastAsia"/>
            <w:lang w:eastAsia="zh-CN"/>
          </w:rPr>
          <w:t>七、稳相微波射频同轴电缆项目人力资源管理</w:t>
        </w:r>
        <w:r>
          <w:tab/>
        </w:r>
        <w:r>
          <w:fldChar w:fldCharType="begin"/>
        </w:r>
        <w:r>
          <w:instrText xml:space="preserve"> PAGEREF _Toc14985 \h </w:instrText>
        </w:r>
        <w:r>
          <w:fldChar w:fldCharType="separate"/>
        </w:r>
        <w:r>
          <w:t>22</w:t>
        </w:r>
        <w:r>
          <w:fldChar w:fldCharType="end"/>
        </w:r>
      </w:hyperlink>
    </w:p>
    <w:p>
      <w:pPr>
        <w:pStyle w:val="TOC2"/>
        <w:tabs>
          <w:tab w:val="right" w:leader="dot" w:pos="8306"/>
        </w:tabs>
      </w:pPr>
      <w:hyperlink w:anchor="_Toc19338" w:history="1">
        <w:r>
          <w:rPr>
            <w:rFonts w:ascii="仿宋" w:eastAsia="仿宋" w:hAnsi="仿宋" w:cs="仿宋" w:hint="eastAsia"/>
            <w:lang w:eastAsia="zh-CN"/>
          </w:rPr>
          <w:t>(一)、建立健全的预算管理制度</w:t>
        </w:r>
        <w:r>
          <w:tab/>
        </w:r>
        <w:r>
          <w:fldChar w:fldCharType="begin"/>
        </w:r>
        <w:r>
          <w:instrText xml:space="preserve"> PAGEREF _Toc19338 \h </w:instrText>
        </w:r>
        <w:r>
          <w:fldChar w:fldCharType="separate"/>
        </w:r>
        <w:r>
          <w:t>22</w:t>
        </w:r>
        <w:r>
          <w:fldChar w:fldCharType="end"/>
        </w:r>
      </w:hyperlink>
    </w:p>
    <w:p>
      <w:pPr>
        <w:pStyle w:val="TOC2"/>
        <w:tabs>
          <w:tab w:val="right" w:leader="dot" w:pos="8306"/>
        </w:tabs>
      </w:pPr>
      <w:hyperlink w:anchor="_Toc20540" w:history="1">
        <w:r>
          <w:rPr>
            <w:rFonts w:ascii="仿宋" w:eastAsia="仿宋" w:hAnsi="仿宋" w:cs="仿宋" w:hint="eastAsia"/>
            <w:lang w:eastAsia="zh-CN"/>
          </w:rPr>
          <w:t>(二)、加强资金流动监控</w:t>
        </w:r>
        <w:r>
          <w:tab/>
        </w:r>
        <w:r>
          <w:fldChar w:fldCharType="begin"/>
        </w:r>
        <w:r>
          <w:instrText xml:space="preserve"> PAGEREF _Toc20540 \h </w:instrText>
        </w:r>
        <w:r>
          <w:fldChar w:fldCharType="separate"/>
        </w:r>
        <w:r>
          <w:t>24</w:t>
        </w:r>
        <w:r>
          <w:fldChar w:fldCharType="end"/>
        </w:r>
      </w:hyperlink>
    </w:p>
    <w:p>
      <w:pPr>
        <w:pStyle w:val="TOC2"/>
        <w:tabs>
          <w:tab w:val="right" w:leader="dot" w:pos="8306"/>
        </w:tabs>
      </w:pPr>
      <w:hyperlink w:anchor="_Toc28730" w:history="1">
        <w:r>
          <w:rPr>
            <w:rFonts w:ascii="仿宋" w:eastAsia="仿宋" w:hAnsi="仿宋" w:cs="仿宋" w:hint="eastAsia"/>
            <w:lang w:eastAsia="zh-CN"/>
          </w:rPr>
          <w:t>(三)、制定完善的风险控制机制</w:t>
        </w:r>
        <w:r>
          <w:tab/>
        </w:r>
        <w:r>
          <w:fldChar w:fldCharType="begin"/>
        </w:r>
        <w:r>
          <w:instrText xml:space="preserve"> PAGEREF _Toc28730 \h </w:instrText>
        </w:r>
        <w:r>
          <w:fldChar w:fldCharType="separate"/>
        </w:r>
        <w:r>
          <w:t>25</w:t>
        </w:r>
        <w:r>
          <w:fldChar w:fldCharType="end"/>
        </w:r>
      </w:hyperlink>
    </w:p>
    <w:p>
      <w:pPr>
        <w:pStyle w:val="TOC2"/>
        <w:tabs>
          <w:tab w:val="right" w:leader="dot" w:pos="8306"/>
        </w:tabs>
      </w:pPr>
      <w:hyperlink w:anchor="_Toc18032" w:history="1">
        <w:r>
          <w:rPr>
            <w:rFonts w:ascii="仿宋" w:eastAsia="仿宋" w:hAnsi="仿宋" w:cs="仿宋" w:hint="eastAsia"/>
            <w:lang w:eastAsia="zh-CN"/>
          </w:rPr>
          <w:t>(四)、优化成本管理</w:t>
        </w:r>
        <w:r>
          <w:tab/>
        </w:r>
        <w:r>
          <w:fldChar w:fldCharType="begin"/>
        </w:r>
        <w:r>
          <w:instrText xml:space="preserve"> PAGEREF _Toc18032 \h </w:instrText>
        </w:r>
        <w:r>
          <w:fldChar w:fldCharType="separate"/>
        </w:r>
        <w:r>
          <w:t>26</w:t>
        </w:r>
        <w:r>
          <w:fldChar w:fldCharType="end"/>
        </w:r>
      </w:hyperlink>
    </w:p>
    <w:p>
      <w:pPr>
        <w:pStyle w:val="TOC1"/>
        <w:tabs>
          <w:tab w:val="right" w:leader="dot" w:pos="8306"/>
        </w:tabs>
      </w:pPr>
      <w:hyperlink w:anchor="_Toc8175" w:history="1">
        <w:r>
          <w:rPr>
            <w:rFonts w:ascii="仿宋" w:eastAsia="仿宋" w:hAnsi="仿宋" w:cs="仿宋" w:hint="eastAsia"/>
            <w:lang w:eastAsia="zh-CN"/>
          </w:rPr>
          <w:t>八、稳相微波射频同轴电缆项目风险管理</w:t>
        </w:r>
        <w:r>
          <w:tab/>
        </w:r>
        <w:r>
          <w:fldChar w:fldCharType="begin"/>
        </w:r>
        <w:r>
          <w:instrText xml:space="preserve"> PAGEREF _Toc8175 \h </w:instrText>
        </w:r>
        <w:r>
          <w:fldChar w:fldCharType="separate"/>
        </w:r>
        <w:r>
          <w:t>28</w:t>
        </w:r>
        <w:r>
          <w:fldChar w:fldCharType="end"/>
        </w:r>
      </w:hyperlink>
    </w:p>
    <w:p>
      <w:pPr>
        <w:pStyle w:val="TOC2"/>
        <w:tabs>
          <w:tab w:val="right" w:leader="dot" w:pos="8306"/>
        </w:tabs>
      </w:pPr>
      <w:hyperlink w:anchor="_Toc17153" w:history="1">
        <w:r>
          <w:rPr>
            <w:rFonts w:ascii="仿宋" w:eastAsia="仿宋" w:hAnsi="仿宋" w:cs="仿宋" w:hint="eastAsia"/>
            <w:lang w:eastAsia="zh-CN"/>
          </w:rPr>
          <w:t>(一)、风险识别与评估</w:t>
        </w:r>
        <w:r>
          <w:tab/>
        </w:r>
        <w:r>
          <w:fldChar w:fldCharType="begin"/>
        </w:r>
        <w:r>
          <w:instrText xml:space="preserve"> PAGEREF _Toc17153 \h </w:instrText>
        </w:r>
        <w:r>
          <w:fldChar w:fldCharType="separate"/>
        </w:r>
        <w:r>
          <w:t>28</w:t>
        </w:r>
        <w:r>
          <w:fldChar w:fldCharType="end"/>
        </w:r>
      </w:hyperlink>
    </w:p>
    <w:p>
      <w:pPr>
        <w:pStyle w:val="TOC2"/>
        <w:tabs>
          <w:tab w:val="right" w:leader="dot" w:pos="8306"/>
        </w:tabs>
      </w:pPr>
      <w:hyperlink w:anchor="_Toc16205" w:history="1">
        <w:r>
          <w:rPr>
            <w:rFonts w:ascii="仿宋" w:eastAsia="仿宋" w:hAnsi="仿宋" w:cs="仿宋" w:hint="eastAsia"/>
            <w:lang w:eastAsia="zh-CN"/>
          </w:rPr>
          <w:t>(二)、风险应对策略</w:t>
        </w:r>
        <w:r>
          <w:tab/>
        </w:r>
        <w:r>
          <w:fldChar w:fldCharType="begin"/>
        </w:r>
        <w:r>
          <w:instrText xml:space="preserve"> PAGEREF _Toc16205 \h </w:instrText>
        </w:r>
        <w:r>
          <w:fldChar w:fldCharType="separate"/>
        </w:r>
        <w:r>
          <w:t>29</w:t>
        </w:r>
        <w:r>
          <w:fldChar w:fldCharType="end"/>
        </w:r>
      </w:hyperlink>
    </w:p>
    <w:p>
      <w:pPr>
        <w:pStyle w:val="TOC2"/>
        <w:tabs>
          <w:tab w:val="right" w:leader="dot" w:pos="8306"/>
        </w:tabs>
      </w:pPr>
      <w:hyperlink w:anchor="_Toc32081" w:history="1">
        <w:r>
          <w:rPr>
            <w:rFonts w:ascii="仿宋" w:eastAsia="仿宋" w:hAnsi="仿宋" w:cs="仿宋" w:hint="eastAsia"/>
            <w:lang w:eastAsia="zh-CN"/>
          </w:rPr>
          <w:t>(三)、风险监控与控制</w:t>
        </w:r>
        <w:r>
          <w:tab/>
        </w:r>
        <w:r>
          <w:fldChar w:fldCharType="begin"/>
        </w:r>
        <w:r>
          <w:instrText xml:space="preserve"> PAGEREF _Toc32081 \h </w:instrText>
        </w:r>
        <w:r>
          <w:fldChar w:fldCharType="separate"/>
        </w:r>
        <w:r>
          <w:t>31</w:t>
        </w:r>
        <w:r>
          <w:fldChar w:fldCharType="end"/>
        </w:r>
      </w:hyperlink>
    </w:p>
    <w:p>
      <w:pPr>
        <w:pStyle w:val="TOC1"/>
        <w:tabs>
          <w:tab w:val="right" w:leader="dot" w:pos="8306"/>
        </w:tabs>
      </w:pPr>
      <w:hyperlink w:anchor="_Toc16440" w:history="1">
        <w:r>
          <w:rPr>
            <w:rFonts w:ascii="仿宋" w:eastAsia="仿宋" w:hAnsi="仿宋" w:cs="仿宋" w:hint="eastAsia"/>
            <w:lang w:eastAsia="zh-CN"/>
          </w:rPr>
          <w:t>九、稳相微波射频同轴电缆项目人力资源培养与发展</w:t>
        </w:r>
        <w:r>
          <w:tab/>
        </w:r>
        <w:r>
          <w:fldChar w:fldCharType="begin"/>
        </w:r>
        <w:r>
          <w:instrText xml:space="preserve"> PAGEREF _Toc16440 \h </w:instrText>
        </w:r>
        <w:r>
          <w:fldChar w:fldCharType="separate"/>
        </w:r>
        <w:r>
          <w:t>32</w:t>
        </w:r>
        <w:r>
          <w:fldChar w:fldCharType="end"/>
        </w:r>
      </w:hyperlink>
    </w:p>
    <w:p>
      <w:pPr>
        <w:pStyle w:val="TOC2"/>
        <w:tabs>
          <w:tab w:val="right" w:leader="dot" w:pos="8306"/>
        </w:tabs>
      </w:pPr>
      <w:hyperlink w:anchor="_Toc32668" w:history="1">
        <w:r>
          <w:rPr>
            <w:rFonts w:ascii="仿宋" w:eastAsia="仿宋" w:hAnsi="仿宋" w:cs="仿宋" w:hint="eastAsia"/>
            <w:lang w:eastAsia="zh-CN"/>
          </w:rPr>
          <w:t>(一)、人才需求与规划</w:t>
        </w:r>
        <w:r>
          <w:tab/>
        </w:r>
        <w:r>
          <w:fldChar w:fldCharType="begin"/>
        </w:r>
        <w:r>
          <w:instrText xml:space="preserve"> PAGEREF _Toc32668 \h </w:instrText>
        </w:r>
        <w:r>
          <w:fldChar w:fldCharType="separate"/>
        </w:r>
        <w:r>
          <w:t>32</w:t>
        </w:r>
        <w:r>
          <w:fldChar w:fldCharType="end"/>
        </w:r>
      </w:hyperlink>
    </w:p>
    <w:p>
      <w:pPr>
        <w:pStyle w:val="TOC2"/>
        <w:tabs>
          <w:tab w:val="right" w:leader="dot" w:pos="8306"/>
        </w:tabs>
      </w:pPr>
      <w:hyperlink w:anchor="_Toc27737" w:history="1">
        <w:r>
          <w:rPr>
            <w:rFonts w:ascii="仿宋" w:eastAsia="仿宋" w:hAnsi="仿宋" w:cs="仿宋" w:hint="eastAsia"/>
            <w:lang w:eastAsia="zh-CN"/>
          </w:rPr>
          <w:t>(二)、培训与发展计划</w:t>
        </w:r>
        <w:r>
          <w:tab/>
        </w:r>
        <w:r>
          <w:fldChar w:fldCharType="begin"/>
        </w:r>
        <w:r>
          <w:instrText xml:space="preserve"> PAGEREF _Toc27737 \h </w:instrText>
        </w:r>
        <w:r>
          <w:fldChar w:fldCharType="separate"/>
        </w:r>
        <w:r>
          <w:t>33</w:t>
        </w:r>
        <w:r>
          <w:fldChar w:fldCharType="end"/>
        </w:r>
      </w:hyperlink>
    </w:p>
    <w:p>
      <w:pPr>
        <w:pStyle w:val="TOC1"/>
        <w:tabs>
          <w:tab w:val="right" w:leader="dot" w:pos="8306"/>
        </w:tabs>
      </w:pPr>
      <w:hyperlink w:anchor="_Toc7122" w:history="1">
        <w:r>
          <w:rPr>
            <w:rFonts w:ascii="仿宋" w:eastAsia="仿宋" w:hAnsi="仿宋" w:cs="仿宋" w:hint="eastAsia"/>
            <w:lang w:eastAsia="zh-CN"/>
          </w:rPr>
          <w:t>十、稳相微波射频同轴电缆项目经营效益</w:t>
        </w:r>
        <w:r>
          <w:tab/>
        </w:r>
        <w:r>
          <w:fldChar w:fldCharType="begin"/>
        </w:r>
        <w:r>
          <w:instrText xml:space="preserve"> PAGEREF _Toc7122 \h </w:instrText>
        </w:r>
        <w:r>
          <w:fldChar w:fldCharType="separate"/>
        </w:r>
        <w:r>
          <w:t>33</w:t>
        </w:r>
        <w:r>
          <w:fldChar w:fldCharType="end"/>
        </w:r>
      </w:hyperlink>
    </w:p>
    <w:p>
      <w:pPr>
        <w:pStyle w:val="TOC2"/>
        <w:tabs>
          <w:tab w:val="right" w:leader="dot" w:pos="8306"/>
        </w:tabs>
      </w:pPr>
      <w:hyperlink w:anchor="_Toc2314" w:history="1">
        <w:r>
          <w:rPr>
            <w:rFonts w:ascii="仿宋" w:eastAsia="仿宋" w:hAnsi="仿宋" w:cs="仿宋" w:hint="eastAsia"/>
            <w:lang w:eastAsia="zh-CN"/>
          </w:rPr>
          <w:t>(一)、经济评价财务测算</w:t>
        </w:r>
        <w:r>
          <w:tab/>
        </w:r>
        <w:r>
          <w:fldChar w:fldCharType="begin"/>
        </w:r>
        <w:r>
          <w:instrText xml:space="preserve"> PAGEREF _Toc2314 \h </w:instrText>
        </w:r>
        <w:r>
          <w:fldChar w:fldCharType="separate"/>
        </w:r>
        <w:r>
          <w:t>33</w:t>
        </w:r>
        <w:r>
          <w:fldChar w:fldCharType="end"/>
        </w:r>
      </w:hyperlink>
    </w:p>
    <w:p>
      <w:pPr>
        <w:pStyle w:val="TOC2"/>
        <w:tabs>
          <w:tab w:val="right" w:leader="dot" w:pos="8306"/>
        </w:tabs>
      </w:pPr>
      <w:hyperlink w:anchor="_Toc30829" w:history="1">
        <w:r>
          <w:rPr>
            <w:rFonts w:ascii="仿宋" w:eastAsia="仿宋" w:hAnsi="仿宋" w:cs="仿宋" w:hint="eastAsia"/>
            <w:lang w:eastAsia="zh-CN"/>
          </w:rPr>
          <w:t>(二)、稳相微波射频同轴电缆项目盈利能力分析</w:t>
        </w:r>
        <w:r>
          <w:tab/>
        </w:r>
        <w:r>
          <w:fldChar w:fldCharType="begin"/>
        </w:r>
        <w:r>
          <w:instrText xml:space="preserve"> PAGEREF _Toc30829 \h </w:instrText>
        </w:r>
        <w:r>
          <w:fldChar w:fldCharType="separate"/>
        </w:r>
        <w:r>
          <w:t>35</w:t>
        </w:r>
        <w:r>
          <w:fldChar w:fldCharType="end"/>
        </w:r>
      </w:hyperlink>
    </w:p>
    <w:p>
      <w:pPr>
        <w:pStyle w:val="TOC1"/>
        <w:tabs>
          <w:tab w:val="right" w:leader="dot" w:pos="8306"/>
        </w:tabs>
      </w:pPr>
      <w:hyperlink w:anchor="_Toc18258" w:history="1">
        <w:r>
          <w:rPr>
            <w:rFonts w:ascii="仿宋" w:eastAsia="仿宋" w:hAnsi="仿宋" w:cs="仿宋" w:hint="eastAsia"/>
            <w:lang w:eastAsia="zh-CN"/>
          </w:rPr>
          <w:t>十一、稳相微波射频同轴电缆项目财务管理</w:t>
        </w:r>
        <w:r>
          <w:tab/>
        </w:r>
        <w:r>
          <w:fldChar w:fldCharType="begin"/>
        </w:r>
        <w:r>
          <w:instrText xml:space="preserve"> PAGEREF _Toc18258 \h </w:instrText>
        </w:r>
        <w:r>
          <w:fldChar w:fldCharType="separate"/>
        </w:r>
        <w:r>
          <w:t>35</w:t>
        </w:r>
        <w:r>
          <w:fldChar w:fldCharType="end"/>
        </w:r>
      </w:hyperlink>
    </w:p>
    <w:p>
      <w:pPr>
        <w:pStyle w:val="TOC2"/>
        <w:tabs>
          <w:tab w:val="right" w:leader="dot" w:pos="8306"/>
        </w:tabs>
      </w:pPr>
      <w:hyperlink w:anchor="_Toc31971" w:history="1">
        <w:r>
          <w:rPr>
            <w:rFonts w:ascii="仿宋" w:eastAsia="仿宋" w:hAnsi="仿宋" w:cs="仿宋" w:hint="eastAsia"/>
            <w:lang w:eastAsia="zh-CN"/>
          </w:rPr>
          <w:t>(一)、资金需求大</w:t>
        </w:r>
        <w:r>
          <w:tab/>
        </w:r>
        <w:r>
          <w:fldChar w:fldCharType="begin"/>
        </w:r>
        <w:r>
          <w:instrText xml:space="preserve"> PAGEREF _Toc31971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7" w:history="1">
        <w:r>
          <w:rPr>
            <w:rFonts w:ascii="仿宋" w:eastAsia="仿宋" w:hAnsi="仿宋" w:cs="仿宋" w:hint="eastAsia"/>
            <w:lang w:eastAsia="zh-CN"/>
          </w:rPr>
          <w:t>(二)、研发周期长</w:t>
        </w:r>
        <w:r>
          <w:tab/>
        </w:r>
        <w:r>
          <w:fldChar w:fldCharType="begin"/>
        </w:r>
        <w:r>
          <w:instrText xml:space="preserve"> PAGEREF _Toc18717 \h </w:instrText>
        </w:r>
        <w:r>
          <w:fldChar w:fldCharType="separate"/>
        </w:r>
        <w:r>
          <w:t>37</w:t>
        </w:r>
        <w:r>
          <w:fldChar w:fldCharType="end"/>
        </w:r>
      </w:hyperlink>
    </w:p>
    <w:p>
      <w:pPr>
        <w:pStyle w:val="TOC2"/>
        <w:tabs>
          <w:tab w:val="right" w:leader="dot" w:pos="8306"/>
        </w:tabs>
      </w:pPr>
      <w:hyperlink w:anchor="_Toc25243" w:history="1">
        <w:r>
          <w:rPr>
            <w:rFonts w:ascii="仿宋" w:eastAsia="仿宋" w:hAnsi="仿宋" w:cs="仿宋" w:hint="eastAsia"/>
            <w:lang w:eastAsia="zh-CN"/>
          </w:rPr>
          <w:t>(三)、市场风险大</w:t>
        </w:r>
        <w:r>
          <w:tab/>
        </w:r>
        <w:r>
          <w:fldChar w:fldCharType="begin"/>
        </w:r>
        <w:r>
          <w:instrText xml:space="preserve"> PAGEREF _Toc25243 \h </w:instrText>
        </w:r>
        <w:r>
          <w:fldChar w:fldCharType="separate"/>
        </w:r>
        <w:r>
          <w:t>38</w:t>
        </w:r>
        <w:r>
          <w:fldChar w:fldCharType="end"/>
        </w:r>
      </w:hyperlink>
    </w:p>
    <w:p>
      <w:pPr>
        <w:pStyle w:val="TOC2"/>
        <w:tabs>
          <w:tab w:val="right" w:leader="dot" w:pos="8306"/>
        </w:tabs>
      </w:pPr>
      <w:hyperlink w:anchor="_Toc3282" w:history="1">
        <w:r>
          <w:rPr>
            <w:rFonts w:ascii="仿宋" w:eastAsia="仿宋" w:hAnsi="仿宋" w:cs="仿宋" w:hint="eastAsia"/>
            <w:lang w:eastAsia="zh-CN"/>
          </w:rPr>
          <w:t>(四)、利润率高</w:t>
        </w:r>
        <w:r>
          <w:tab/>
        </w:r>
        <w:r>
          <w:fldChar w:fldCharType="begin"/>
        </w:r>
        <w:r>
          <w:instrText xml:space="preserve"> PAGEREF _Toc3282 \h </w:instrText>
        </w:r>
        <w:r>
          <w:fldChar w:fldCharType="separate"/>
        </w:r>
        <w:r>
          <w:t>41</w:t>
        </w:r>
        <w:r>
          <w:fldChar w:fldCharType="end"/>
        </w:r>
      </w:hyperlink>
    </w:p>
    <w:p>
      <w:pPr>
        <w:pStyle w:val="TOC1"/>
        <w:tabs>
          <w:tab w:val="right" w:leader="dot" w:pos="8306"/>
        </w:tabs>
      </w:pPr>
      <w:hyperlink w:anchor="_Toc5772" w:history="1">
        <w:r>
          <w:rPr>
            <w:rFonts w:ascii="仿宋" w:eastAsia="仿宋" w:hAnsi="仿宋" w:cs="仿宋" w:hint="eastAsia"/>
            <w:lang w:eastAsia="zh-CN"/>
          </w:rPr>
          <w:t>十二、稳相微波射频同轴电缆项目技术管理</w:t>
        </w:r>
        <w:r>
          <w:tab/>
        </w:r>
        <w:r>
          <w:fldChar w:fldCharType="begin"/>
        </w:r>
        <w:r>
          <w:instrText xml:space="preserve"> PAGEREF _Toc5772 \h </w:instrText>
        </w:r>
        <w:r>
          <w:fldChar w:fldCharType="separate"/>
        </w:r>
        <w:r>
          <w:t>43</w:t>
        </w:r>
        <w:r>
          <w:fldChar w:fldCharType="end"/>
        </w:r>
      </w:hyperlink>
    </w:p>
    <w:p>
      <w:pPr>
        <w:pStyle w:val="TOC2"/>
        <w:tabs>
          <w:tab w:val="right" w:leader="dot" w:pos="8306"/>
        </w:tabs>
      </w:pPr>
      <w:hyperlink w:anchor="_Toc23280" w:history="1">
        <w:r>
          <w:rPr>
            <w:rFonts w:ascii="仿宋" w:eastAsia="仿宋" w:hAnsi="仿宋" w:cs="仿宋" w:hint="eastAsia"/>
            <w:lang w:eastAsia="zh-CN"/>
          </w:rPr>
          <w:t>(一)、技术方案选用方向</w:t>
        </w:r>
        <w:r>
          <w:tab/>
        </w:r>
        <w:r>
          <w:fldChar w:fldCharType="begin"/>
        </w:r>
        <w:r>
          <w:instrText xml:space="preserve"> PAGEREF _Toc23280 \h </w:instrText>
        </w:r>
        <w:r>
          <w:fldChar w:fldCharType="separate"/>
        </w:r>
        <w:r>
          <w:t>43</w:t>
        </w:r>
        <w:r>
          <w:fldChar w:fldCharType="end"/>
        </w:r>
      </w:hyperlink>
    </w:p>
    <w:p>
      <w:pPr>
        <w:pStyle w:val="TOC2"/>
        <w:tabs>
          <w:tab w:val="right" w:leader="dot" w:pos="8306"/>
        </w:tabs>
      </w:pPr>
      <w:hyperlink w:anchor="_Toc14587" w:history="1">
        <w:r>
          <w:rPr>
            <w:rFonts w:ascii="仿宋" w:eastAsia="仿宋" w:hAnsi="仿宋" w:cs="仿宋" w:hint="eastAsia"/>
            <w:lang w:eastAsia="zh-CN"/>
          </w:rPr>
          <w:t>(二)、工艺技术方案选用原则</w:t>
        </w:r>
        <w:r>
          <w:tab/>
        </w:r>
        <w:r>
          <w:fldChar w:fldCharType="begin"/>
        </w:r>
        <w:r>
          <w:instrText xml:space="preserve"> PAGEREF _Toc14587 \h </w:instrText>
        </w:r>
        <w:r>
          <w:fldChar w:fldCharType="separate"/>
        </w:r>
        <w:r>
          <w:t>45</w:t>
        </w:r>
        <w:r>
          <w:fldChar w:fldCharType="end"/>
        </w:r>
      </w:hyperlink>
    </w:p>
    <w:p>
      <w:pPr>
        <w:pStyle w:val="TOC2"/>
        <w:tabs>
          <w:tab w:val="right" w:leader="dot" w:pos="8306"/>
        </w:tabs>
      </w:pPr>
      <w:hyperlink w:anchor="_Toc28008" w:history="1">
        <w:r>
          <w:rPr>
            <w:rFonts w:ascii="仿宋" w:eastAsia="仿宋" w:hAnsi="仿宋" w:cs="仿宋" w:hint="eastAsia"/>
            <w:lang w:eastAsia="zh-CN"/>
          </w:rPr>
          <w:t>(三)、工艺技术方案要求</w:t>
        </w:r>
        <w:r>
          <w:tab/>
        </w:r>
        <w:r>
          <w:fldChar w:fldCharType="begin"/>
        </w:r>
        <w:r>
          <w:instrText xml:space="preserve"> PAGEREF _Toc28008 \h </w:instrText>
        </w:r>
        <w:r>
          <w:fldChar w:fldCharType="separate"/>
        </w:r>
        <w:r>
          <w:t>47</w:t>
        </w:r>
        <w:r>
          <w:fldChar w:fldCharType="end"/>
        </w:r>
      </w:hyperlink>
    </w:p>
    <w:p>
      <w:pPr>
        <w:pStyle w:val="TOC1"/>
        <w:tabs>
          <w:tab w:val="right" w:leader="dot" w:pos="8306"/>
        </w:tabs>
      </w:pPr>
      <w:hyperlink w:anchor="_Toc13289" w:history="1">
        <w:r>
          <w:rPr>
            <w:rFonts w:ascii="仿宋" w:eastAsia="仿宋" w:hAnsi="仿宋" w:cs="仿宋" w:hint="eastAsia"/>
            <w:lang w:eastAsia="zh-CN"/>
          </w:rPr>
          <w:t>十三、稳相微波射频同轴电缆项目工程方案分析</w:t>
        </w:r>
        <w:r>
          <w:tab/>
        </w:r>
        <w:r>
          <w:fldChar w:fldCharType="begin"/>
        </w:r>
        <w:r>
          <w:instrText xml:space="preserve"> PAGEREF _Toc13289 \h </w:instrText>
        </w:r>
        <w:r>
          <w:fldChar w:fldCharType="separate"/>
        </w:r>
        <w:r>
          <w:t>49</w:t>
        </w:r>
        <w:r>
          <w:fldChar w:fldCharType="end"/>
        </w:r>
      </w:hyperlink>
    </w:p>
    <w:p>
      <w:pPr>
        <w:pStyle w:val="TOC2"/>
        <w:tabs>
          <w:tab w:val="right" w:leader="dot" w:pos="8306"/>
        </w:tabs>
      </w:pPr>
      <w:hyperlink w:anchor="_Toc1723" w:history="1">
        <w:r>
          <w:rPr>
            <w:rFonts w:ascii="仿宋" w:eastAsia="仿宋" w:hAnsi="仿宋" w:cs="仿宋" w:hint="eastAsia"/>
            <w:lang w:eastAsia="zh-CN"/>
          </w:rPr>
          <w:t>(一)、建筑工程设计原则</w:t>
        </w:r>
        <w:r>
          <w:tab/>
        </w:r>
        <w:r>
          <w:fldChar w:fldCharType="begin"/>
        </w:r>
        <w:r>
          <w:instrText xml:space="preserve"> PAGEREF _Toc1723 \h </w:instrText>
        </w:r>
        <w:r>
          <w:fldChar w:fldCharType="separate"/>
        </w:r>
        <w:r>
          <w:t>49</w:t>
        </w:r>
        <w:r>
          <w:fldChar w:fldCharType="end"/>
        </w:r>
      </w:hyperlink>
    </w:p>
    <w:p>
      <w:pPr>
        <w:pStyle w:val="TOC2"/>
        <w:tabs>
          <w:tab w:val="right" w:leader="dot" w:pos="8306"/>
        </w:tabs>
      </w:pPr>
      <w:hyperlink w:anchor="_Toc26163" w:history="1">
        <w:r>
          <w:rPr>
            <w:rFonts w:ascii="仿宋" w:eastAsia="仿宋" w:hAnsi="仿宋" w:cs="仿宋" w:hint="eastAsia"/>
            <w:lang w:eastAsia="zh-CN"/>
          </w:rPr>
          <w:t>(二)、土建工程建设指标</w:t>
        </w:r>
        <w:r>
          <w:tab/>
        </w:r>
        <w:r>
          <w:fldChar w:fldCharType="begin"/>
        </w:r>
        <w:r>
          <w:instrText xml:space="preserve"> PAGEREF _Toc26163 \h </w:instrText>
        </w:r>
        <w:r>
          <w:fldChar w:fldCharType="separate"/>
        </w:r>
        <w:r>
          <w:t>53</w:t>
        </w:r>
        <w:r>
          <w:fldChar w:fldCharType="end"/>
        </w:r>
      </w:hyperlink>
    </w:p>
    <w:p>
      <w:pPr>
        <w:pStyle w:val="TOC1"/>
        <w:tabs>
          <w:tab w:val="right" w:leader="dot" w:pos="8306"/>
        </w:tabs>
      </w:pPr>
      <w:hyperlink w:anchor="_Toc7986" w:history="1">
        <w:r>
          <w:rPr>
            <w:rFonts w:ascii="仿宋" w:eastAsia="仿宋" w:hAnsi="仿宋" w:cs="仿宋" w:hint="eastAsia"/>
            <w:lang w:eastAsia="zh-CN"/>
          </w:rPr>
          <w:t>十四、稳相微波射频同轴电缆项目治理与监督</w:t>
        </w:r>
        <w:r>
          <w:tab/>
        </w:r>
        <w:r>
          <w:fldChar w:fldCharType="begin"/>
        </w:r>
        <w:r>
          <w:instrText xml:space="preserve"> PAGEREF _Toc7986 \h </w:instrText>
        </w:r>
        <w:r>
          <w:fldChar w:fldCharType="separate"/>
        </w:r>
        <w:r>
          <w:t>54</w:t>
        </w:r>
        <w:r>
          <w:fldChar w:fldCharType="end"/>
        </w:r>
      </w:hyperlink>
    </w:p>
    <w:p>
      <w:pPr>
        <w:pStyle w:val="TOC2"/>
        <w:tabs>
          <w:tab w:val="right" w:leader="dot" w:pos="8306"/>
        </w:tabs>
      </w:pPr>
      <w:hyperlink w:anchor="_Toc4211" w:history="1">
        <w:r>
          <w:rPr>
            <w:rFonts w:ascii="仿宋" w:eastAsia="仿宋" w:hAnsi="仿宋" w:cs="仿宋" w:hint="eastAsia"/>
            <w:lang w:eastAsia="zh-CN"/>
          </w:rPr>
          <w:t>(一)、稳相微波射频同轴电缆项目治理结构</w:t>
        </w:r>
        <w:r>
          <w:tab/>
        </w:r>
        <w:r>
          <w:fldChar w:fldCharType="begin"/>
        </w:r>
        <w:r>
          <w:instrText xml:space="preserve"> PAGEREF _Toc4211 \h </w:instrText>
        </w:r>
        <w:r>
          <w:fldChar w:fldCharType="separate"/>
        </w:r>
        <w:r>
          <w:t>54</w:t>
        </w:r>
        <w:r>
          <w:fldChar w:fldCharType="end"/>
        </w:r>
      </w:hyperlink>
    </w:p>
    <w:p>
      <w:pPr>
        <w:pStyle w:val="TOC2"/>
        <w:tabs>
          <w:tab w:val="right" w:leader="dot" w:pos="8306"/>
        </w:tabs>
      </w:pPr>
      <w:hyperlink w:anchor="_Toc16550" w:history="1">
        <w:r>
          <w:rPr>
            <w:rFonts w:ascii="仿宋" w:eastAsia="仿宋" w:hAnsi="仿宋" w:cs="仿宋" w:hint="eastAsia"/>
            <w:lang w:eastAsia="zh-CN"/>
          </w:rPr>
          <w:t>(二)、监督与审计</w:t>
        </w:r>
        <w:r>
          <w:tab/>
        </w:r>
        <w:r>
          <w:fldChar w:fldCharType="begin"/>
        </w:r>
        <w:r>
          <w:instrText xml:space="preserve"> PAGEREF _Toc16550 \h </w:instrText>
        </w:r>
        <w:r>
          <w:fldChar w:fldCharType="separate"/>
        </w:r>
        <w:r>
          <w:t>56</w:t>
        </w:r>
        <w:r>
          <w:fldChar w:fldCharType="end"/>
        </w:r>
      </w:hyperlink>
    </w:p>
    <w:p>
      <w:pPr>
        <w:pStyle w:val="TOC1"/>
        <w:tabs>
          <w:tab w:val="right" w:leader="dot" w:pos="8306"/>
        </w:tabs>
      </w:pPr>
      <w:hyperlink w:anchor="_Toc23071" w:history="1">
        <w:r>
          <w:rPr>
            <w:rFonts w:ascii="仿宋" w:eastAsia="仿宋" w:hAnsi="仿宋" w:cs="仿宋" w:hint="eastAsia"/>
            <w:lang w:eastAsia="zh-CN"/>
          </w:rPr>
          <w:t>十五、供应链管理</w:t>
        </w:r>
        <w:r>
          <w:tab/>
        </w:r>
        <w:r>
          <w:fldChar w:fldCharType="begin"/>
        </w:r>
        <w:r>
          <w:instrText xml:space="preserve"> PAGEREF _Toc23071 \h </w:instrText>
        </w:r>
        <w:r>
          <w:fldChar w:fldCharType="separate"/>
        </w:r>
        <w:r>
          <w:t>57</w:t>
        </w:r>
        <w:r>
          <w:fldChar w:fldCharType="end"/>
        </w:r>
      </w:hyperlink>
    </w:p>
    <w:p>
      <w:pPr>
        <w:pStyle w:val="TOC2"/>
        <w:tabs>
          <w:tab w:val="right" w:leader="dot" w:pos="8306"/>
        </w:tabs>
      </w:pPr>
      <w:hyperlink w:anchor="_Toc11694" w:history="1">
        <w:r>
          <w:rPr>
            <w:rFonts w:ascii="仿宋" w:eastAsia="仿宋" w:hAnsi="仿宋" w:cs="仿宋" w:hint="eastAsia"/>
            <w:lang w:eastAsia="zh-CN"/>
          </w:rPr>
          <w:t>(一)、供应链战略规划</w:t>
        </w:r>
        <w:r>
          <w:tab/>
        </w:r>
        <w:r>
          <w:fldChar w:fldCharType="begin"/>
        </w:r>
        <w:r>
          <w:instrText xml:space="preserve"> PAGEREF _Toc11694 \h </w:instrText>
        </w:r>
        <w:r>
          <w:fldChar w:fldCharType="separate"/>
        </w:r>
        <w:r>
          <w:t>57</w:t>
        </w:r>
        <w:r>
          <w:fldChar w:fldCharType="end"/>
        </w:r>
      </w:hyperlink>
    </w:p>
    <w:p>
      <w:pPr>
        <w:pStyle w:val="TOC2"/>
        <w:tabs>
          <w:tab w:val="right" w:leader="dot" w:pos="8306"/>
        </w:tabs>
      </w:pPr>
      <w:hyperlink w:anchor="_Toc14464" w:history="1">
        <w:r>
          <w:rPr>
            <w:rFonts w:ascii="仿宋" w:eastAsia="仿宋" w:hAnsi="仿宋" w:cs="仿宋" w:hint="eastAsia"/>
            <w:lang w:eastAsia="zh-CN"/>
          </w:rPr>
          <w:t>(二)、供应商选择与合作</w:t>
        </w:r>
        <w:r>
          <w:tab/>
        </w:r>
        <w:r>
          <w:fldChar w:fldCharType="begin"/>
        </w:r>
        <w:r>
          <w:instrText xml:space="preserve"> PAGEREF _Toc14464 \h </w:instrText>
        </w:r>
        <w:r>
          <w:fldChar w:fldCharType="separate"/>
        </w:r>
        <w:r>
          <w:t>59</w:t>
        </w:r>
        <w:r>
          <w:fldChar w:fldCharType="end"/>
        </w:r>
      </w:hyperlink>
    </w:p>
    <w:p>
      <w:pPr>
        <w:pStyle w:val="TOC2"/>
        <w:tabs>
          <w:tab w:val="right" w:leader="dot" w:pos="8306"/>
        </w:tabs>
      </w:pPr>
      <w:hyperlink w:anchor="_Toc5944" w:history="1">
        <w:r>
          <w:rPr>
            <w:rFonts w:ascii="仿宋" w:eastAsia="仿宋" w:hAnsi="仿宋" w:cs="仿宋" w:hint="eastAsia"/>
            <w:lang w:eastAsia="zh-CN"/>
          </w:rPr>
          <w:t>(三)、物流与库存管理</w:t>
        </w:r>
        <w:r>
          <w:tab/>
        </w:r>
        <w:r>
          <w:fldChar w:fldCharType="begin"/>
        </w:r>
        <w:r>
          <w:instrText xml:space="preserve"> PAGEREF _Toc5944 \h </w:instrText>
        </w:r>
        <w:r>
          <w:fldChar w:fldCharType="separate"/>
        </w:r>
        <w:r>
          <w:t>60</w:t>
        </w:r>
        <w:r>
          <w:fldChar w:fldCharType="end"/>
        </w:r>
      </w:hyperlink>
    </w:p>
    <w:p>
      <w:pPr>
        <w:pStyle w:val="TOC1"/>
        <w:tabs>
          <w:tab w:val="right" w:leader="dot" w:pos="8306"/>
        </w:tabs>
      </w:pPr>
      <w:hyperlink w:anchor="_Toc3699" w:history="1">
        <w:r>
          <w:rPr>
            <w:rFonts w:ascii="仿宋" w:eastAsia="仿宋" w:hAnsi="仿宋" w:cs="仿宋" w:hint="eastAsia"/>
            <w:lang w:eastAsia="zh-CN"/>
          </w:rPr>
          <w:t>十六、稳相微波射频同轴电缆项目实施保障措施</w:t>
        </w:r>
        <w:r>
          <w:tab/>
        </w:r>
        <w:r>
          <w:fldChar w:fldCharType="begin"/>
        </w:r>
        <w:r>
          <w:instrText xml:space="preserve"> PAGEREF _Toc3699 \h </w:instrText>
        </w:r>
        <w:r>
          <w:fldChar w:fldCharType="separate"/>
        </w:r>
        <w:r>
          <w:t>62</w:t>
        </w:r>
        <w:r>
          <w:fldChar w:fldCharType="end"/>
        </w:r>
      </w:hyperlink>
    </w:p>
    <w:p>
      <w:pPr>
        <w:pStyle w:val="TOC2"/>
        <w:tabs>
          <w:tab w:val="right" w:leader="dot" w:pos="8306"/>
        </w:tabs>
      </w:pPr>
      <w:hyperlink w:anchor="_Toc31693" w:history="1">
        <w:r>
          <w:rPr>
            <w:rFonts w:ascii="仿宋" w:eastAsia="仿宋" w:hAnsi="仿宋" w:cs="仿宋" w:hint="eastAsia"/>
            <w:lang w:eastAsia="zh-CN"/>
          </w:rPr>
          <w:t>(一)、稳相微波射频同轴电缆项目实施保障机制</w:t>
        </w:r>
        <w:r>
          <w:tab/>
        </w:r>
        <w:r>
          <w:fldChar w:fldCharType="begin"/>
        </w:r>
        <w:r>
          <w:instrText xml:space="preserve"> PAGEREF _Toc31693 \h </w:instrText>
        </w:r>
        <w:r>
          <w:fldChar w:fldCharType="separate"/>
        </w:r>
        <w:r>
          <w:t>62</w:t>
        </w:r>
        <w:r>
          <w:fldChar w:fldCharType="end"/>
        </w:r>
      </w:hyperlink>
    </w:p>
    <w:p>
      <w:pPr>
        <w:pStyle w:val="TOC2"/>
        <w:tabs>
          <w:tab w:val="right" w:leader="dot" w:pos="8306"/>
        </w:tabs>
      </w:pPr>
      <w:hyperlink w:anchor="_Toc21262" w:history="1">
        <w:r>
          <w:rPr>
            <w:rFonts w:ascii="仿宋" w:eastAsia="仿宋" w:hAnsi="仿宋" w:cs="仿宋" w:hint="eastAsia"/>
            <w:lang w:eastAsia="zh-CN"/>
          </w:rPr>
          <w:t>(二)、稳相微波射频同轴电缆项目法律合规要求</w:t>
        </w:r>
        <w:r>
          <w:tab/>
        </w:r>
        <w:r>
          <w:fldChar w:fldCharType="begin"/>
        </w:r>
        <w:r>
          <w:instrText xml:space="preserve"> PAGEREF _Toc21262 \h </w:instrText>
        </w:r>
        <w:r>
          <w:fldChar w:fldCharType="separate"/>
        </w:r>
        <w:r>
          <w:t>66</w:t>
        </w:r>
        <w:r>
          <w:fldChar w:fldCharType="end"/>
        </w:r>
      </w:hyperlink>
    </w:p>
    <w:p>
      <w:pPr>
        <w:pStyle w:val="TOC2"/>
        <w:tabs>
          <w:tab w:val="right" w:leader="dot" w:pos="8306"/>
        </w:tabs>
      </w:pPr>
      <w:hyperlink w:anchor="_Toc26130" w:history="1">
        <w:r>
          <w:rPr>
            <w:rFonts w:ascii="仿宋" w:eastAsia="仿宋" w:hAnsi="仿宋" w:cs="仿宋" w:hint="eastAsia"/>
            <w:lang w:eastAsia="zh-CN"/>
          </w:rPr>
          <w:t>(三)、稳相微波射频同轴电缆项目合同管理与法律事务</w:t>
        </w:r>
        <w:r>
          <w:tab/>
        </w:r>
        <w:r>
          <w:fldChar w:fldCharType="begin"/>
        </w:r>
        <w:r>
          <w:instrText xml:space="preserve"> PAGEREF _Toc26130 \h </w:instrText>
        </w:r>
        <w:r>
          <w:fldChar w:fldCharType="separate"/>
        </w:r>
        <w:r>
          <w:t>70</w:t>
        </w:r>
        <w:r>
          <w:fldChar w:fldCharType="end"/>
        </w:r>
      </w:hyperlink>
    </w:p>
    <w:p>
      <w:pPr>
        <w:pStyle w:val="TOC2"/>
        <w:tabs>
          <w:tab w:val="right" w:leader="dot" w:pos="8306"/>
        </w:tabs>
      </w:pPr>
      <w:hyperlink w:anchor="_Toc16034" w:history="1">
        <w:r>
          <w:rPr>
            <w:rFonts w:ascii="仿宋" w:eastAsia="仿宋" w:hAnsi="仿宋" w:cs="仿宋" w:hint="eastAsia"/>
            <w:lang w:eastAsia="zh-CN"/>
          </w:rPr>
          <w:t>(四)、稳相微波射频同轴电缆项目知识产权保护策略</w:t>
        </w:r>
        <w:r>
          <w:tab/>
        </w:r>
        <w:r>
          <w:fldChar w:fldCharType="begin"/>
        </w:r>
        <w:r>
          <w:instrText xml:space="preserve"> PAGEREF _Toc16034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04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0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技术管理特点体现在其创新导向。通过引入最先进的技术趋势和解决方案，稳相微波射频同轴电缆项目致力于提升科技含量、提高质量和效率水平。这意味着我们将采用最新的工具和方法，确保稳相微波射频同轴电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稳相微波射频同轴电缆项目技术管理的显著特征。通过整合不同领域的技术资源，我们实现了跨学科的协同工作。这有助于优化技术架构，提高整体效能。此外，整合性策略还促进了不同技术团队之间的紧密沟通和高效合作，确保稳相微波射频同轴电缆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稳相微波射频同轴电缆项目所采用的技术。通过不断优化技术方案，稳相微波射频同轴电缆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稳相微波射频同轴电缆项目团队将在稳相微波射频同轴电缆项目初期识别可能的技术风险，并采取相应的预防和应对措施。通过建立健全的风险评估机制，稳相微波射频同轴电缆项目能够在实施过程中及时发现并解决潜在的技术问题，保障稳相微波射频同轴电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稳相微波射频同轴电缆项目中，技术将成为稳相微波射频同轴电缆项目成功的有力支持。这一深度剖析揭示了技术管理在稳相微波射频同轴电缆项目实施中的关键作用，为稳相微波射频同轴电缆项目的技术基础奠定了坚实的基础。</w:t>
      </w:r>
    </w:p>
    <w:p>
      <w:pPr>
        <w:pStyle w:val="Heading2"/>
        <w:ind w:firstLine="560" w:firstLineChars="200"/>
        <w:rPr>
          <w:rFonts w:ascii="仿宋" w:eastAsia="仿宋" w:hAnsi="仿宋" w:cs="仿宋" w:hint="eastAsia"/>
          <w:sz w:val="28"/>
          <w:lang w:eastAsia="zh-CN"/>
        </w:rPr>
      </w:pPr>
      <w:bookmarkStart w:id="4" w:name="_Toc28510"/>
      <w:r>
        <w:rPr>
          <w:rFonts w:ascii="仿宋" w:eastAsia="仿宋" w:hAnsi="仿宋" w:cs="仿宋" w:hint="eastAsia"/>
          <w:sz w:val="28"/>
          <w:lang w:eastAsia="zh-CN"/>
        </w:rPr>
        <w:t>(二)、稳相微波射频同轴电缆项目工艺技术设计方案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稳相微波射频同轴电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稳相微波射频同轴电缆项目将严格按照相关行业规范要求进行组织。通过有效控制产品质量，稳相微波射频同轴电缆项目将致力于为顾客提供优质的稳相微波射频同轴电缆项目产品和良好的服务。这体现了稳相微波射频同轴电缆项目对于生产活动合规性和质量标准的高度重视，为稳相微波射频同轴电缆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稳相微波射频同轴电缆项目注重生态效益和清洁生产原则。稳相微波射频同轴电缆项目建设将紧密结合地方特色经济发展，与社会经济发展规划和区域环境保护规划方案相协调一致。通过与当地区域自然生态系统的结合，稳相微波射频同轴电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稳相微波射频同轴电缆项目产品具有多样化的客户需求和个性化的特点。因此，稳相微波射频同轴电缆项目产品规格品种多样，且单批生产数量较小。为满足这一特点，稳相微波射频同轴电缆项目承办单位将建设先进的柔性制造生产线。通过广泛应用柔性制造技术，稳相微波射频同轴电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稳相微波射频同轴电缆项目采用的技术具有较高的技术含量和自动化水平，处于国内先进水平。这一技术选用不仅体现了对生产效率、质量和环境友好性的高标准要求，同时为稳相微波射频同轴电缆项目的可持续发展奠定了坚实的基础。</w:t>
      </w:r>
    </w:p>
    <w:p>
      <w:pPr>
        <w:pStyle w:val="Heading2"/>
        <w:ind w:firstLine="560" w:firstLineChars="200"/>
        <w:rPr>
          <w:rFonts w:ascii="仿宋" w:eastAsia="仿宋" w:hAnsi="仿宋" w:cs="仿宋" w:hint="eastAsia"/>
          <w:sz w:val="28"/>
          <w:lang w:eastAsia="zh-CN"/>
        </w:rPr>
      </w:pPr>
      <w:bookmarkStart w:id="5" w:name="_Toc1257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为确保稳相微波射频同轴电缆项目的高效生产和技术实施，我们制定了一套精心设计的设备选型方案，以满足稳相微波射频同轴电缆项目生产、质量和环保的要求。该方案的主要特点如下：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稳相微波射频同轴电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针对稳相微波射频同轴电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34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569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稳相微波射频同轴电缆项目的主要产品是XXXX，预计年产值为XXX万元。这一产品在市场中占据着重要的地位，其广泛的应用范围使得该稳相微波射频同轴电缆项目的市场前景非常广阔。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稳相微波射频同轴电缆项目的xxx产品作为重要的原材料之一，将在多个领域发挥关键作用。其在建筑、交通、能源等方面的广泛应用将为整个产业链提供强大的支持，形成产业协同效应。稳相微波射频同轴电缆项目的年产值XXX万XXX万XXX万万元不仅反映了其在市场上的巨大潜力，更预示着它对国民经济的积极贡献。这种关联度高、涉及面广的产业关系，使得该稳相微波射频同轴电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8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总征地面积为XXXX平方米，相当于约XX.XX亩，其中净用地面积为XXXX平方米，红线范围内相当于约XX.XX亩。这一用地规模充分考虑了稳相微波射频同轴电缆项目的建设需求，保障了稳相微波射频同轴电缆项目在合适的空间内得以充分发展。稳相微波射频同轴电缆项目规划的总建筑面积为XXXX平方米，其中主体工程建设占XXXX平方米，计容建筑面积达XXXX平方米。预计建筑工程的投资将达到XXXX万元，为稳相微波射频同轴电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计划购置的设备共计XXXX台（套），设备购置费用为XXXX万元。这一设备购置计划充分考虑到稳相微波射频同轴电缆项目的生产需求和技术要求，确保了稳相微波射频同轴电缆项目在生产运营中具备先进的技术装备和高效的生产能力。设备的合理配置将为稳相微波射频同轴电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计划总投资为XXXX万元，预计年实现营业收入为XXXX万元。这一产能规模的设定旨在确保稳相微波射频同轴电缆项目能够在投资与回报之间取得平衡，实现长期可持续的发展。稳相微波射频同轴电缆项目的总投资充分考虑到各个方面的需求，包括用地建设、设备购置等多个环节，以确保稳相微波射频同轴电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0209"/>
      <w:r>
        <w:rPr>
          <w:rFonts w:ascii="仿宋" w:eastAsia="仿宋" w:hAnsi="仿宋" w:cs="仿宋" w:hint="eastAsia"/>
          <w:sz w:val="28"/>
          <w:lang w:eastAsia="zh-CN"/>
        </w:rPr>
        <w:t>三、稳相微波射频同轴电缆项目绩效评估</w:t>
      </w:r>
      <w:bookmarkEnd w:id="9"/>
    </w:p>
    <w:p>
      <w:pPr>
        <w:pStyle w:val="Heading2"/>
        <w:rPr>
          <w:rFonts w:ascii="仿宋" w:eastAsia="仿宋" w:hAnsi="仿宋" w:cs="仿宋" w:hint="eastAsia"/>
          <w:lang w:eastAsia="zh-CN"/>
        </w:rPr>
      </w:pPr>
      <w:bookmarkStart w:id="10" w:name="_Toc1689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中，我们设计了一套全面的绩效评估指标，以确保稳相微波射频同轴电缆项目的可控和成功交付。这些指标跨足稳相微波射频同轴电缆项目目标、成本、进度和质量等多个维度，为我们提供了全面洞察稳相微波射频同轴电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目标达成率是我们关注的首要指标。我们设定了明确的目标，并通过定期监测和评估，迅速发现并应对潜在的目标偏差。这为稳相微波射频同轴电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成本绩效是另一个核心关注点。通过实际成本与预算成本的对比分析，我们深入了解成本差异的原因，及时调整资源分配，保持稳相微波射频同轴电缆项目在经济效益方面的合理水平。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稳相微波射频同轴电缆项目进度作为关键的绩效指标之一，得到了精心的关注。我们制定了详细的稳相微波射频同轴电缆项目进度计划，并设立了进度符合度指标，确保实际进度与计划进度保持一致。这使我们能够快速发现和解决潜在的进度问题，保持稳相微波射频同轴电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稳相微波射频同轴电缆项目绩效的不可或缺的一环。我们引入了一系列的质量标准和客户满意度指标，以确保稳相微波射频同轴电缆项目交付的成果在质量上达到或超越预期水平。通过持续监测这些指标，我们努力提升稳相微波射频同轴电缆项目整体质量水平，为稳相微波射频同轴电缆项目的成功交付提供有力保障。通过这些科学且全面的绩效评估，我们能够更好地引导稳相微波射频同轴电缆项目的持续改进，确保稳相微波射频同轴电缆项目目标的顺利达成。</w:t>
      </w:r>
    </w:p>
    <w:p>
      <w:pPr>
        <w:pStyle w:val="Heading2"/>
        <w:ind w:firstLine="560" w:firstLineChars="200"/>
        <w:rPr>
          <w:rFonts w:ascii="仿宋" w:eastAsia="仿宋" w:hAnsi="仿宋" w:cs="仿宋" w:hint="eastAsia"/>
          <w:sz w:val="28"/>
          <w:lang w:eastAsia="zh-CN"/>
        </w:rPr>
      </w:pPr>
      <w:bookmarkStart w:id="11" w:name="_Toc1454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绩效评估是稳相微波射频同轴电缆项目中的关键环节，为确保稳相微波射频同轴电缆项目达到预期目标，我们采用了多层次、多维度的绩效评估方法。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稳相微波射频同轴电缆项目的战略目标对齐，确保每个决策和行动都与稳相微波射频同轴电缆项目整体目标保持一致。团队会定期召开战略对齐会议，审视当前工作与稳相微波射频同轴电缆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稳相微波射频同轴电缆项目进度、质量、成本和风险等方面。这些指标通过数据收集和分析，为稳相微波射频同轴电缆项目管理团队提供了客观的评估依据。例如，我们通过稳相微波射频同轴电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稳相微波射频同轴电缆项目内部，还考虑了稳相微波射频同轴电缆项目对外部环境的影响。我们定期进行干系人满意度调查，以了解各利益相关方对稳相微波射频同轴电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这种多层次、多角度的绩效评估方法，使得我们能够全面了解稳相微波射频同轴电缆项目的运行状态，及时做出调整，确保稳相微波射频同轴电缆项目在不断变化的环境中保持稳健前行。</w:t>
      </w:r>
    </w:p>
    <w:p>
      <w:pPr>
        <w:pStyle w:val="Heading2"/>
        <w:ind w:firstLine="560" w:firstLineChars="200"/>
        <w:rPr>
          <w:rFonts w:ascii="仿宋" w:eastAsia="仿宋" w:hAnsi="仿宋" w:cs="仿宋" w:hint="eastAsia"/>
          <w:sz w:val="28"/>
          <w:lang w:eastAsia="zh-CN"/>
        </w:rPr>
      </w:pPr>
      <w:bookmarkStart w:id="12" w:name="_Toc758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为了确保稳相微波射频同轴电缆项目的有效管理和不断优化，我们采用了精心设计的绩效评估周期。这个周期旨在实现灵活、实时和全面的评估，以适应稳相微波射频同轴电缆项目执行中的各种挑战。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稳相微波射频同轴电缆项目的不同需求，分为短期、中期和长期。短期评估关注每个迭代或工作周期，以及时发现和解决当前任务中的问题。中期评估涵盖几个迭代，深入了解整体稳相微波射频同轴电缆项目的趋势和性能。长期评估则着眼于整个稳相微波射频同轴电缆项目阶段，确保稳相微波射频同轴电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稳相微波射频同轴电缆项目管理工具和协作平台，团队成员能够随时更新和分享稳相微波射频同轴电缆项目数据。这种实时性的反馈机制使我们能够及时察觉潜在问题，快速调整，保持稳相微波射频同轴电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稳相微波射频同轴电缆项目的决策制定密不可分。每个周期的稳相微波射频同轴电缆项目回顾会议成为集体总结经验、识别问题深层次原因并找到创新解决方案的平台。这种定期的反思与调整机制使稳相微波射频同轴电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0215"/>
      <w:r>
        <w:rPr>
          <w:rFonts w:ascii="仿宋" w:eastAsia="仿宋" w:hAnsi="仿宋" w:cs="仿宋" w:hint="eastAsia"/>
          <w:sz w:val="28"/>
          <w:lang w:eastAsia="zh-CN"/>
        </w:rPr>
        <w:t>四、稳相微波射频同轴电缆项目危机管理</w:t>
      </w:r>
      <w:bookmarkEnd w:id="13"/>
    </w:p>
    <w:p>
      <w:pPr>
        <w:pStyle w:val="Heading2"/>
        <w:rPr>
          <w:rFonts w:ascii="仿宋" w:eastAsia="仿宋" w:hAnsi="仿宋" w:cs="仿宋" w:hint="eastAsia"/>
          <w:lang w:eastAsia="zh-CN"/>
        </w:rPr>
      </w:pPr>
      <w:bookmarkStart w:id="14" w:name="_Toc2496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危机管理中，危机预警与识别是确保稳相微波射频同轴电缆项目稳健运行的核心步骤。通过建立全面的监测机制，稳相微波射频同轴电缆项目团队旨在及时发现和理解潜在的风险和危机因素，以便采取及时的预防和应对措施，确保稳相微波射频同轴电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稳相微波射频同轴电缆项目团队全面分析了整个稳相微波射频同轴电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稳相微波射频同轴电缆项目团队着重于明确定义稳相微波射频同轴电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稳相微波射频同轴电缆项目进展的持续监控，团队能够及时发现潜在问题并作出迅速反应。稳相微波射频同轴电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稳相微波射频同轴电缆项目得以更有序、可控地推进。</w:t>
      </w:r>
    </w:p>
    <w:p>
      <w:pPr>
        <w:pStyle w:val="Heading2"/>
        <w:ind w:firstLine="560" w:firstLineChars="200"/>
        <w:rPr>
          <w:rFonts w:ascii="仿宋" w:eastAsia="仿宋" w:hAnsi="仿宋" w:cs="仿宋" w:hint="eastAsia"/>
          <w:sz w:val="28"/>
          <w:lang w:eastAsia="zh-CN"/>
        </w:rPr>
      </w:pPr>
      <w:bookmarkStart w:id="15" w:name="_Toc2543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在危机发生时，稳相微波射频同轴电缆项目团队立即行动，成立了应急小组。该小组的任务是迅速制定并实施紧急应对措施，以最小化潜在损失。以下是采取的主要措施：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暂停稳相微波射频同轴电缆项目进度：为遏制危机蔓延，稳相微波射频同轴电缆项目暂时停止进行，以便全面评估当前状况。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资源重新分配：重新评估稳相微波射频同轴电缆项目资源的分配，确保最大限度地减小损失。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实时沟通：与关键利益相关者建立实时沟通机制，向他们传递稳相微波射频同轴电缆项目危机的实际状况，保障稳相微波射频同轴电缆项目核心利益。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在紧急应对的同时，稳相微波射频同轴电缆项目团队强调了团队协作和有效沟通的重要性。以下是团队协作的关键举措：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信息共享机制：建立了信息共享平台，确保团队成员能够及时获取稳相微波射频同轴电缆项目危机的实时信息。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领导者沟通：稳相微波射频同轴电缆项目领导者通过定期会议和即时沟通工具，指导团队应对危机，保持团队稳定运行。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随着危机得到初步控制，稳相微波射频同轴电缆项目团队转向制定恢复计划，以确保稳相微波射频同轴电缆项目能够从中迅速恢复。主要恢复计划包括：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修复受损的进度计划：重新评估稳相微波射频同轴电缆项目进度，制定修复计划，确保稳相微波射频同轴电缆项目尽快回归正常进程。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重新调整资源分配：优化资源分配，确保稳相微波射频同轴电缆项目在有限资源下高效运转。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风险管理机制加强：对稳相微波射频同轴电缆项目风险进行全面评估，制定更强化的风险管理策略，以预防未来可能的危机。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7141"/>
      <w:r>
        <w:rPr>
          <w:rFonts w:ascii="仿宋" w:eastAsia="仿宋" w:hAnsi="仿宋" w:cs="仿宋" w:hint="eastAsia"/>
          <w:sz w:val="28"/>
          <w:lang w:eastAsia="zh-CN"/>
        </w:rPr>
        <w:t>五、稳相微波射频同轴电缆项目土建工程</w:t>
      </w:r>
      <w:bookmarkEnd w:id="16"/>
    </w:p>
    <w:p>
      <w:pPr>
        <w:pStyle w:val="Heading2"/>
        <w:rPr>
          <w:rFonts w:ascii="仿宋" w:eastAsia="仿宋" w:hAnsi="仿宋" w:cs="仿宋" w:hint="eastAsia"/>
          <w:lang w:eastAsia="zh-CN"/>
        </w:rPr>
      </w:pPr>
      <w:bookmarkStart w:id="17" w:name="_Toc1045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在稳相微波射频同轴电缆项目的建筑工程设计中，我们将秉承一系列重要的设计原则，以确保稳相微波射频同轴电缆项目建筑在功能、美观、可持续性等方面达到最佳效果。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首要原则是确保建筑的功能性得到最大化的发挥。我们将充分理解稳相微波射频同轴电缆项目的实际需求，合理布局各个功能区域，保证建筑在满足业务需求的同时，提供高效的工作环境。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在建筑设计中，我们将综合考虑建设和运营成本。通过精细的经济效益分析，确保设计方案在高效利用资源的同时，对稳相微波射频同轴电缆项目的长期盈利能力有积极的贡献。</w:t>
      </w:r>
    </w:p>
    <w:p>
      <w:pPr>
        <w:pStyle w:val="Heading2"/>
        <w:ind w:firstLine="560" w:firstLineChars="200"/>
        <w:rPr>
          <w:rFonts w:ascii="仿宋" w:eastAsia="仿宋" w:hAnsi="仿宋" w:cs="仿宋" w:hint="eastAsia"/>
          <w:sz w:val="28"/>
          <w:lang w:eastAsia="zh-CN"/>
        </w:rPr>
      </w:pPr>
      <w:bookmarkStart w:id="18" w:name="_Toc1989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稳相微波射频同轴电缆项目的土建工程设计中，我们将精准设定设计年限，结合稳相微波射频同轴电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https://d.book118.com/965100321134011113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稳相微波射频同轴电缆项目规划设计方案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26F87"/>
    <w:rsid w:val="52726F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0032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2024-02-24T00:48:00Z</dcterms:created>
  <dcterms:modified xsi:type="dcterms:W3CDTF">2024-02-24T00:49:11Z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746014BD78F742D2BCC80C54065DE053_11</vt:lpwstr>
  </property>
  <property fmtid="{D5CDD505-2E9C-101B-9397-08002B2CF9AE}" pid="3" name="KSOProductBuildVer">
    <vt:lpwstr>2052-12.1.0.16388</vt:lpwstr>
  </property>
</Properties>
</file>