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E444A" w14:paraId="2452E26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E444A" w14:paraId="6C4B777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E444A" w14:paraId="2C2AE00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E444A" w:rsidRPr="00CE444A" w14:paraId="78AC9F57" w14:textId="64DCCDA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E444A">
        <w:rPr>
          <w:rFonts w:ascii="宋体" w:eastAsia="宋体" w:hAnsi="宋体" w:hint="eastAsia"/>
          <w:b/>
          <w:sz w:val="60"/>
        </w:rPr>
        <w:t>显示器化学品项目招商引资融资方案</w:t>
      </w:r>
    </w:p>
    <w:p w:rsidR="00CE444A" w:rsidP="00CE444A" w14:paraId="1EC8B58E" w14:textId="7E9D6EB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E444A">
        <w:rPr>
          <w:rFonts w:ascii="仿宋" w:eastAsia="仿宋" w:hAnsi="仿宋" w:hint="eastAsia"/>
          <w:b/>
          <w:sz w:val="40"/>
        </w:rPr>
        <w:t>目录</w:t>
      </w:r>
    </w:p>
    <w:p w:rsidR="00CE444A" w14:paraId="575A611D" w14:textId="5C5AF81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_Toc155367435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E444A" w14:paraId="414C81A8" w14:textId="3BB50C2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一、显示器化学品项目建设背景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_Toc155367436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E444A" w14:paraId="2F16E7FE" w14:textId="6277F3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(一)、显示器化学品项目承办单位背景分析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E444A" w14:paraId="1CCECC93" w14:textId="436928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(二)、产业政策及发展规划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_Toc155367438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E444A" w14:paraId="448AD9F3" w14:textId="1E6D41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(三)、显示器化学品项目建设对区域经济的影响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_Toc155367439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E444A" w14:paraId="1DD8221C" w14:textId="572B24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(四)、显示器化学品项目必要性分析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_Toc155367440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E444A" w14:paraId="07A1560E" w14:textId="26DF3F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_Toc155367441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E444A" w14:paraId="536F0E4F" w14:textId="38CB3E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_Toc155367442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E444A" w14:paraId="6684C184" w14:textId="099325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_Toc155367443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E444A" w14:paraId="0E00D679" w14:textId="7D177D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三、显示器化学品项目选址研究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_Toc155367444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E444A" w14:paraId="51309A8D" w14:textId="0A1882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(一)、显示器化学品项目选址的指导原则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_Toc155367445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E444A" w14:paraId="50A5EEB6" w14:textId="5CC08B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(二)、显示器化学品项目选址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_Toc155367446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E444A" w14:paraId="08C38DA5" w14:textId="7A0E14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(三)、建设环境与条件分析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_Toc155367447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E444A" w14:paraId="511D9808" w14:textId="1165FC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(四)、土地使用控制标准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_Toc155367448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E444A" w14:paraId="775E415F" w14:textId="4954FC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(五)、土地利用的总体需求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_Toc155367449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E444A" w14:paraId="75FECAE0" w14:textId="19BC78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(六)、用地效率提升策略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_Toc155367450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E444A" w14:paraId="4AB9ECD5" w14:textId="44389F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(七)、总体布局与规划方案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_Toc155367451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E444A" w14:paraId="59BF9227" w14:textId="79E6F8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(八)、物流与运输系统设计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_Toc155367452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E444A" w14:paraId="2556B5CA" w14:textId="6A98FC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(九)、选址方案的综合评估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_Toc155367453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E444A" w14:paraId="0A88D523" w14:textId="3468BCF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_Toc155367454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E444A" w14:paraId="3E654F85" w14:textId="5C94893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(一)、显示器化学品项目建设期的原材料及辅助材料供应概述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_Toc155367455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E444A" w14:paraId="4FA876CF" w14:textId="2BB95B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(二)、显示器化学品项目运营期原辅材料采购及管理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_Toc155367456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E444A" w14:paraId="0CE2C6B5" w14:textId="317DC4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(三)、技术管理特点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_Toc155367457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E444A" w14:paraId="72EDC99E" w14:textId="25D16A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(四)、显示器化学品项目工艺技术设计方案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_Toc155367458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E444A" w14:paraId="275CB79F" w14:textId="744B46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(五)、显示器化学品项目设备选型及配置方案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_Toc155367459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E444A" w14:paraId="2AFD271B" w14:textId="503137C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五、风险性分析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_Toc155367460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E444A" w14:paraId="4CD1F034" w14:textId="240231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(一)、风险识别与评估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_Toc155367461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E444A" w14:paraId="2CF8D9FA" w14:textId="1B6D93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(二)、风险类型及分类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_Toc155367462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E444A" w14:paraId="61CF128D" w14:textId="2C1217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_Toc155367463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CE444A" w14:paraId="6007970B" w14:textId="09CF76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(四)、市场风险及应对策略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_Toc155367464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E444A" w14:paraId="1E3A6973" w14:textId="511E88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(五)、管理风险及规避方法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_Toc155367465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CE444A" w14:paraId="41EC1C32" w14:textId="3471A9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(六)、财务风险及防范措施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_Toc155367466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CE444A" w14:paraId="1A028594" w14:textId="7D3D84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(七)、显示器化学品项目建设风险及控制手段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_Toc155367467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CE444A" w14:paraId="6DCB4951" w14:textId="5D37F7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(八)、环境风险及安全防范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_Toc155367468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CE444A" w14:paraId="2AC89E5D" w14:textId="31C2AC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(九)、风险综合评估与决策分析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_Toc155367469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CE444A" w14:paraId="6D702C06" w14:textId="400DA9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(十)、风险管理计划与控制方案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_Toc155367470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CE444A" w14:paraId="0355E502" w14:textId="10196F7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_Toc155367471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CE444A" w14:paraId="113F36E6" w14:textId="2BD317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(一)、经济评价综述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_Toc155367472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CE444A" w14:paraId="4129DFBC" w14:textId="2FDD9A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_Toc155367473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CE444A" w14:paraId="7E790264" w14:textId="1690F7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(三)、显示器化学品项目盈利能力分析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_Toc155367474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CE444A" w14:paraId="035DA108" w14:textId="6AA5E79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七、显示器化学品项目投资方案分析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_Toc155367475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CE444A" w14:paraId="39F75632" w14:textId="0375CC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(一)、显示器化学品项目估算说明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_Toc155367476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CE444A" w14:paraId="60B28F08" w14:textId="565CDA2E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(二)、显示器化学品项目总投资估算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_Toc155367477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CE444A" w14:paraId="3D262210" w14:textId="003767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_Toc155367478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CE444A" w14:paraId="7AF598D3" w14:textId="43913E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八、节能情况分析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_Toc155367479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CE444A" w14:paraId="3AF4CEC3" w14:textId="3220EE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(一)、节能的重要性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_Toc155367480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CE444A" w14:paraId="5CACEF45" w14:textId="51C384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(二)、节能的法规与标准要求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_Toc155367481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CE444A" w14:paraId="71642180" w14:textId="21BBD3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(三)、显示器化学品项目地能源消耗与供应状况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_Toc155367482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CE444A" w14:paraId="296619DF" w14:textId="15CF5F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(四)、能源消耗类型与数量的深入分析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_Toc155367483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CE444A" w14:paraId="4CFB48EB" w14:textId="2898C2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_Toc155367484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CE444A" w14:paraId="5F292F18" w14:textId="11EA10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(六)、设计节能方案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_Toc155367485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CE444A" w14:paraId="4A008FBF" w14:textId="43391D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(七)、实施节能措施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_Toc155367486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CE444A" w14:paraId="12977F09" w14:textId="355E1E3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九、显示器化学品项目优势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_Toc155367487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CE444A" w14:paraId="58F13E48" w14:textId="7928BF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(一)、地理位置优势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_Toc155367488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CE444A" w14:paraId="39EF2AF8" w14:textId="50E609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(二)、人才资源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_Toc155367489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CE444A" w14:paraId="27504BA1" w14:textId="460814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(三)、创新与研发能力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_Toc155367490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CE444A" w14:paraId="4E7229AB" w14:textId="58F074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(四)、生产成本与效率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_Toc155367491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CE444A" w14:paraId="0CB55838" w14:textId="550CC8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十、显示器化学品项目管理计划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_Toc155367492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CE444A" w14:paraId="240620AE" w14:textId="3740C6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(一)、显示器化学品项目管理概述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_Toc155367493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CE444A" w14:paraId="1A207FDD" w14:textId="7D03FF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(二)、显示器化学品项目组织结构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_Toc155367494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CE444A" w14:paraId="6BD61427" w14:textId="0B5630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(三)、显示器化学品项目计划与进度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_Toc155367495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CE444A" w14:paraId="0ED01854" w14:textId="1E3F17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(四)、显示器化学品项目质量管理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_Toc155367496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CE444A" w14:paraId="6042013E" w14:textId="3DE1F4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(五)、显示器化学品项目风险管理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_Toc155367497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CE444A" w14:paraId="5F36803D" w14:textId="1D2512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(六)、显示器化学品项目成本管理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_Toc155367498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CE444A" w14:paraId="48E28066" w14:textId="0C6504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(七)、显示器化学品项目人力资源管理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_Toc155367499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https://d.book118.com/965122214002011042</w:t>
        </w:r>
      </w:hyperlink>
    </w:p>
    <w:p w:rsidR="00CE444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:rsidP="00C27F7B" w14:paraId="220F49C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E444A" w14:paraId="1E630586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:rsidP="00C27F7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E444A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:rsidP="00C27F7B" w14:textId="444625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CE444A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:rsidP="00C27F7B" w14:paraId="3F8ECBA2" w14:textId="444625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E444A" w14:paraId="0515A57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14:paraId="34D1993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:rsidP="00C27F7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E444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:rsidP="00C27F7B" w14:textId="444625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E444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:rsidP="00C27F7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E444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:rsidP="00C27F7B" w14:textId="444625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E444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14:paraId="4C29EFB5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:rsidRPr="00CE444A" w:rsidP="00CE444A" w14:textId="67EFFCD8">
    <w:pPr>
      <w:pStyle w:val="Header"/>
      <w:rPr>
        <w:rFonts w:ascii="仿宋" w:eastAsia="仿宋" w:hAnsi="仿宋"/>
      </w:rPr>
    </w:pPr>
    <w:r w:rsidRPr="00CE444A">
      <w:rPr>
        <w:rFonts w:ascii="仿宋" w:eastAsia="仿宋" w:hAnsi="仿宋" w:hint="eastAsia"/>
      </w:rPr>
      <w:t>显示器化学品项目招商引资融资方案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:rsidRPr="00CE444A" w:rsidP="00CE444A" w14:paraId="7E432F41" w14:textId="67EFFCD8">
    <w:pPr>
      <w:pStyle w:val="Header"/>
      <w:rPr>
        <w:rFonts w:ascii="仿宋" w:eastAsia="仿宋" w:hAnsi="仿宋"/>
      </w:rPr>
    </w:pPr>
    <w:r w:rsidRPr="00CE444A">
      <w:rPr>
        <w:rFonts w:ascii="仿宋" w:eastAsia="仿宋" w:hAnsi="仿宋" w:hint="eastAsia"/>
      </w:rPr>
      <w:t>显示器化学品项目招商引资融资方案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14:paraId="1269D8F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:rsidRPr="00CE444A" w:rsidP="00CE444A" w14:textId="67EFFCD8">
    <w:pPr>
      <w:pStyle w:val="Header"/>
      <w:rPr>
        <w:rFonts w:ascii="仿宋" w:eastAsia="仿宋" w:hAnsi="仿宋"/>
      </w:rPr>
    </w:pPr>
    <w:r w:rsidRPr="00CE444A">
      <w:rPr>
        <w:rFonts w:ascii="仿宋" w:eastAsia="仿宋" w:hAnsi="仿宋" w:hint="eastAsia"/>
      </w:rPr>
      <w:t>显示器化学品项目招商引资融资方案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:rsidRPr="00CE444A" w:rsidP="00CE444A" w14:textId="67EFFCD8">
    <w:pPr>
      <w:pStyle w:val="Header"/>
      <w:rPr>
        <w:rFonts w:ascii="仿宋" w:eastAsia="仿宋" w:hAnsi="仿宋"/>
      </w:rPr>
    </w:pPr>
    <w:r w:rsidRPr="00CE444A">
      <w:rPr>
        <w:rFonts w:ascii="仿宋" w:eastAsia="仿宋" w:hAnsi="仿宋" w:hint="eastAsia"/>
      </w:rPr>
      <w:t>显示器化学品项目招商引资融资方案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44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44A"/>
    <w:rsid w:val="00BD7EAF"/>
    <w:rsid w:val="00C27F7B"/>
    <w:rsid w:val="00CE444A"/>
    <w:rsid w:val="00CF0DFC"/>
    <w:rsid w:val="00EF781E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3A3E5C"/>
  <w15:chartTrackingRefBased/>
  <w15:docId w15:val="{90059D37-CF87-4DB4-9287-2795A025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E44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E444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E444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E444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E44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E444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E44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E444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E444A"/>
  </w:style>
  <w:style w:type="paragraph" w:styleId="TOC1">
    <w:name w:val="toc 1"/>
    <w:basedOn w:val="Normal"/>
    <w:next w:val="Normal"/>
    <w:autoRedefine/>
    <w:uiPriority w:val="39"/>
    <w:unhideWhenUsed/>
    <w:rsid w:val="00CE444A"/>
  </w:style>
  <w:style w:type="paragraph" w:styleId="TOC2">
    <w:name w:val="toc 2"/>
    <w:basedOn w:val="Normal"/>
    <w:next w:val="Normal"/>
    <w:autoRedefine/>
    <w:uiPriority w:val="39"/>
    <w:unhideWhenUsed/>
    <w:rsid w:val="00CE444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96512221400201104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6057</Words>
  <Characters>34528</Characters>
  <Application>Microsoft Office Word</Application>
  <DocSecurity>0</DocSecurity>
  <Lines>287</Lines>
  <Paragraphs>81</Paragraphs>
  <ScaleCrop>false</ScaleCrop>
  <Company/>
  <LinksUpToDate>false</LinksUpToDate>
  <CharactersWithSpaces>40504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2024-01-05T09:16:00Z</dcterms:created>
  <dcterms:modified xsi:type="dcterms:W3CDTF">2024-01-05T09:16:00Z</dcterms:modified>
</cp:coreProperties>
</file>