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2024年喷砂胶管行业趋势报</w:t>
      </w:r>
      <w:r>
        <w:rPr>
          <w:rFonts w:ascii="微软雅黑" w:eastAsia="微软雅黑" w:hAnsi="微软雅黑" w:cs="微软雅黑"/>
          <w:b/>
          <w:bCs/>
          <w:color w:val="2D54A0"/>
          <w:spacing w:val="8"/>
          <w:sz w:val="59"/>
          <w:szCs w:val="59"/>
        </w:rPr>
        <w:t>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8058"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_Toc8058 \h </w:instrText>
        </w:r>
        <w:r>
          <w:fldChar w:fldCharType="separate"/>
        </w:r>
        <w:r>
          <w:t>4</w:t>
        </w:r>
        <w:r>
          <w:fldChar w:fldCharType="end"/>
        </w:r>
      </w:hyperlink>
    </w:p>
    <w:p>
      <w:pPr>
        <w:pStyle w:val="TOC1"/>
        <w:tabs>
          <w:tab w:val="right" w:leader="dot" w:pos="8306"/>
        </w:tabs>
      </w:pPr>
      <w:hyperlink w:anchor="_Toc8961" w:history="1">
        <w:r>
          <w:rPr>
            <w:rFonts w:ascii="微软雅黑" w:eastAsia="微软雅黑" w:hAnsi="微软雅黑" w:cs="微软雅黑" w:hint="eastAsia"/>
            <w:color w:val="001CAC" w:themeColor="hyperlink" w:themeShade="BF"/>
            <w:szCs w:val="32"/>
            <w:lang w:eastAsia="zh-CN"/>
          </w:rPr>
          <w:t>一、制度建设与管理</w:t>
        </w:r>
        <w:r>
          <w:tab/>
        </w:r>
        <w:r>
          <w:fldChar w:fldCharType="begin"/>
        </w:r>
        <w:r>
          <w:instrText xml:space="preserve"> PAGEREF _Toc8961 \h </w:instrText>
        </w:r>
        <w:r>
          <w:fldChar w:fldCharType="separate"/>
        </w:r>
        <w:r>
          <w:t>4</w:t>
        </w:r>
        <w:r>
          <w:fldChar w:fldCharType="end"/>
        </w:r>
      </w:hyperlink>
    </w:p>
    <w:p>
      <w:pPr>
        <w:pStyle w:val="TOC2"/>
        <w:tabs>
          <w:tab w:val="right" w:leader="dot" w:pos="8306"/>
        </w:tabs>
      </w:pPr>
      <w:hyperlink w:anchor="_Toc29012" w:history="1">
        <w:r>
          <w:rPr>
            <w:rFonts w:ascii="宋体" w:eastAsia="宋体" w:hAnsi="宋体" w:cs="宋体" w:hint="eastAsia"/>
            <w:bCs w:val="0"/>
            <w:szCs w:val="28"/>
            <w:lang w:eastAsia="zh-CN"/>
          </w:rPr>
          <w:t>(一)、公司治理结构</w:t>
        </w:r>
        <w:r>
          <w:tab/>
        </w:r>
        <w:r>
          <w:fldChar w:fldCharType="begin"/>
        </w:r>
        <w:r>
          <w:instrText xml:space="preserve"> PAGEREF _Toc29012 \h </w:instrText>
        </w:r>
        <w:r>
          <w:fldChar w:fldCharType="separate"/>
        </w:r>
        <w:r>
          <w:t>4</w:t>
        </w:r>
        <w:r>
          <w:fldChar w:fldCharType="end"/>
        </w:r>
      </w:hyperlink>
    </w:p>
    <w:p>
      <w:pPr>
        <w:pStyle w:val="TOC2"/>
        <w:tabs>
          <w:tab w:val="right" w:leader="dot" w:pos="8306"/>
        </w:tabs>
      </w:pPr>
      <w:hyperlink w:anchor="_Toc26454" w:history="1">
        <w:r>
          <w:rPr>
            <w:rFonts w:ascii="宋体" w:eastAsia="宋体" w:hAnsi="宋体" w:cs="宋体" w:hint="eastAsia"/>
            <w:bCs w:val="0"/>
            <w:szCs w:val="28"/>
            <w:lang w:eastAsia="zh-CN"/>
          </w:rPr>
          <w:t>(二)、内部控制与审计</w:t>
        </w:r>
        <w:r>
          <w:tab/>
        </w:r>
        <w:r>
          <w:fldChar w:fldCharType="begin"/>
        </w:r>
        <w:r>
          <w:instrText xml:space="preserve"> PAGEREF _Toc26454 \h </w:instrText>
        </w:r>
        <w:r>
          <w:fldChar w:fldCharType="separate"/>
        </w:r>
        <w:r>
          <w:t>5</w:t>
        </w:r>
        <w:r>
          <w:fldChar w:fldCharType="end"/>
        </w:r>
      </w:hyperlink>
    </w:p>
    <w:p>
      <w:pPr>
        <w:pStyle w:val="TOC2"/>
        <w:tabs>
          <w:tab w:val="right" w:leader="dot" w:pos="8306"/>
        </w:tabs>
      </w:pPr>
      <w:hyperlink w:anchor="_Toc24399" w:history="1">
        <w:r>
          <w:rPr>
            <w:rFonts w:ascii="宋体" w:eastAsia="宋体" w:hAnsi="宋体" w:cs="宋体" w:hint="eastAsia"/>
            <w:bCs w:val="0"/>
            <w:szCs w:val="28"/>
            <w:lang w:eastAsia="zh-CN"/>
          </w:rPr>
          <w:t>(三)、法律法规合规体系</w:t>
        </w:r>
        <w:r>
          <w:tab/>
        </w:r>
        <w:r>
          <w:fldChar w:fldCharType="begin"/>
        </w:r>
        <w:r>
          <w:instrText xml:space="preserve"> PAGEREF _Toc24399 \h </w:instrText>
        </w:r>
        <w:r>
          <w:fldChar w:fldCharType="separate"/>
        </w:r>
        <w:r>
          <w:t>6</w:t>
        </w:r>
        <w:r>
          <w:fldChar w:fldCharType="end"/>
        </w:r>
      </w:hyperlink>
    </w:p>
    <w:p>
      <w:pPr>
        <w:pStyle w:val="TOC1"/>
        <w:tabs>
          <w:tab w:val="right" w:leader="dot" w:pos="8306"/>
        </w:tabs>
      </w:pPr>
      <w:hyperlink w:anchor="_Toc12947" w:history="1">
        <w:r>
          <w:rPr>
            <w:rFonts w:ascii="微软雅黑" w:eastAsia="微软雅黑" w:hAnsi="微软雅黑" w:cs="微软雅黑" w:hint="eastAsia"/>
            <w:color w:val="001CAC" w:themeColor="hyperlink" w:themeShade="BF"/>
            <w:szCs w:val="32"/>
            <w:lang w:eastAsia="zh-CN"/>
          </w:rPr>
          <w:t>二、喷砂胶管行业财务管理分析</w:t>
        </w:r>
        <w:r>
          <w:tab/>
        </w:r>
        <w:r>
          <w:fldChar w:fldCharType="begin"/>
        </w:r>
        <w:r>
          <w:instrText xml:space="preserve"> PAGEREF _Toc12947 \h </w:instrText>
        </w:r>
        <w:r>
          <w:fldChar w:fldCharType="separate"/>
        </w:r>
        <w:r>
          <w:t>6</w:t>
        </w:r>
        <w:r>
          <w:fldChar w:fldCharType="end"/>
        </w:r>
      </w:hyperlink>
    </w:p>
    <w:p>
      <w:pPr>
        <w:pStyle w:val="TOC2"/>
        <w:tabs>
          <w:tab w:val="right" w:leader="dot" w:pos="8306"/>
        </w:tabs>
      </w:pPr>
      <w:hyperlink w:anchor="_Toc27565" w:history="1">
        <w:r>
          <w:rPr>
            <w:rFonts w:ascii="宋体" w:eastAsia="宋体" w:hAnsi="宋体" w:cs="宋体" w:hint="eastAsia"/>
            <w:bCs w:val="0"/>
            <w:szCs w:val="28"/>
            <w:lang w:eastAsia="zh-CN"/>
          </w:rPr>
          <w:t>(一)、喷砂胶管行业财务管理制度</w:t>
        </w:r>
        <w:r>
          <w:tab/>
        </w:r>
        <w:r>
          <w:fldChar w:fldCharType="begin"/>
        </w:r>
        <w:r>
          <w:instrText xml:space="preserve"> PAGEREF _Toc27565 \h </w:instrText>
        </w:r>
        <w:r>
          <w:fldChar w:fldCharType="separate"/>
        </w:r>
        <w:r>
          <w:t>6</w:t>
        </w:r>
        <w:r>
          <w:fldChar w:fldCharType="end"/>
        </w:r>
      </w:hyperlink>
    </w:p>
    <w:p>
      <w:pPr>
        <w:pStyle w:val="TOC2"/>
        <w:tabs>
          <w:tab w:val="right" w:leader="dot" w:pos="8306"/>
        </w:tabs>
      </w:pPr>
      <w:hyperlink w:anchor="_Toc14945" w:history="1">
        <w:r>
          <w:rPr>
            <w:rFonts w:ascii="宋体" w:eastAsia="宋体" w:hAnsi="宋体" w:cs="宋体" w:hint="eastAsia"/>
            <w:bCs w:val="0"/>
            <w:szCs w:val="28"/>
            <w:lang w:eastAsia="zh-CN"/>
          </w:rPr>
          <w:t>(二)、喷砂胶管行业经济效益分析</w:t>
        </w:r>
        <w:r>
          <w:tab/>
        </w:r>
        <w:r>
          <w:fldChar w:fldCharType="begin"/>
        </w:r>
        <w:r>
          <w:instrText xml:space="preserve"> PAGEREF _Toc14945 \h </w:instrText>
        </w:r>
        <w:r>
          <w:fldChar w:fldCharType="separate"/>
        </w:r>
        <w:r>
          <w:t>8</w:t>
        </w:r>
        <w:r>
          <w:fldChar w:fldCharType="end"/>
        </w:r>
      </w:hyperlink>
    </w:p>
    <w:p>
      <w:pPr>
        <w:pStyle w:val="TOC2"/>
        <w:tabs>
          <w:tab w:val="right" w:leader="dot" w:pos="8306"/>
        </w:tabs>
      </w:pPr>
      <w:hyperlink w:anchor="_Toc26673" w:history="1">
        <w:r>
          <w:rPr>
            <w:rFonts w:ascii="宋体" w:eastAsia="宋体" w:hAnsi="宋体" w:cs="宋体" w:hint="eastAsia"/>
            <w:bCs w:val="0"/>
            <w:szCs w:val="28"/>
            <w:lang w:eastAsia="zh-CN"/>
          </w:rPr>
          <w:t>(三)、喷砂胶管行业收入及成本核算</w:t>
        </w:r>
        <w:r>
          <w:tab/>
        </w:r>
        <w:r>
          <w:fldChar w:fldCharType="begin"/>
        </w:r>
        <w:r>
          <w:instrText xml:space="preserve"> PAGEREF _Toc26673 \h </w:instrText>
        </w:r>
        <w:r>
          <w:fldChar w:fldCharType="separate"/>
        </w:r>
        <w:r>
          <w:t>9</w:t>
        </w:r>
        <w:r>
          <w:fldChar w:fldCharType="end"/>
        </w:r>
      </w:hyperlink>
    </w:p>
    <w:p>
      <w:pPr>
        <w:pStyle w:val="TOC2"/>
        <w:tabs>
          <w:tab w:val="right" w:leader="dot" w:pos="8306"/>
        </w:tabs>
      </w:pPr>
      <w:hyperlink w:anchor="_Toc14636" w:history="1">
        <w:r>
          <w:rPr>
            <w:rFonts w:ascii="宋体" w:eastAsia="宋体" w:hAnsi="宋体" w:cs="宋体" w:hint="eastAsia"/>
            <w:bCs w:val="0"/>
            <w:szCs w:val="28"/>
            <w:lang w:eastAsia="zh-CN"/>
          </w:rPr>
          <w:t>(四)、喷砂胶管行业成本管理</w:t>
        </w:r>
        <w:r>
          <w:tab/>
        </w:r>
        <w:r>
          <w:fldChar w:fldCharType="begin"/>
        </w:r>
        <w:r>
          <w:instrText xml:space="preserve"> PAGEREF _Toc14636 \h </w:instrText>
        </w:r>
        <w:r>
          <w:fldChar w:fldCharType="separate"/>
        </w:r>
        <w:r>
          <w:t>11</w:t>
        </w:r>
        <w:r>
          <w:fldChar w:fldCharType="end"/>
        </w:r>
      </w:hyperlink>
    </w:p>
    <w:p>
      <w:pPr>
        <w:pStyle w:val="TOC1"/>
        <w:tabs>
          <w:tab w:val="right" w:leader="dot" w:pos="8306"/>
        </w:tabs>
      </w:pPr>
      <w:hyperlink w:anchor="_Toc32361" w:history="1">
        <w:r>
          <w:rPr>
            <w:rFonts w:ascii="微软雅黑" w:eastAsia="微软雅黑" w:hAnsi="微软雅黑" w:cs="微软雅黑" w:hint="eastAsia"/>
            <w:color w:val="001CAC" w:themeColor="hyperlink" w:themeShade="BF"/>
            <w:szCs w:val="32"/>
            <w:lang w:eastAsia="zh-CN"/>
          </w:rPr>
          <w:t>三、质量管理与持续改进</w:t>
        </w:r>
        <w:r>
          <w:tab/>
        </w:r>
        <w:r>
          <w:fldChar w:fldCharType="begin"/>
        </w:r>
        <w:r>
          <w:instrText xml:space="preserve"> PAGEREF _Toc32361 \h </w:instrText>
        </w:r>
        <w:r>
          <w:fldChar w:fldCharType="separate"/>
        </w:r>
        <w:r>
          <w:t>14</w:t>
        </w:r>
        <w:r>
          <w:fldChar w:fldCharType="end"/>
        </w:r>
      </w:hyperlink>
    </w:p>
    <w:p>
      <w:pPr>
        <w:pStyle w:val="TOC2"/>
        <w:tabs>
          <w:tab w:val="right" w:leader="dot" w:pos="8306"/>
        </w:tabs>
      </w:pPr>
      <w:hyperlink w:anchor="_Toc28629" w:history="1">
        <w:r>
          <w:rPr>
            <w:rFonts w:ascii="宋体" w:eastAsia="宋体" w:hAnsi="宋体" w:cs="宋体" w:hint="eastAsia"/>
            <w:bCs w:val="0"/>
            <w:szCs w:val="28"/>
            <w:lang w:eastAsia="zh-CN"/>
          </w:rPr>
          <w:t>(一)、质量管理体系建设</w:t>
        </w:r>
        <w:r>
          <w:tab/>
        </w:r>
        <w:r>
          <w:fldChar w:fldCharType="begin"/>
        </w:r>
        <w:r>
          <w:instrText xml:space="preserve"> PAGEREF _Toc28629 \h </w:instrText>
        </w:r>
        <w:r>
          <w:fldChar w:fldCharType="separate"/>
        </w:r>
        <w:r>
          <w:t>14</w:t>
        </w:r>
        <w:r>
          <w:fldChar w:fldCharType="end"/>
        </w:r>
      </w:hyperlink>
    </w:p>
    <w:p>
      <w:pPr>
        <w:pStyle w:val="TOC2"/>
        <w:tabs>
          <w:tab w:val="right" w:leader="dot" w:pos="8306"/>
        </w:tabs>
      </w:pPr>
      <w:hyperlink w:anchor="_Toc23319" w:history="1">
        <w:r>
          <w:rPr>
            <w:rFonts w:ascii="宋体" w:eastAsia="宋体" w:hAnsi="宋体" w:cs="宋体" w:hint="eastAsia"/>
            <w:bCs w:val="0"/>
            <w:szCs w:val="28"/>
            <w:lang w:eastAsia="zh-CN"/>
          </w:rPr>
          <w:t>(二)、生产过程控制与优化</w:t>
        </w:r>
        <w:r>
          <w:tab/>
        </w:r>
        <w:r>
          <w:fldChar w:fldCharType="begin"/>
        </w:r>
        <w:r>
          <w:instrText xml:space="preserve"> PAGEREF _Toc23319 \h </w:instrText>
        </w:r>
        <w:r>
          <w:fldChar w:fldCharType="separate"/>
        </w:r>
        <w:r>
          <w:t>15</w:t>
        </w:r>
        <w:r>
          <w:fldChar w:fldCharType="end"/>
        </w:r>
      </w:hyperlink>
    </w:p>
    <w:p>
      <w:pPr>
        <w:pStyle w:val="TOC2"/>
        <w:tabs>
          <w:tab w:val="right" w:leader="dot" w:pos="8306"/>
        </w:tabs>
      </w:pPr>
      <w:hyperlink w:anchor="_Toc4595" w:history="1">
        <w:r>
          <w:rPr>
            <w:rFonts w:ascii="宋体" w:eastAsia="宋体" w:hAnsi="宋体" w:cs="宋体" w:hint="eastAsia"/>
            <w:bCs w:val="0"/>
            <w:szCs w:val="28"/>
            <w:lang w:eastAsia="zh-CN"/>
          </w:rPr>
          <w:t>(三)、产品质量检验与测试</w:t>
        </w:r>
        <w:r>
          <w:tab/>
        </w:r>
        <w:r>
          <w:fldChar w:fldCharType="begin"/>
        </w:r>
        <w:r>
          <w:instrText xml:space="preserve"> PAGEREF _Toc4595 \h </w:instrText>
        </w:r>
        <w:r>
          <w:fldChar w:fldCharType="separate"/>
        </w:r>
        <w:r>
          <w:t>16</w:t>
        </w:r>
        <w:r>
          <w:fldChar w:fldCharType="end"/>
        </w:r>
      </w:hyperlink>
    </w:p>
    <w:p>
      <w:pPr>
        <w:pStyle w:val="TOC2"/>
        <w:tabs>
          <w:tab w:val="right" w:leader="dot" w:pos="8306"/>
        </w:tabs>
      </w:pPr>
      <w:hyperlink w:anchor="_Toc7652" w:history="1">
        <w:r>
          <w:rPr>
            <w:rFonts w:ascii="宋体" w:eastAsia="宋体" w:hAnsi="宋体" w:cs="宋体" w:hint="eastAsia"/>
            <w:bCs w:val="0"/>
            <w:szCs w:val="28"/>
            <w:lang w:eastAsia="zh-CN"/>
          </w:rPr>
          <w:t>(四)、用户反馈与质量改进</w:t>
        </w:r>
        <w:r>
          <w:tab/>
        </w:r>
        <w:r>
          <w:fldChar w:fldCharType="begin"/>
        </w:r>
        <w:r>
          <w:instrText xml:space="preserve"> PAGEREF _Toc7652 \h </w:instrText>
        </w:r>
        <w:r>
          <w:fldChar w:fldCharType="separate"/>
        </w:r>
        <w:r>
          <w:t>16</w:t>
        </w:r>
        <w:r>
          <w:fldChar w:fldCharType="end"/>
        </w:r>
      </w:hyperlink>
    </w:p>
    <w:p>
      <w:pPr>
        <w:pStyle w:val="TOC1"/>
        <w:tabs>
          <w:tab w:val="right" w:leader="dot" w:pos="8306"/>
        </w:tabs>
      </w:pPr>
      <w:hyperlink w:anchor="_Toc22834" w:history="1">
        <w:r>
          <w:rPr>
            <w:rFonts w:ascii="微软雅黑" w:eastAsia="微软雅黑" w:hAnsi="微软雅黑" w:cs="微软雅黑" w:hint="eastAsia"/>
            <w:color w:val="001CAC" w:themeColor="hyperlink" w:themeShade="BF"/>
            <w:szCs w:val="32"/>
            <w:lang w:eastAsia="zh-CN"/>
          </w:rPr>
          <w:t>四、安全与劳动保护</w:t>
        </w:r>
        <w:r>
          <w:tab/>
        </w:r>
        <w:r>
          <w:fldChar w:fldCharType="begin"/>
        </w:r>
        <w:r>
          <w:instrText xml:space="preserve"> PAGEREF _Toc22834 \h </w:instrText>
        </w:r>
        <w:r>
          <w:fldChar w:fldCharType="separate"/>
        </w:r>
        <w:r>
          <w:t>17</w:t>
        </w:r>
        <w:r>
          <w:fldChar w:fldCharType="end"/>
        </w:r>
      </w:hyperlink>
    </w:p>
    <w:p>
      <w:pPr>
        <w:pStyle w:val="TOC2"/>
        <w:tabs>
          <w:tab w:val="right" w:leader="dot" w:pos="8306"/>
        </w:tabs>
      </w:pPr>
      <w:hyperlink w:anchor="_Toc30672" w:history="1">
        <w:r>
          <w:rPr>
            <w:rFonts w:ascii="宋体" w:eastAsia="宋体" w:hAnsi="宋体" w:cs="宋体" w:hint="eastAsia"/>
            <w:bCs w:val="0"/>
            <w:szCs w:val="28"/>
            <w:lang w:eastAsia="zh-CN"/>
          </w:rPr>
          <w:t>(一)、设计依据与法规合规</w:t>
        </w:r>
        <w:r>
          <w:tab/>
        </w:r>
        <w:r>
          <w:fldChar w:fldCharType="begin"/>
        </w:r>
        <w:r>
          <w:instrText xml:space="preserve"> PAGEREF _Toc30672 \h </w:instrText>
        </w:r>
        <w:r>
          <w:fldChar w:fldCharType="separate"/>
        </w:r>
        <w:r>
          <w:t>17</w:t>
        </w:r>
        <w:r>
          <w:fldChar w:fldCharType="end"/>
        </w:r>
      </w:hyperlink>
    </w:p>
    <w:p>
      <w:pPr>
        <w:pStyle w:val="TOC2"/>
        <w:tabs>
          <w:tab w:val="right" w:leader="dot" w:pos="8306"/>
        </w:tabs>
      </w:pPr>
      <w:hyperlink w:anchor="_Toc8336" w:history="1">
        <w:r>
          <w:rPr>
            <w:rFonts w:ascii="宋体" w:eastAsia="宋体" w:hAnsi="宋体" w:cs="宋体" w:hint="eastAsia"/>
            <w:bCs w:val="0"/>
            <w:szCs w:val="28"/>
            <w:lang w:eastAsia="zh-CN"/>
          </w:rPr>
          <w:t>(二)、劳动安全预期效果评价</w:t>
        </w:r>
        <w:r>
          <w:tab/>
        </w:r>
        <w:r>
          <w:fldChar w:fldCharType="begin"/>
        </w:r>
        <w:r>
          <w:instrText xml:space="preserve"> PAGEREF _Toc8336 \h </w:instrText>
        </w:r>
        <w:r>
          <w:fldChar w:fldCharType="separate"/>
        </w:r>
        <w:r>
          <w:t>17</w:t>
        </w:r>
        <w:r>
          <w:fldChar w:fldCharType="end"/>
        </w:r>
      </w:hyperlink>
    </w:p>
    <w:p>
      <w:pPr>
        <w:pStyle w:val="TOC2"/>
        <w:tabs>
          <w:tab w:val="right" w:leader="dot" w:pos="8306"/>
        </w:tabs>
      </w:pPr>
      <w:hyperlink w:anchor="_Toc30199" w:history="1">
        <w:r>
          <w:rPr>
            <w:rFonts w:ascii="宋体" w:eastAsia="宋体" w:hAnsi="宋体" w:cs="宋体" w:hint="eastAsia"/>
            <w:bCs w:val="0"/>
            <w:szCs w:val="28"/>
            <w:lang w:eastAsia="zh-CN"/>
          </w:rPr>
          <w:t>(三)、主要防范措施</w:t>
        </w:r>
        <w:r>
          <w:tab/>
        </w:r>
        <w:r>
          <w:fldChar w:fldCharType="begin"/>
        </w:r>
        <w:r>
          <w:instrText xml:space="preserve"> PAGEREF _Toc30199 \h </w:instrText>
        </w:r>
        <w:r>
          <w:fldChar w:fldCharType="separate"/>
        </w:r>
        <w:r>
          <w:t>17</w:t>
        </w:r>
        <w:r>
          <w:fldChar w:fldCharType="end"/>
        </w:r>
      </w:hyperlink>
    </w:p>
    <w:p>
      <w:pPr>
        <w:pStyle w:val="TOC1"/>
        <w:tabs>
          <w:tab w:val="right" w:leader="dot" w:pos="8306"/>
        </w:tabs>
      </w:pPr>
      <w:hyperlink w:anchor="_Toc11902" w:history="1">
        <w:r>
          <w:rPr>
            <w:rFonts w:ascii="微软雅黑" w:eastAsia="微软雅黑" w:hAnsi="微软雅黑" w:cs="微软雅黑" w:hint="eastAsia"/>
            <w:color w:val="001CAC" w:themeColor="hyperlink" w:themeShade="BF"/>
            <w:szCs w:val="32"/>
            <w:lang w:eastAsia="zh-CN"/>
          </w:rPr>
          <w:t>五、喷砂胶管行业人力资源管理策略</w:t>
        </w:r>
        <w:r>
          <w:tab/>
        </w:r>
        <w:r>
          <w:fldChar w:fldCharType="begin"/>
        </w:r>
        <w:r>
          <w:instrText xml:space="preserve"> PAGEREF _Toc11902 \h </w:instrText>
        </w:r>
        <w:r>
          <w:fldChar w:fldCharType="separate"/>
        </w:r>
        <w:r>
          <w:t>18</w:t>
        </w:r>
        <w:r>
          <w:fldChar w:fldCharType="end"/>
        </w:r>
      </w:hyperlink>
    </w:p>
    <w:p>
      <w:pPr>
        <w:pStyle w:val="TOC2"/>
        <w:tabs>
          <w:tab w:val="right" w:leader="dot" w:pos="8306"/>
        </w:tabs>
      </w:pPr>
      <w:hyperlink w:anchor="_Toc9122" w:history="1">
        <w:r>
          <w:rPr>
            <w:rFonts w:ascii="宋体" w:eastAsia="宋体" w:hAnsi="宋体" w:cs="宋体" w:hint="eastAsia"/>
            <w:bCs w:val="0"/>
            <w:szCs w:val="28"/>
            <w:lang w:eastAsia="zh-CN"/>
          </w:rPr>
          <w:t>(一)、喷砂胶管行业人力资源管理原则</w:t>
        </w:r>
        <w:r>
          <w:tab/>
        </w:r>
        <w:r>
          <w:fldChar w:fldCharType="begin"/>
        </w:r>
        <w:r>
          <w:instrText xml:space="preserve"> PAGEREF _Toc9122 \h </w:instrText>
        </w:r>
        <w:r>
          <w:fldChar w:fldCharType="separate"/>
        </w:r>
        <w:r>
          <w:t>18</w:t>
        </w:r>
        <w:r>
          <w:fldChar w:fldCharType="end"/>
        </w:r>
      </w:hyperlink>
    </w:p>
    <w:p>
      <w:pPr>
        <w:pStyle w:val="TOC2"/>
        <w:tabs>
          <w:tab w:val="right" w:leader="dot" w:pos="8306"/>
        </w:tabs>
      </w:pPr>
      <w:hyperlink w:anchor="_Toc19774" w:history="1">
        <w:r>
          <w:rPr>
            <w:rFonts w:ascii="宋体" w:eastAsia="宋体" w:hAnsi="宋体" w:cs="宋体" w:hint="eastAsia"/>
            <w:bCs w:val="0"/>
            <w:szCs w:val="28"/>
            <w:lang w:eastAsia="zh-CN"/>
          </w:rPr>
          <w:t>(二)、喷砂胶管行业劳动关系管理</w:t>
        </w:r>
        <w:r>
          <w:tab/>
        </w:r>
        <w:r>
          <w:fldChar w:fldCharType="begin"/>
        </w:r>
        <w:r>
          <w:instrText xml:space="preserve"> PAGEREF _Toc19774 \h </w:instrText>
        </w:r>
        <w:r>
          <w:fldChar w:fldCharType="separate"/>
        </w:r>
        <w:r>
          <w:t>21</w:t>
        </w:r>
        <w:r>
          <w:fldChar w:fldCharType="end"/>
        </w:r>
      </w:hyperlink>
    </w:p>
    <w:p>
      <w:pPr>
        <w:pStyle w:val="TOC2"/>
        <w:tabs>
          <w:tab w:val="right" w:leader="dot" w:pos="8306"/>
        </w:tabs>
      </w:pPr>
      <w:hyperlink w:anchor="_Toc17855" w:history="1">
        <w:r>
          <w:rPr>
            <w:rFonts w:ascii="宋体" w:eastAsia="宋体" w:hAnsi="宋体" w:cs="宋体" w:hint="eastAsia"/>
            <w:bCs w:val="0"/>
            <w:szCs w:val="28"/>
            <w:lang w:eastAsia="zh-CN"/>
          </w:rPr>
          <w:t>(三)、喷砂胶管行业人员配置方案</w:t>
        </w:r>
        <w:r>
          <w:tab/>
        </w:r>
        <w:r>
          <w:fldChar w:fldCharType="begin"/>
        </w:r>
        <w:r>
          <w:instrText xml:space="preserve"> PAGEREF _Toc17855 \h </w:instrText>
        </w:r>
        <w:r>
          <w:fldChar w:fldCharType="separate"/>
        </w:r>
        <w:r>
          <w:t>23</w:t>
        </w:r>
        <w:r>
          <w:fldChar w:fldCharType="end"/>
        </w:r>
      </w:hyperlink>
    </w:p>
    <w:p>
      <w:pPr>
        <w:pStyle w:val="TOC2"/>
        <w:tabs>
          <w:tab w:val="right" w:leader="dot" w:pos="8306"/>
        </w:tabs>
      </w:pPr>
      <w:hyperlink w:anchor="_Toc2800" w:history="1">
        <w:r>
          <w:rPr>
            <w:rFonts w:ascii="宋体" w:eastAsia="宋体" w:hAnsi="宋体" w:cs="宋体" w:hint="eastAsia"/>
            <w:bCs w:val="0"/>
            <w:szCs w:val="28"/>
            <w:lang w:eastAsia="zh-CN"/>
          </w:rPr>
          <w:t>(四)、喷砂胶管行业员工招聘方案</w:t>
        </w:r>
        <w:r>
          <w:tab/>
        </w:r>
        <w:r>
          <w:fldChar w:fldCharType="begin"/>
        </w:r>
        <w:r>
          <w:instrText xml:space="preserve"> PAGEREF _Toc2800 \h </w:instrText>
        </w:r>
        <w:r>
          <w:fldChar w:fldCharType="separate"/>
        </w:r>
        <w:r>
          <w:t>24</w:t>
        </w:r>
        <w:r>
          <w:fldChar w:fldCharType="end"/>
        </w:r>
      </w:hyperlink>
    </w:p>
    <w:p>
      <w:pPr>
        <w:pStyle w:val="TOC2"/>
        <w:tabs>
          <w:tab w:val="right" w:leader="dot" w:pos="8306"/>
        </w:tabs>
      </w:pPr>
      <w:hyperlink w:anchor="_Toc17202" w:history="1">
        <w:r>
          <w:rPr>
            <w:rFonts w:ascii="宋体" w:eastAsia="宋体" w:hAnsi="宋体" w:cs="宋体" w:hint="eastAsia"/>
            <w:bCs w:val="0"/>
            <w:szCs w:val="28"/>
            <w:lang w:eastAsia="zh-CN"/>
          </w:rPr>
          <w:t>(五)、喷砂胶管行业绩效和薪酬管理方案</w:t>
        </w:r>
        <w:r>
          <w:tab/>
        </w:r>
        <w:r>
          <w:fldChar w:fldCharType="begin"/>
        </w:r>
        <w:r>
          <w:instrText xml:space="preserve"> PAGEREF _Toc17202 \h </w:instrText>
        </w:r>
        <w:r>
          <w:fldChar w:fldCharType="separate"/>
        </w:r>
        <w:r>
          <w:t>25</w:t>
        </w:r>
        <w:r>
          <w:fldChar w:fldCharType="end"/>
        </w:r>
      </w:hyperlink>
    </w:p>
    <w:p>
      <w:pPr>
        <w:pStyle w:val="TOC2"/>
        <w:tabs>
          <w:tab w:val="right" w:leader="dot" w:pos="8306"/>
        </w:tabs>
      </w:pPr>
      <w:hyperlink w:anchor="_Toc1825" w:history="1">
        <w:r>
          <w:rPr>
            <w:rFonts w:ascii="宋体" w:eastAsia="宋体" w:hAnsi="宋体" w:cs="宋体" w:hint="eastAsia"/>
            <w:bCs w:val="0"/>
            <w:szCs w:val="28"/>
            <w:lang w:eastAsia="zh-CN"/>
          </w:rPr>
          <w:t>(六)、喷砂胶管行业员工福利管理方案</w:t>
        </w:r>
        <w:r>
          <w:tab/>
        </w:r>
        <w:r>
          <w:fldChar w:fldCharType="begin"/>
        </w:r>
        <w:r>
          <w:instrText xml:space="preserve"> PAGEREF _Toc1825 \h </w:instrText>
        </w:r>
        <w:r>
          <w:fldChar w:fldCharType="separate"/>
        </w:r>
        <w:r>
          <w:t>27</w:t>
        </w:r>
        <w:r>
          <w:fldChar w:fldCharType="end"/>
        </w:r>
      </w:hyperlink>
    </w:p>
    <w:p>
      <w:pPr>
        <w:pStyle w:val="TOC1"/>
        <w:tabs>
          <w:tab w:val="right" w:leader="dot" w:pos="8306"/>
        </w:tabs>
      </w:pPr>
      <w:hyperlink w:anchor="_Toc10400" w:history="1">
        <w:r>
          <w:rPr>
            <w:rFonts w:ascii="微软雅黑" w:eastAsia="微软雅黑" w:hAnsi="微软雅黑" w:cs="微软雅黑" w:hint="eastAsia"/>
            <w:color w:val="001CAC" w:themeColor="hyperlink" w:themeShade="BF"/>
            <w:szCs w:val="32"/>
            <w:lang w:eastAsia="zh-CN"/>
          </w:rPr>
          <w:t>六、喷砂胶管行业项目管理与实施</w:t>
        </w:r>
        <w:r>
          <w:tab/>
        </w:r>
        <w:r>
          <w:fldChar w:fldCharType="begin"/>
        </w:r>
        <w:r>
          <w:instrText xml:space="preserve"> PAGEREF _Toc10400 \h </w:instrText>
        </w:r>
        <w:r>
          <w:fldChar w:fldCharType="separate"/>
        </w:r>
        <w:r>
          <w:t>28</w:t>
        </w:r>
        <w:r>
          <w:fldChar w:fldCharType="end"/>
        </w:r>
      </w:hyperlink>
    </w:p>
    <w:p>
      <w:pPr>
        <w:pStyle w:val="TOC2"/>
        <w:tabs>
          <w:tab w:val="right" w:leader="dot" w:pos="8306"/>
        </w:tabs>
      </w:pPr>
      <w:hyperlink w:anchor="_Toc8684" w:history="1">
        <w:r>
          <w:rPr>
            <w:rFonts w:ascii="宋体" w:eastAsia="宋体" w:hAnsi="宋体" w:cs="宋体" w:hint="eastAsia"/>
            <w:bCs w:val="0"/>
            <w:szCs w:val="28"/>
            <w:lang w:eastAsia="zh-CN"/>
          </w:rPr>
          <w:t>(一)、项目进度安排</w:t>
        </w:r>
        <w:r>
          <w:tab/>
        </w:r>
        <w:r>
          <w:fldChar w:fldCharType="begin"/>
        </w:r>
        <w:r>
          <w:instrText xml:space="preserve"> PAGEREF _Toc8684 \h </w:instrText>
        </w:r>
        <w:r>
          <w:fldChar w:fldCharType="separate"/>
        </w:r>
        <w:r>
          <w:t>28</w:t>
        </w:r>
        <w:r>
          <w:fldChar w:fldCharType="end"/>
        </w:r>
      </w:hyperlink>
    </w:p>
    <w:p>
      <w:pPr>
        <w:pStyle w:val="TOC2"/>
        <w:tabs>
          <w:tab w:val="right" w:leader="dot" w:pos="8306"/>
        </w:tabs>
      </w:pPr>
      <w:hyperlink w:anchor="_Toc27555" w:history="1">
        <w:r>
          <w:rPr>
            <w:rFonts w:ascii="宋体" w:eastAsia="宋体" w:hAnsi="宋体" w:cs="宋体" w:hint="eastAsia"/>
            <w:bCs w:val="0"/>
            <w:szCs w:val="28"/>
            <w:lang w:eastAsia="zh-CN"/>
          </w:rPr>
          <w:t>(二)、项目实施保障措施</w:t>
        </w:r>
        <w:r>
          <w:tab/>
        </w:r>
        <w:r>
          <w:fldChar w:fldCharType="begin"/>
        </w:r>
        <w:r>
          <w:instrText xml:space="preserve"> PAGEREF _Toc27555 \h </w:instrText>
        </w:r>
        <w:r>
          <w:fldChar w:fldCharType="separate"/>
        </w:r>
        <w:r>
          <w:t>29</w:t>
        </w:r>
        <w:r>
          <w:fldChar w:fldCharType="end"/>
        </w:r>
      </w:hyperlink>
    </w:p>
    <w:p>
      <w:pPr>
        <w:pStyle w:val="TOC2"/>
        <w:tabs>
          <w:tab w:val="right" w:leader="dot" w:pos="8306"/>
        </w:tabs>
      </w:pPr>
      <w:hyperlink w:anchor="_Toc16603" w:history="1">
        <w:r>
          <w:rPr>
            <w:rFonts w:ascii="宋体" w:eastAsia="宋体" w:hAnsi="宋体" w:cs="宋体" w:hint="eastAsia"/>
            <w:bCs w:val="0"/>
            <w:szCs w:val="28"/>
            <w:lang w:eastAsia="zh-CN"/>
          </w:rPr>
          <w:t>(三)、项目风险分析与对策</w:t>
        </w:r>
        <w:r>
          <w:tab/>
        </w:r>
        <w:r>
          <w:fldChar w:fldCharType="begin"/>
        </w:r>
        <w:r>
          <w:instrText xml:space="preserve"> PAGEREF _Toc16603 \h </w:instrText>
        </w:r>
        <w:r>
          <w:fldChar w:fldCharType="separate"/>
        </w:r>
        <w:r>
          <w:t>29</w:t>
        </w:r>
        <w:r>
          <w:fldChar w:fldCharType="end"/>
        </w:r>
      </w:hyperlink>
    </w:p>
    <w:p>
      <w:pPr>
        <w:pStyle w:val="TOC1"/>
        <w:tabs>
          <w:tab w:val="right" w:leader="dot" w:pos="8306"/>
        </w:tabs>
      </w:pPr>
      <w:hyperlink w:anchor="_Toc28809" w:history="1">
        <w:r>
          <w:rPr>
            <w:rFonts w:ascii="微软雅黑" w:eastAsia="微软雅黑" w:hAnsi="微软雅黑" w:cs="微软雅黑" w:hint="eastAsia"/>
            <w:color w:val="001CAC" w:themeColor="hyperlink" w:themeShade="BF"/>
            <w:szCs w:val="32"/>
            <w:lang w:eastAsia="zh-CN"/>
          </w:rPr>
          <w:t>七、喷砂胶管行业质量管理方案</w:t>
        </w:r>
        <w:r>
          <w:tab/>
        </w:r>
        <w:r>
          <w:fldChar w:fldCharType="begin"/>
        </w:r>
        <w:r>
          <w:instrText xml:space="preserve"> PAGEREF _Toc28809 \h </w:instrText>
        </w:r>
        <w:r>
          <w:fldChar w:fldCharType="separate"/>
        </w:r>
        <w:r>
          <w:t>30</w:t>
        </w:r>
        <w:r>
          <w:fldChar w:fldCharType="end"/>
        </w:r>
      </w:hyperlink>
    </w:p>
    <w:p>
      <w:pPr>
        <w:pStyle w:val="TOC2"/>
        <w:tabs>
          <w:tab w:val="right" w:leader="dot" w:pos="8306"/>
        </w:tabs>
      </w:pPr>
      <w:hyperlink w:anchor="_Toc16436" w:history="1">
        <w:r>
          <w:rPr>
            <w:rFonts w:ascii="宋体" w:eastAsia="宋体" w:hAnsi="宋体" w:cs="宋体" w:hint="eastAsia"/>
            <w:bCs w:val="0"/>
            <w:szCs w:val="28"/>
            <w:lang w:eastAsia="zh-CN"/>
          </w:rPr>
          <w:t>(一)、喷砂胶管行业质量管理要求</w:t>
        </w:r>
        <w:r>
          <w:tab/>
        </w:r>
        <w:r>
          <w:fldChar w:fldCharType="begin"/>
        </w:r>
        <w:r>
          <w:instrText xml:space="preserve"> PAGEREF _Toc16436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4" w:history="1">
        <w:r>
          <w:rPr>
            <w:rFonts w:ascii="宋体" w:eastAsia="宋体" w:hAnsi="宋体" w:cs="宋体" w:hint="eastAsia"/>
            <w:bCs w:val="0"/>
            <w:szCs w:val="28"/>
            <w:lang w:eastAsia="zh-CN"/>
          </w:rPr>
          <w:t>(二)、喷砂胶管行业服务质量管理方案</w:t>
        </w:r>
        <w:r>
          <w:tab/>
        </w:r>
        <w:r>
          <w:fldChar w:fldCharType="begin"/>
        </w:r>
        <w:r>
          <w:instrText xml:space="preserve"> PAGEREF _Toc12034 \h </w:instrText>
        </w:r>
        <w:r>
          <w:fldChar w:fldCharType="separate"/>
        </w:r>
        <w:r>
          <w:t>31</w:t>
        </w:r>
        <w:r>
          <w:fldChar w:fldCharType="end"/>
        </w:r>
      </w:hyperlink>
    </w:p>
    <w:p>
      <w:pPr>
        <w:pStyle w:val="TOC2"/>
        <w:tabs>
          <w:tab w:val="right" w:leader="dot" w:pos="8306"/>
        </w:tabs>
      </w:pPr>
      <w:hyperlink w:anchor="_Toc7002" w:history="1">
        <w:r>
          <w:rPr>
            <w:rFonts w:ascii="宋体" w:eastAsia="宋体" w:hAnsi="宋体" w:cs="宋体" w:hint="eastAsia"/>
            <w:bCs w:val="0"/>
            <w:szCs w:val="28"/>
            <w:lang w:eastAsia="zh-CN"/>
          </w:rPr>
          <w:t>(三)、喷砂胶管行业质量成本管理方案</w:t>
        </w:r>
        <w:r>
          <w:tab/>
        </w:r>
        <w:r>
          <w:fldChar w:fldCharType="begin"/>
        </w:r>
        <w:r>
          <w:instrText xml:space="preserve"> PAGEREF _Toc7002 \h </w:instrText>
        </w:r>
        <w:r>
          <w:fldChar w:fldCharType="separate"/>
        </w:r>
        <w:r>
          <w:t>32</w:t>
        </w:r>
        <w:r>
          <w:fldChar w:fldCharType="end"/>
        </w:r>
      </w:hyperlink>
    </w:p>
    <w:p>
      <w:pPr>
        <w:pStyle w:val="TOC1"/>
        <w:tabs>
          <w:tab w:val="right" w:leader="dot" w:pos="8306"/>
        </w:tabs>
      </w:pPr>
      <w:hyperlink w:anchor="_Toc30073" w:history="1">
        <w:r>
          <w:rPr>
            <w:rFonts w:ascii="微软雅黑" w:eastAsia="微软雅黑" w:hAnsi="微软雅黑" w:cs="微软雅黑" w:hint="eastAsia"/>
            <w:color w:val="001CAC" w:themeColor="hyperlink" w:themeShade="BF"/>
            <w:szCs w:val="32"/>
            <w:lang w:eastAsia="zh-CN"/>
          </w:rPr>
          <w:t>八、制度运行与优化</w:t>
        </w:r>
        <w:r>
          <w:tab/>
        </w:r>
        <w:r>
          <w:fldChar w:fldCharType="begin"/>
        </w:r>
        <w:r>
          <w:instrText xml:space="preserve"> PAGEREF _Toc30073 \h </w:instrText>
        </w:r>
        <w:r>
          <w:fldChar w:fldCharType="separate"/>
        </w:r>
        <w:r>
          <w:t>33</w:t>
        </w:r>
        <w:r>
          <w:fldChar w:fldCharType="end"/>
        </w:r>
      </w:hyperlink>
    </w:p>
    <w:p>
      <w:pPr>
        <w:pStyle w:val="TOC2"/>
        <w:tabs>
          <w:tab w:val="right" w:leader="dot" w:pos="8306"/>
        </w:tabs>
      </w:pPr>
      <w:hyperlink w:anchor="_Toc27996" w:history="1">
        <w:r>
          <w:rPr>
            <w:rFonts w:ascii="宋体" w:eastAsia="宋体" w:hAnsi="宋体" w:cs="宋体" w:hint="eastAsia"/>
            <w:bCs w:val="0"/>
            <w:szCs w:val="28"/>
            <w:lang w:eastAsia="zh-CN"/>
          </w:rPr>
          <w:t>(一)、制度执行与监督</w:t>
        </w:r>
        <w:r>
          <w:tab/>
        </w:r>
        <w:r>
          <w:fldChar w:fldCharType="begin"/>
        </w:r>
        <w:r>
          <w:instrText xml:space="preserve"> PAGEREF _Toc27996 \h </w:instrText>
        </w:r>
        <w:r>
          <w:fldChar w:fldCharType="separate"/>
        </w:r>
        <w:r>
          <w:t>33</w:t>
        </w:r>
        <w:r>
          <w:fldChar w:fldCharType="end"/>
        </w:r>
      </w:hyperlink>
    </w:p>
    <w:p>
      <w:pPr>
        <w:pStyle w:val="TOC2"/>
        <w:tabs>
          <w:tab w:val="right" w:leader="dot" w:pos="8306"/>
        </w:tabs>
      </w:pPr>
      <w:hyperlink w:anchor="_Toc2018" w:history="1">
        <w:r>
          <w:rPr>
            <w:rFonts w:ascii="宋体" w:eastAsia="宋体" w:hAnsi="宋体" w:cs="宋体" w:hint="eastAsia"/>
            <w:bCs w:val="0"/>
            <w:szCs w:val="28"/>
            <w:lang w:eastAsia="zh-CN"/>
          </w:rPr>
          <w:t>(二)、制度优化与更新</w:t>
        </w:r>
        <w:r>
          <w:tab/>
        </w:r>
        <w:r>
          <w:fldChar w:fldCharType="begin"/>
        </w:r>
        <w:r>
          <w:instrText xml:space="preserve"> PAGEREF _Toc2018 \h </w:instrText>
        </w:r>
        <w:r>
          <w:fldChar w:fldCharType="separate"/>
        </w:r>
        <w:r>
          <w:t>33</w:t>
        </w:r>
        <w:r>
          <w:fldChar w:fldCharType="end"/>
        </w:r>
      </w:hyperlink>
    </w:p>
    <w:p>
      <w:pPr>
        <w:pStyle w:val="TOC1"/>
        <w:tabs>
          <w:tab w:val="right" w:leader="dot" w:pos="8306"/>
        </w:tabs>
      </w:pPr>
      <w:hyperlink w:anchor="_Toc13043" w:history="1">
        <w:r>
          <w:rPr>
            <w:rFonts w:ascii="微软雅黑" w:eastAsia="微软雅黑" w:hAnsi="微软雅黑" w:cs="微软雅黑" w:hint="eastAsia"/>
            <w:color w:val="001CAC" w:themeColor="hyperlink" w:themeShade="BF"/>
            <w:szCs w:val="32"/>
            <w:lang w:eastAsia="zh-CN"/>
          </w:rPr>
          <w:t>九、资金筹措与投资分析</w:t>
        </w:r>
        <w:r>
          <w:tab/>
        </w:r>
        <w:r>
          <w:fldChar w:fldCharType="begin"/>
        </w:r>
        <w:r>
          <w:instrText xml:space="preserve"> PAGEREF _Toc13043 \h </w:instrText>
        </w:r>
        <w:r>
          <w:fldChar w:fldCharType="separate"/>
        </w:r>
        <w:r>
          <w:t>34</w:t>
        </w:r>
        <w:r>
          <w:fldChar w:fldCharType="end"/>
        </w:r>
      </w:hyperlink>
    </w:p>
    <w:p>
      <w:pPr>
        <w:pStyle w:val="TOC2"/>
        <w:tabs>
          <w:tab w:val="right" w:leader="dot" w:pos="8306"/>
        </w:tabs>
      </w:pPr>
      <w:hyperlink w:anchor="_Toc32322" w:history="1">
        <w:r>
          <w:rPr>
            <w:rFonts w:ascii="宋体" w:eastAsia="宋体" w:hAnsi="宋体" w:cs="宋体" w:hint="eastAsia"/>
            <w:bCs w:val="0"/>
            <w:szCs w:val="28"/>
            <w:lang w:eastAsia="zh-CN"/>
          </w:rPr>
          <w:t>(一)、资金需求与筹措计划</w:t>
        </w:r>
        <w:r>
          <w:tab/>
        </w:r>
        <w:r>
          <w:fldChar w:fldCharType="begin"/>
        </w:r>
        <w:r>
          <w:instrText xml:space="preserve"> PAGEREF _Toc32322 \h </w:instrText>
        </w:r>
        <w:r>
          <w:fldChar w:fldCharType="separate"/>
        </w:r>
        <w:r>
          <w:t>34</w:t>
        </w:r>
        <w:r>
          <w:fldChar w:fldCharType="end"/>
        </w:r>
      </w:hyperlink>
    </w:p>
    <w:p>
      <w:pPr>
        <w:pStyle w:val="TOC2"/>
        <w:tabs>
          <w:tab w:val="right" w:leader="dot" w:pos="8306"/>
        </w:tabs>
      </w:pPr>
      <w:hyperlink w:anchor="_Toc16766" w:history="1">
        <w:r>
          <w:rPr>
            <w:rFonts w:ascii="宋体" w:eastAsia="宋体" w:hAnsi="宋体" w:cs="宋体" w:hint="eastAsia"/>
            <w:bCs w:val="0"/>
            <w:szCs w:val="28"/>
            <w:lang w:eastAsia="zh-CN"/>
          </w:rPr>
          <w:t>(二)、投资分析与回报预期</w:t>
        </w:r>
        <w:r>
          <w:tab/>
        </w:r>
        <w:r>
          <w:fldChar w:fldCharType="begin"/>
        </w:r>
        <w:r>
          <w:instrText xml:space="preserve"> PAGEREF _Toc16766 \h </w:instrText>
        </w:r>
        <w:r>
          <w:fldChar w:fldCharType="separate"/>
        </w:r>
        <w:r>
          <w:t>35</w:t>
        </w:r>
        <w:r>
          <w:fldChar w:fldCharType="end"/>
        </w:r>
      </w:hyperlink>
    </w:p>
    <w:p>
      <w:pPr>
        <w:pStyle w:val="TOC1"/>
        <w:tabs>
          <w:tab w:val="right" w:leader="dot" w:pos="8306"/>
        </w:tabs>
      </w:pPr>
      <w:hyperlink w:anchor="_Toc10307" w:history="1">
        <w:r>
          <w:rPr>
            <w:rFonts w:ascii="微软雅黑" w:eastAsia="微软雅黑" w:hAnsi="微软雅黑" w:cs="微软雅黑" w:hint="eastAsia"/>
            <w:color w:val="001CAC" w:themeColor="hyperlink" w:themeShade="BF"/>
            <w:szCs w:val="32"/>
            <w:lang w:eastAsia="zh-CN"/>
          </w:rPr>
          <w:t>十、喷砂胶管行业运营管理及商业模式分析</w:t>
        </w:r>
        <w:r>
          <w:tab/>
        </w:r>
        <w:r>
          <w:fldChar w:fldCharType="begin"/>
        </w:r>
        <w:r>
          <w:instrText xml:space="preserve"> PAGEREF _Toc10307 \h </w:instrText>
        </w:r>
        <w:r>
          <w:fldChar w:fldCharType="separate"/>
        </w:r>
        <w:r>
          <w:t>35</w:t>
        </w:r>
        <w:r>
          <w:fldChar w:fldCharType="end"/>
        </w:r>
      </w:hyperlink>
    </w:p>
    <w:p>
      <w:pPr>
        <w:pStyle w:val="TOC2"/>
        <w:tabs>
          <w:tab w:val="right" w:leader="dot" w:pos="8306"/>
        </w:tabs>
      </w:pPr>
      <w:hyperlink w:anchor="_Toc17077" w:history="1">
        <w:r>
          <w:rPr>
            <w:rFonts w:ascii="宋体" w:eastAsia="宋体" w:hAnsi="宋体" w:cs="宋体" w:hint="eastAsia"/>
            <w:bCs w:val="0"/>
            <w:szCs w:val="28"/>
            <w:lang w:eastAsia="zh-CN"/>
          </w:rPr>
          <w:t>(一)、喷砂胶管行业数字化发展方案</w:t>
        </w:r>
        <w:r>
          <w:tab/>
        </w:r>
        <w:r>
          <w:fldChar w:fldCharType="begin"/>
        </w:r>
        <w:r>
          <w:instrText xml:space="preserve"> PAGEREF _Toc17077 \h </w:instrText>
        </w:r>
        <w:r>
          <w:fldChar w:fldCharType="separate"/>
        </w:r>
        <w:r>
          <w:t>35</w:t>
        </w:r>
        <w:r>
          <w:fldChar w:fldCharType="end"/>
        </w:r>
      </w:hyperlink>
    </w:p>
    <w:p>
      <w:pPr>
        <w:pStyle w:val="TOC2"/>
        <w:tabs>
          <w:tab w:val="right" w:leader="dot" w:pos="8306"/>
        </w:tabs>
      </w:pPr>
      <w:hyperlink w:anchor="_Toc9869" w:history="1">
        <w:r>
          <w:rPr>
            <w:rFonts w:ascii="宋体" w:eastAsia="宋体" w:hAnsi="宋体" w:cs="宋体" w:hint="eastAsia"/>
            <w:bCs w:val="0"/>
            <w:szCs w:val="28"/>
            <w:lang w:eastAsia="zh-CN"/>
          </w:rPr>
          <w:t>(二)、喷砂胶管行业新型运营方式</w:t>
        </w:r>
        <w:r>
          <w:tab/>
        </w:r>
        <w:r>
          <w:fldChar w:fldCharType="begin"/>
        </w:r>
        <w:r>
          <w:instrText xml:space="preserve"> PAGEREF _Toc9869 \h </w:instrText>
        </w:r>
        <w:r>
          <w:fldChar w:fldCharType="separate"/>
        </w:r>
        <w:r>
          <w:t>38</w:t>
        </w:r>
        <w:r>
          <w:fldChar w:fldCharType="end"/>
        </w:r>
      </w:hyperlink>
    </w:p>
    <w:p>
      <w:pPr>
        <w:pStyle w:val="TOC2"/>
        <w:tabs>
          <w:tab w:val="right" w:leader="dot" w:pos="8306"/>
        </w:tabs>
      </w:pPr>
      <w:hyperlink w:anchor="_Toc17200" w:history="1">
        <w:r>
          <w:rPr>
            <w:rFonts w:ascii="宋体" w:eastAsia="宋体" w:hAnsi="宋体" w:cs="宋体" w:hint="eastAsia"/>
            <w:bCs w:val="0"/>
            <w:szCs w:val="28"/>
            <w:lang w:eastAsia="zh-CN"/>
          </w:rPr>
          <w:t>(三)、喷砂胶管行业风险管理</w:t>
        </w:r>
        <w:r>
          <w:tab/>
        </w:r>
        <w:r>
          <w:fldChar w:fldCharType="begin"/>
        </w:r>
        <w:r>
          <w:instrText xml:space="preserve"> PAGEREF _Toc17200 \h </w:instrText>
        </w:r>
        <w:r>
          <w:fldChar w:fldCharType="separate"/>
        </w:r>
        <w:r>
          <w:t>41</w:t>
        </w:r>
        <w:r>
          <w:fldChar w:fldCharType="end"/>
        </w:r>
      </w:hyperlink>
    </w:p>
    <w:p>
      <w:pPr>
        <w:pStyle w:val="TOC1"/>
        <w:tabs>
          <w:tab w:val="right" w:leader="dot" w:pos="8306"/>
        </w:tabs>
      </w:pPr>
      <w:hyperlink w:anchor="_Toc12217" w:history="1">
        <w:r>
          <w:rPr>
            <w:rFonts w:ascii="微软雅黑" w:eastAsia="微软雅黑" w:hAnsi="微软雅黑" w:cs="微软雅黑" w:hint="eastAsia"/>
            <w:color w:val="001CAC" w:themeColor="hyperlink" w:themeShade="BF"/>
            <w:szCs w:val="32"/>
            <w:lang w:eastAsia="zh-CN"/>
          </w:rPr>
          <w:t>十一、领导力发展与企业文化</w:t>
        </w:r>
        <w:r>
          <w:tab/>
        </w:r>
        <w:r>
          <w:fldChar w:fldCharType="begin"/>
        </w:r>
        <w:r>
          <w:instrText xml:space="preserve"> PAGEREF _Toc12217 \h </w:instrText>
        </w:r>
        <w:r>
          <w:fldChar w:fldCharType="separate"/>
        </w:r>
        <w:r>
          <w:t>45</w:t>
        </w:r>
        <w:r>
          <w:fldChar w:fldCharType="end"/>
        </w:r>
      </w:hyperlink>
    </w:p>
    <w:p>
      <w:pPr>
        <w:pStyle w:val="TOC2"/>
        <w:tabs>
          <w:tab w:val="right" w:leader="dot" w:pos="8306"/>
        </w:tabs>
      </w:pPr>
      <w:hyperlink w:anchor="_Toc4599" w:history="1">
        <w:r>
          <w:rPr>
            <w:rFonts w:ascii="宋体" w:eastAsia="宋体" w:hAnsi="宋体" w:cs="宋体" w:hint="eastAsia"/>
            <w:bCs w:val="0"/>
            <w:szCs w:val="28"/>
            <w:lang w:eastAsia="zh-CN"/>
          </w:rPr>
          <w:t>(一)、高效团队建设原则</w:t>
        </w:r>
        <w:r>
          <w:tab/>
        </w:r>
        <w:r>
          <w:fldChar w:fldCharType="begin"/>
        </w:r>
        <w:r>
          <w:instrText xml:space="preserve"> PAGEREF _Toc4599 \h </w:instrText>
        </w:r>
        <w:r>
          <w:fldChar w:fldCharType="separate"/>
        </w:r>
        <w:r>
          <w:t>45</w:t>
        </w:r>
        <w:r>
          <w:fldChar w:fldCharType="end"/>
        </w:r>
      </w:hyperlink>
    </w:p>
    <w:p>
      <w:pPr>
        <w:pStyle w:val="TOC2"/>
        <w:tabs>
          <w:tab w:val="right" w:leader="dot" w:pos="8306"/>
        </w:tabs>
      </w:pPr>
      <w:hyperlink w:anchor="_Toc26142" w:history="1">
        <w:r>
          <w:rPr>
            <w:rFonts w:ascii="宋体" w:eastAsia="宋体" w:hAnsi="宋体" w:cs="宋体" w:hint="eastAsia"/>
            <w:bCs w:val="0"/>
            <w:szCs w:val="28"/>
            <w:lang w:eastAsia="zh-CN"/>
          </w:rPr>
          <w:t>(二)、团队文化与价值观塑造</w:t>
        </w:r>
        <w:r>
          <w:tab/>
        </w:r>
        <w:r>
          <w:fldChar w:fldCharType="begin"/>
        </w:r>
        <w:r>
          <w:instrText xml:space="preserve"> PAGEREF _Toc26142 \h </w:instrText>
        </w:r>
        <w:r>
          <w:fldChar w:fldCharType="separate"/>
        </w:r>
        <w:r>
          <w:t>46</w:t>
        </w:r>
        <w:r>
          <w:fldChar w:fldCharType="end"/>
        </w:r>
      </w:hyperlink>
    </w:p>
    <w:p>
      <w:pPr>
        <w:pStyle w:val="TOC2"/>
        <w:tabs>
          <w:tab w:val="right" w:leader="dot" w:pos="8306"/>
        </w:tabs>
      </w:pPr>
      <w:hyperlink w:anchor="_Toc25011" w:history="1">
        <w:r>
          <w:rPr>
            <w:rFonts w:ascii="宋体" w:eastAsia="宋体" w:hAnsi="宋体" w:cs="宋体" w:hint="eastAsia"/>
            <w:bCs w:val="0"/>
            <w:szCs w:val="28"/>
            <w:lang w:eastAsia="zh-CN"/>
          </w:rPr>
          <w:t>(三)、领导力发展计划</w:t>
        </w:r>
        <w:r>
          <w:tab/>
        </w:r>
        <w:r>
          <w:fldChar w:fldCharType="begin"/>
        </w:r>
        <w:r>
          <w:instrText xml:space="preserve"> PAGEREF _Toc25011 \h </w:instrText>
        </w:r>
        <w:r>
          <w:fldChar w:fldCharType="separate"/>
        </w:r>
        <w:r>
          <w:t>47</w:t>
        </w:r>
        <w:r>
          <w:fldChar w:fldCharType="end"/>
        </w:r>
      </w:hyperlink>
    </w:p>
    <w:p>
      <w:pPr>
        <w:pStyle w:val="TOC2"/>
        <w:tabs>
          <w:tab w:val="right" w:leader="dot" w:pos="8306"/>
        </w:tabs>
      </w:pPr>
      <w:hyperlink w:anchor="_Toc3274" w:history="1">
        <w:r>
          <w:rPr>
            <w:rFonts w:ascii="宋体" w:eastAsia="宋体" w:hAnsi="宋体" w:cs="宋体" w:hint="eastAsia"/>
            <w:bCs w:val="0"/>
            <w:szCs w:val="28"/>
            <w:lang w:eastAsia="zh-CN"/>
          </w:rPr>
          <w:t>(四)、领导力在变革中的作用</w:t>
        </w:r>
        <w:r>
          <w:tab/>
        </w:r>
        <w:r>
          <w:fldChar w:fldCharType="begin"/>
        </w:r>
        <w:r>
          <w:instrText xml:space="preserve"> PAGEREF _Toc3274 \h </w:instrText>
        </w:r>
        <w:r>
          <w:fldChar w:fldCharType="separate"/>
        </w:r>
        <w:r>
          <w:t>48</w:t>
        </w:r>
        <w:r>
          <w:fldChar w:fldCharType="end"/>
        </w:r>
      </w:hyperlink>
    </w:p>
    <w:p>
      <w:pPr>
        <w:pStyle w:val="TOC1"/>
        <w:tabs>
          <w:tab w:val="right" w:leader="dot" w:pos="8306"/>
        </w:tabs>
      </w:pPr>
      <w:hyperlink w:anchor="_Toc24628" w:history="1">
        <w:r>
          <w:rPr>
            <w:rFonts w:ascii="微软雅黑" w:eastAsia="微软雅黑" w:hAnsi="微软雅黑" w:cs="微软雅黑" w:hint="eastAsia"/>
            <w:color w:val="001CAC" w:themeColor="hyperlink" w:themeShade="BF"/>
            <w:szCs w:val="32"/>
            <w:lang w:eastAsia="zh-CN"/>
          </w:rPr>
          <w:t>十二、喷砂胶管行业市场营销分析</w:t>
        </w:r>
        <w:r>
          <w:tab/>
        </w:r>
        <w:r>
          <w:fldChar w:fldCharType="begin"/>
        </w:r>
        <w:r>
          <w:instrText xml:space="preserve"> PAGEREF _Toc24628 \h </w:instrText>
        </w:r>
        <w:r>
          <w:fldChar w:fldCharType="separate"/>
        </w:r>
        <w:r>
          <w:t>49</w:t>
        </w:r>
        <w:r>
          <w:fldChar w:fldCharType="end"/>
        </w:r>
      </w:hyperlink>
    </w:p>
    <w:p>
      <w:pPr>
        <w:pStyle w:val="TOC2"/>
        <w:tabs>
          <w:tab w:val="right" w:leader="dot" w:pos="8306"/>
        </w:tabs>
      </w:pPr>
      <w:hyperlink w:anchor="_Toc7513" w:history="1">
        <w:r>
          <w:rPr>
            <w:rFonts w:ascii="宋体" w:eastAsia="宋体" w:hAnsi="宋体" w:cs="宋体" w:hint="eastAsia"/>
            <w:bCs w:val="0"/>
            <w:szCs w:val="28"/>
            <w:lang w:eastAsia="zh-CN"/>
          </w:rPr>
          <w:t>(一)、喷砂胶管行业市场营销总体思路</w:t>
        </w:r>
        <w:r>
          <w:tab/>
        </w:r>
        <w:r>
          <w:fldChar w:fldCharType="begin"/>
        </w:r>
        <w:r>
          <w:instrText xml:space="preserve"> PAGEREF _Toc7513 \h </w:instrText>
        </w:r>
        <w:r>
          <w:fldChar w:fldCharType="separate"/>
        </w:r>
        <w:r>
          <w:t>49</w:t>
        </w:r>
        <w:r>
          <w:fldChar w:fldCharType="end"/>
        </w:r>
      </w:hyperlink>
    </w:p>
    <w:p>
      <w:pPr>
        <w:pStyle w:val="TOC2"/>
        <w:tabs>
          <w:tab w:val="right" w:leader="dot" w:pos="8306"/>
        </w:tabs>
      </w:pPr>
      <w:hyperlink w:anchor="_Toc24429" w:history="1">
        <w:r>
          <w:rPr>
            <w:rFonts w:ascii="宋体" w:eastAsia="宋体" w:hAnsi="宋体" w:cs="宋体" w:hint="eastAsia"/>
            <w:bCs w:val="0"/>
            <w:szCs w:val="28"/>
            <w:lang w:eastAsia="zh-CN"/>
          </w:rPr>
          <w:t>(二)、喷砂胶管行业组织市场分析</w:t>
        </w:r>
        <w:r>
          <w:tab/>
        </w:r>
        <w:r>
          <w:fldChar w:fldCharType="begin"/>
        </w:r>
        <w:r>
          <w:instrText xml:space="preserve"> PAGEREF _Toc24429 \h </w:instrText>
        </w:r>
        <w:r>
          <w:fldChar w:fldCharType="separate"/>
        </w:r>
        <w:r>
          <w:t>51</w:t>
        </w:r>
        <w:r>
          <w:fldChar w:fldCharType="end"/>
        </w:r>
      </w:hyperlink>
    </w:p>
    <w:p>
      <w:pPr>
        <w:pStyle w:val="TOC2"/>
        <w:tabs>
          <w:tab w:val="right" w:leader="dot" w:pos="8306"/>
        </w:tabs>
      </w:pPr>
      <w:hyperlink w:anchor="_Toc3479" w:history="1">
        <w:r>
          <w:rPr>
            <w:rFonts w:ascii="宋体" w:eastAsia="宋体" w:hAnsi="宋体" w:cs="宋体" w:hint="eastAsia"/>
            <w:bCs w:val="0"/>
            <w:szCs w:val="28"/>
            <w:lang w:eastAsia="zh-CN"/>
          </w:rPr>
          <w:t>(三)、喷砂胶管行业目标市场营销战略</w:t>
        </w:r>
        <w:r>
          <w:tab/>
        </w:r>
        <w:r>
          <w:fldChar w:fldCharType="begin"/>
        </w:r>
        <w:r>
          <w:instrText xml:space="preserve"> PAGEREF _Toc3479 \h </w:instrText>
        </w:r>
        <w:r>
          <w:fldChar w:fldCharType="separate"/>
        </w:r>
        <w:r>
          <w:t>51</w:t>
        </w:r>
        <w:r>
          <w:fldChar w:fldCharType="end"/>
        </w:r>
      </w:hyperlink>
    </w:p>
    <w:p>
      <w:pPr>
        <w:pStyle w:val="TOC2"/>
        <w:tabs>
          <w:tab w:val="right" w:leader="dot" w:pos="8306"/>
        </w:tabs>
      </w:pPr>
      <w:hyperlink w:anchor="_Toc17177" w:history="1">
        <w:r>
          <w:rPr>
            <w:rFonts w:ascii="宋体" w:eastAsia="宋体" w:hAnsi="宋体" w:cs="宋体" w:hint="eastAsia"/>
            <w:bCs w:val="0"/>
            <w:szCs w:val="28"/>
            <w:lang w:eastAsia="zh-CN"/>
          </w:rPr>
          <w:t>(四)、喷砂胶管行业定价策略</w:t>
        </w:r>
        <w:r>
          <w:tab/>
        </w:r>
        <w:r>
          <w:fldChar w:fldCharType="begin"/>
        </w:r>
        <w:r>
          <w:instrText xml:space="preserve"> PAGEREF _Toc17177 \h </w:instrText>
        </w:r>
        <w:r>
          <w:fldChar w:fldCharType="separate"/>
        </w:r>
        <w:r>
          <w:t>53</w:t>
        </w:r>
        <w:r>
          <w:fldChar w:fldCharType="end"/>
        </w:r>
      </w:hyperlink>
    </w:p>
    <w:p>
      <w:pPr>
        <w:pStyle w:val="TOC2"/>
        <w:tabs>
          <w:tab w:val="right" w:leader="dot" w:pos="8306"/>
        </w:tabs>
      </w:pPr>
      <w:hyperlink w:anchor="_Toc19205" w:history="1">
        <w:r>
          <w:rPr>
            <w:rFonts w:ascii="宋体" w:eastAsia="宋体" w:hAnsi="宋体" w:cs="宋体" w:hint="eastAsia"/>
            <w:bCs w:val="0"/>
            <w:szCs w:val="28"/>
            <w:lang w:eastAsia="zh-CN"/>
          </w:rPr>
          <w:t>(五)、喷砂胶管行业促销策略</w:t>
        </w:r>
        <w:r>
          <w:tab/>
        </w:r>
        <w:r>
          <w:fldChar w:fldCharType="begin"/>
        </w:r>
        <w:r>
          <w:instrText xml:space="preserve"> PAGEREF _Toc19205 \h </w:instrText>
        </w:r>
        <w:r>
          <w:fldChar w:fldCharType="separate"/>
        </w:r>
        <w:r>
          <w:t>54</w:t>
        </w:r>
        <w:r>
          <w:fldChar w:fldCharType="end"/>
        </w:r>
      </w:hyperlink>
    </w:p>
    <w:p>
      <w:pPr>
        <w:pStyle w:val="TOC2"/>
        <w:tabs>
          <w:tab w:val="right" w:leader="dot" w:pos="8306"/>
        </w:tabs>
      </w:pPr>
      <w:hyperlink w:anchor="_Toc16537" w:history="1">
        <w:r>
          <w:rPr>
            <w:rFonts w:ascii="宋体" w:eastAsia="宋体" w:hAnsi="宋体" w:cs="宋体" w:hint="eastAsia"/>
            <w:bCs w:val="0"/>
            <w:szCs w:val="28"/>
            <w:lang w:eastAsia="zh-CN"/>
          </w:rPr>
          <w:t>(六)、喷砂胶管行业品牌策略</w:t>
        </w:r>
        <w:r>
          <w:tab/>
        </w:r>
        <w:r>
          <w:fldChar w:fldCharType="begin"/>
        </w:r>
        <w:r>
          <w:instrText xml:space="preserve"> PAGEREF _Toc16537 \h </w:instrText>
        </w:r>
        <w:r>
          <w:fldChar w:fldCharType="separate"/>
        </w:r>
        <w:r>
          <w:t>56</w:t>
        </w:r>
        <w:r>
          <w:fldChar w:fldCharType="end"/>
        </w:r>
      </w:hyperlink>
    </w:p>
    <w:p>
      <w:pPr>
        <w:pStyle w:val="TOC2"/>
        <w:tabs>
          <w:tab w:val="right" w:leader="dot" w:pos="8306"/>
        </w:tabs>
      </w:pPr>
      <w:hyperlink w:anchor="_Toc25535" w:history="1">
        <w:r>
          <w:rPr>
            <w:rFonts w:ascii="宋体" w:eastAsia="宋体" w:hAnsi="宋体" w:cs="宋体" w:hint="eastAsia"/>
            <w:bCs w:val="0"/>
            <w:szCs w:val="28"/>
            <w:lang w:eastAsia="zh-CN"/>
          </w:rPr>
          <w:t>(七)、喷砂胶管行业关系营销</w:t>
        </w:r>
        <w:r>
          <w:tab/>
        </w:r>
        <w:r>
          <w:fldChar w:fldCharType="begin"/>
        </w:r>
        <w:r>
          <w:instrText xml:space="preserve"> PAGEREF _Toc25535 \h </w:instrText>
        </w:r>
        <w:r>
          <w:fldChar w:fldCharType="separate"/>
        </w:r>
        <w:r>
          <w:t>59</w:t>
        </w:r>
        <w:r>
          <w:fldChar w:fldCharType="end"/>
        </w:r>
      </w:hyperlink>
    </w:p>
    <w:p>
      <w:pPr>
        <w:pStyle w:val="TOC2"/>
        <w:tabs>
          <w:tab w:val="right" w:leader="dot" w:pos="8306"/>
        </w:tabs>
      </w:pPr>
      <w:hyperlink w:anchor="_Toc10971" w:history="1">
        <w:r>
          <w:rPr>
            <w:rFonts w:ascii="宋体" w:eastAsia="宋体" w:hAnsi="宋体" w:cs="宋体" w:hint="eastAsia"/>
            <w:bCs w:val="0"/>
            <w:szCs w:val="28"/>
            <w:lang w:eastAsia="zh-CN"/>
          </w:rPr>
          <w:t>(八)、喷砂胶管行业体验营销</w:t>
        </w:r>
        <w:r>
          <w:tab/>
        </w:r>
        <w:r>
          <w:fldChar w:fldCharType="begin"/>
        </w:r>
        <w:r>
          <w:instrText xml:space="preserve"> PAGEREF _Toc10971 \h </w:instrText>
        </w:r>
        <w:r>
          <w:fldChar w:fldCharType="separate"/>
        </w:r>
        <w:r>
          <w:t>60</w:t>
        </w:r>
        <w:r>
          <w:fldChar w:fldCharType="end"/>
        </w:r>
      </w:hyperlink>
    </w:p>
    <w:p>
      <w:pPr>
        <w:pStyle w:val="TOC2"/>
        <w:tabs>
          <w:tab w:val="right" w:leader="dot" w:pos="8306"/>
        </w:tabs>
      </w:pPr>
      <w:hyperlink w:anchor="_Toc20305" w:history="1">
        <w:r>
          <w:rPr>
            <w:rFonts w:ascii="宋体" w:eastAsia="宋体" w:hAnsi="宋体" w:cs="宋体" w:hint="eastAsia"/>
            <w:bCs w:val="0"/>
            <w:szCs w:val="28"/>
            <w:lang w:eastAsia="zh-CN"/>
          </w:rPr>
          <w:t>(九)、喷砂胶管行业互联网营销</w:t>
        </w:r>
        <w:r>
          <w:tab/>
        </w:r>
        <w:r>
          <w:fldChar w:fldCharType="begin"/>
        </w:r>
        <w:r>
          <w:instrText xml:space="preserve"> PAGEREF _Toc20305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8058"/>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喷砂胶管行业研究报告旨在对喷砂胶管行业进行深入分析和研究,为 相关从业人员提供参考依据。报告内容仅供学习交流使用，不可用于商业用途。通过梳理喷砂胶管行业发展历程、分析市场潜力和主要竞争对手，探讨行业趋势及未来发展方向，旨在提供启示和建议。</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8961"/>
      <w:r>
        <w:rPr>
          <w:rFonts w:ascii="微软雅黑" w:eastAsia="微软雅黑" w:hAnsi="微软雅黑" w:cs="微软雅黑" w:hint="eastAsia"/>
          <w:color w:val="2E54A1" w:themeColor="accent1" w:themeShade="BF"/>
          <w:sz w:val="32"/>
          <w:szCs w:val="32"/>
          <w:lang w:eastAsia="zh-CN"/>
        </w:rPr>
        <w:t>一、制度建设与管理</w:t>
      </w:r>
      <w:bookmarkEnd w:id="2"/>
    </w:p>
    <w:p>
      <w:pPr>
        <w:pStyle w:val="Heading2"/>
        <w:spacing w:line="480" w:lineRule="auto"/>
        <w:rPr>
          <w:rFonts w:ascii="宋体" w:eastAsia="宋体" w:hAnsi="宋体" w:cs="宋体" w:hint="eastAsia"/>
          <w:bCs w:val="0"/>
          <w:sz w:val="28"/>
          <w:szCs w:val="28"/>
          <w:lang w:eastAsia="zh-CN"/>
        </w:rPr>
      </w:pPr>
      <w:bookmarkStart w:id="3" w:name="_Toc29012"/>
      <w:r>
        <w:rPr>
          <w:rFonts w:ascii="宋体" w:eastAsia="宋体" w:hAnsi="宋体" w:cs="宋体" w:hint="eastAsia"/>
          <w:b/>
          <w:bCs w:val="0"/>
          <w:sz w:val="28"/>
          <w:szCs w:val="28"/>
          <w:lang w:eastAsia="zh-CN"/>
        </w:rPr>
        <w:t>(一)、公司治理结构</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公司治理结构的建设中，我们坚持科学合理的原则，通过精心设计的治理框架，确保公司内部管理层次清晰，权责明晰。通过这一结构，我们在公司的各个层级建立了有效的沟通和反馈机制，使得信息能够迅速传递，决策能够得到及时的执行。高效透明的治理体系是公司健康发展的基石，我们追求创新，不断引入现代治理理念，确保公司在竞争激烈的市场环境中保持灵活性和应变能力。</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公司治理结构的科学建设也在于为公司各层级提供明确的指导和监督机制。通过规范的公司治理程序，我们确保公司各级管理层都能够明白公司的整体战略和目标,以及自身在这个体系中的具体职责。这不仅有助于激发每个管理层的积极性,更有助于实现整个公司的协同运作。同时，监督机制的建立让公司管理更具透明性，确保了决策的合法性和公正性。</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在公司治理方面不仅注重结构的完备，更注重其创新性。随着市场和公司自身的发展，我们不断优化治理机制，引入先进的管理理念和方法，以适应不断变化的环境。这种创新性的治理结构使公司能够更好地应对挑战，更灵活地调整战略，更高效地运营。</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整个公司治理结构建设的过程中,我们将一切努力都用于确保公司能够在不断变化的商业环境中保持竞争力。高效透明、科学创新的治理体系为公司提供了强大的支持，使得我们能够更好地实现公司战略目标，确保公司长期稳健发展。</w:t>
      </w:r>
    </w:p>
    <w:p>
      <w:pPr>
        <w:pStyle w:val="Heading2"/>
        <w:spacing w:line="480" w:lineRule="auto"/>
        <w:rPr>
          <w:rFonts w:ascii="宋体" w:eastAsia="宋体" w:hAnsi="宋体" w:cs="宋体" w:hint="eastAsia"/>
          <w:bCs w:val="0"/>
          <w:sz w:val="28"/>
          <w:szCs w:val="28"/>
          <w:lang w:eastAsia="zh-CN"/>
        </w:rPr>
      </w:pPr>
      <w:bookmarkStart w:id="4" w:name="_Toc26454"/>
      <w:r>
        <w:rPr>
          <w:rFonts w:ascii="宋体" w:eastAsia="宋体" w:hAnsi="宋体" w:cs="宋体" w:hint="eastAsia"/>
          <w:b/>
          <w:bCs w:val="0"/>
          <w:sz w:val="28"/>
          <w:szCs w:val="28"/>
          <w:lang w:eastAsia="zh-CN"/>
        </w:rPr>
        <w:t>(二)、内部控制与审计</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内部控制与审计在公司的持续稳健经营中扮演着至关重要的角色。我们不仅建立了严谨完善的内部控制制度，还通过科学合理的内部流程和规范来确保公司各项运营活动的合规性和规范性。内部控制的建立不仅仅是为了规遍管理，更是为了预防潜在的风险，保障公司业务的可持续性。通过明确的职责分工和审批流程，我们建立了一个严密的内部控制网络，以确保公司在日常运营中不受到内部瑕疵的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为了更加全面地了解和评估公司的内部运营情况,我们实施定期的内部审计。通过这一审计过程，我们对公司内部控制的有效性进行评估，及时发现潜在的问题并加以解决。内部审计不仅关注业务过程的执行，还关注财务信息的真实性和准确性。通过审计，我们确保公司财务报告的透明度和准确性,提高了决策的科学性和公司的整体运营效率。</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内部控制与审计的相互配合形成了一个相对完备的监督和检查体系。内部控制是日常运营的保障，而审计则是对内控有效性的验证和完善。通过这两者的有机结合，我们能够更全面地把握公司的运营状况，及时纠正存在的问题，降低内部操作风险，确保公司运营活动的正常有序进行。内部控制与审计的不断完善与提升将持续推动公司的持续稳健经营。</w:t>
      </w: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https://d.book118.com/965122343020011100</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2E32542B"/>
    <w:rsid w:val="3DAC44EE"/>
    <w:rsid w:val="453746B4"/>
    <w:rsid w:val="482775B3"/>
    <w:rsid w:val="49C53810"/>
    <w:rsid w:val="4E155AC7"/>
    <w:rsid w:val="50930768"/>
    <w:rsid w:val="62A91464"/>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65122343020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2024-01-17T06:03:11Z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