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2018-2023年潍坊护理职业学院高职单招（数学／语文／英语）历年常考试题库含答案解析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契诃夫是（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A.俄国诗人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B.俄国散文随笔作家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C.俄国短篇小说之王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D.俄国政论家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被称为“短篇小说之王”的是（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A.屠格涅夫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B.莫泊桑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D.马克·吐温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“赋”作为一种文体，成熟于（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A.战国时代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B.汉代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C.唐代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D.宋代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《山居秋暝》是一首（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B.七律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C.五古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D.七古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《饮酒》是一首（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A.五言律诗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B.乐府诗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C.五言古诗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D.五言绝句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下列文章中，带有寓言性的散文是（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A.《种树郭橐驼传》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D.《答司马谏议书》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《麦琪的礼物》运用的结构方法是（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A.一虚一实，双线并行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B.采用两条平行的情节线索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C.四条情节线交叉叙述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D.追溯法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8.</w:t>
      </w:r>
      <w:r>
        <w:rPr>
          <w:rFonts w:ascii="黑体" w:eastAsia="黑体" w:hAnsi="黑体" w:cs="Times New Roman"/>
          <w:sz w:val="24"/>
          <w:lang w:val="en-US" w:eastAsia="ja-JP" w:bidi="ar-SA"/>
        </w:rPr>
        <w:t>李煜的《虞美人（春花秋月何时了）》一词抒写的是（　　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A.美景依旧，人事已非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B.对故国宫殿衰败的痛惜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C.故国宫苑中美好的时光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D.亡国的伤痛与哀怨忧愁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7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下列文学常识表述完全正确的一项是（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A.鲁迅的《呐喊》、茅盾的《子夜》和巴金的《家》，都是我国现代著名的长篇小说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B.我国现代著名剧作家曹禺的代表作有《雷雨》、《日出》和《龙须沟》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C.新格律诗的“三美”主张指的是“音乐的美”、“绘画的美”、“建筑的美”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D.沈从文的《箱子岩》生动地展现了浙东水乡淳厚古朴的民风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冰心擅长写散文，其文体自成一家，被读者誉为（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A.“白话文西化”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B.“新文艺腔”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C.“冰心体”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D.“工笔美文”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《日出》的主题是（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A.偏重写人性的悲剧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B.写家庭悲剧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C.偏重对社会悲剧的揭示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D.写性格悲剧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冰心著名的散文集有（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A.《繁星》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B.《寄小读者》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C.《春水》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“祸起萧墙”、“望洋兴叹”、“日薄西山”三个成语依次出自（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A.《季氏将伐颛臾》、《陈情表》、《庄子·秋水》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B.《寡人之于国也》、《季氏将伐颛臾》、《陈情表》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C.《季氏将伐颛臾》、《庄子·秋水》、《陈情表》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D.《寡人之于国也》、《庄子·秋水》、《陈情表》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在《寡人之于国也》中，孟子认为达到“数口之家，可以无饥”这一目标的主要措施是（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A.五亩之宅，树之以桑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B.鸡豚狗彘之畜，无失其时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https://d.book118.com/965200002330011112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96520000233001111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