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1434" w:firstLineChars="478"/>
        <w:jc w:val="both"/>
        <w:rPr>
          <w:rFonts w:hint="eastAsia"/>
          <w:b/>
          <w:sz w:val="30"/>
          <w:szCs w:val="30"/>
          <w:u w:val="single"/>
        </w:rPr>
      </w:pPr>
      <w:r>
        <w:rPr>
          <w:rFonts w:ascii="黑体" w:eastAsia="黑体" w:hAnsi="宋体" w:hint="eastAsia"/>
          <w:sz w:val="30"/>
          <w:szCs w:val="30"/>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-4831715</wp:posOffset>
                </wp:positionV>
                <wp:extent cx="6172200" cy="297180"/>
                <wp:effectExtent l="0" t="0" r="0" b="7620"/>
                <wp:wrapNone/>
                <wp:docPr id="259" name="矩形 259"/>
                <wp:cNvGraphicFramePr/>
                <a:graphic xmlns:a="http://schemas.openxmlformats.org/drawingml/2006/main">
                  <a:graphicData uri="http://schemas.microsoft.com/office/word/2010/wordprocessingShape">
                    <wps:wsp xmlns:wps="http://schemas.microsoft.com/office/word/2010/wordprocessingShape">
                      <wps:cNvSpPr/>
                      <wps:spPr>
                        <a:xfrm>
                          <a:off x="0" y="0"/>
                          <a:ext cx="6172200" cy="297180"/>
                        </a:xfrm>
                        <a:prstGeom prst="rect">
                          <a:avLst/>
                        </a:prstGeom>
                        <a:solidFill>
                          <a:srgbClr val="FFFFFF"/>
                        </a:solidFill>
                        <a:ln>
                          <a:noFill/>
                        </a:ln>
                      </wps:spPr>
                      <wps:txbx>
                        <w:txbxContent>
                          <w:p>
                            <w:pPr>
                              <w:jc w:val="center"/>
                            </w:pP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矩形 259" o:spid="_x0000_s1025" type="#_x0000_t202" style="width:486pt;height:23.4pt;margin-top:-380.45pt;margin-left:-9pt;mso-wrap-distance-bottom:0;mso-wrap-distance-left:9pt;mso-wrap-distance-right:9pt;mso-wrap-distance-top:0;position:absolute;v-text-anchor:top;z-index:251658240" fillcolor="white" stroked="f">
                <v:textbox>
                  <w:txbxContent>
                    <w:p>
                      <w:pPr>
                        <w:jc w:val="center"/>
                      </w:pPr>
                    </w:p>
                  </w:txbxContent>
                </v:textbox>
              </v:shape>
            </w:pict>
          </mc:Fallback>
        </mc:AlternateContent>
      </w:r>
      <w:r>
        <w:rPr>
          <w:rFonts w:ascii="宋体" w:hAnsi="宋体" w:hint="eastAsia"/>
          <w:b/>
          <w:sz w:val="30"/>
          <w:szCs w:val="30"/>
          <w:u w:val="single"/>
        </w:rPr>
        <w:t xml:space="preserve"> 基于数学模型的疫苗接种策略分析</w:t>
      </w:r>
      <w:r>
        <w:rPr>
          <w:rFonts w:hint="eastAsia"/>
          <w:b/>
          <w:sz w:val="30"/>
          <w:szCs w:val="30"/>
          <w:u w:val="single"/>
          <w:lang w:val="en-US" w:eastAsia="zh-CN"/>
        </w:rPr>
        <w:t xml:space="preserve">     </w:t>
      </w:r>
    </w:p>
    <w:p>
      <w:pPr>
        <w:pStyle w:val="Heading1"/>
        <w:autoSpaceDE/>
        <w:autoSpaceDN/>
        <w:spacing w:before="312" w:after="312" w:line="240" w:lineRule="auto"/>
        <w:ind w:left="0" w:right="0"/>
        <w:rPr>
          <w:rFonts w:ascii="宋体" w:eastAsia="宋体" w:hAnsi="宋体" w:cs="宋体" w:hint="eastAsia"/>
          <w:sz w:val="24"/>
          <w:szCs w:val="24"/>
        </w:rPr>
      </w:pPr>
      <w:bookmarkStart w:id="0" w:name="_Toc10872"/>
      <w:r>
        <w:rPr>
          <w:rFonts w:ascii="Times New Roman" w:hAnsi="Times New Roman" w:cs="Times New Roman" w:hint="eastAsia"/>
          <w:kern w:val="0"/>
          <w:lang w:val="en-US" w:bidi="ar-SA"/>
        </w:rPr>
        <w:t>摘要</w:t>
      </w:r>
      <w:bookmarkEnd w:id="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r>
        <w:rPr>
          <w:rFonts w:ascii="宋体" w:eastAsia="宋体" w:hAnsi="宋体" w:cs="宋体" w:hint="eastAsia"/>
          <w:sz w:val="24"/>
          <w:szCs w:val="24"/>
        </w:rPr>
        <w:t>2019年12月爆发的新型冠状病毒肺炎（COVID-19）给世界各国带来了巨大的影响，造成了无数的生命财产损失。接种疫苗是控制疫情的一个十分重要的措施，本文就是基于不同情况下的传染病数学模型，选取了武汉市1个月的疫情数据进行分析，建立了一个简单的连续疫苗接种数学模型和一个疫苗脉冲接种动态优化问题，借助MATLAB和PYTHON等手段分析不同的疫苗接种策略对疫情发展趋势的影响。本文引入了控制约束和状态约束，并对疫苗接种的时间间隔点进行了优化，把最优控制问题通过离散化转化为非线性规划问题，可以有效地处理各种状态约束和控制约束下的多轮次疫苗接种问题，并根据约束条件和测试表现调整疫苗接种策略，从而使我们建立的模型可以更加贴合实际，继而为相应的公共卫生决策提供理论支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宋体" w:hint="eastAsia"/>
          <w:sz w:val="24"/>
        </w:rPr>
      </w:pPr>
      <w:r>
        <w:rPr>
          <w:rFonts w:hint="eastAsia"/>
          <w:b/>
          <w:bCs/>
          <w:sz w:val="24"/>
          <w:szCs w:val="24"/>
        </w:rPr>
        <w:t>关键词</w:t>
      </w:r>
      <w:r>
        <w:rPr>
          <w:rFonts w:hint="eastAsia"/>
          <w:b/>
          <w:bCs/>
          <w:sz w:val="24"/>
          <w:szCs w:val="24"/>
          <w:lang w:eastAsia="zh-CN"/>
        </w:rPr>
        <w:t>：</w:t>
      </w:r>
      <w:r>
        <w:rPr>
          <w:rFonts w:ascii="宋体" w:eastAsia="宋体" w:hAnsi="宋体" w:cs="宋体" w:hint="eastAsia"/>
          <w:sz w:val="24"/>
          <w:szCs w:val="24"/>
        </w:rPr>
        <w:t>疫苗接种策略；SIR动力学系统；脉冲接种；最优控制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sectPr>
          <w:headerReference w:type="default" r:id="rId5"/>
          <w:footerReference w:type="default" r:id="rId6"/>
          <w:pgSz w:w="11906" w:h="16838"/>
          <w:pgMar w:top="1440" w:right="1800" w:bottom="1440" w:left="1800" w:header="851" w:footer="992" w:gutter="0"/>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eastAsia="宋体" w:hAnsi="Times New Roman" w:cs="Times New Roman" w:hint="default"/>
          <w:sz w:val="24"/>
        </w:rPr>
      </w:pPr>
    </w:p>
    <w:sdt>
      <w:sdtPr>
        <w:rPr>
          <w:rFonts w:ascii="黑体" w:eastAsia="黑体" w:hAnsi="黑体" w:cs="黑体" w:hint="eastAsia"/>
          <w:kern w:val="2"/>
          <w:sz w:val="32"/>
          <w:szCs w:val="32"/>
          <w:lang w:val="en-US" w:eastAsia="zh-CN" w:bidi="ar-SA"/>
        </w:rPr>
        <w:id w:val="147459034"/>
        <w:docPartObj>
          <w:docPartGallery w:val="Table of Contents"/>
          <w:docPartUnique/>
        </w:docPartObj>
        <w15:color w:val="DBDBDB"/>
      </w:sdtPr>
      <w:sdtEndPr>
        <w:rPr>
          <w:rFonts w:ascii="宋体" w:eastAsia="宋体" w:hAnsi="宋体" w:cs="宋体" w:hint="eastAsia"/>
          <w:kern w:val="2"/>
          <w:sz w:val="21"/>
          <w:szCs w:val="24"/>
          <w:lang w:val="en-US" w:eastAsia="zh-CN" w:bidi="ar-SA"/>
        </w:rPr>
      </w:sdtEndPr>
      <w:sdtContent>
        <w:p>
          <w:pPr>
            <w:spacing w:before="0" w:beforeLines="0" w:after="0" w:afterLines="0" w:line="360" w:lineRule="auto"/>
            <w:ind w:left="0" w:right="0" w:firstLine="0" w:leftChars="0" w:rightChars="0" w:firstLineChars="0"/>
            <w:jc w:val="center"/>
            <w:rPr>
              <w:rFonts w:ascii="黑体" w:eastAsia="黑体" w:hAnsi="黑体" w:cs="黑体" w:hint="eastAsia"/>
              <w:sz w:val="32"/>
              <w:szCs w:val="32"/>
            </w:rPr>
          </w:pPr>
          <w:r>
            <w:rPr>
              <w:rFonts w:ascii="黑体" w:eastAsia="黑体" w:hAnsi="黑体" w:cs="黑体" w:hint="eastAsia"/>
              <w:sz w:val="32"/>
              <w:szCs w:val="32"/>
            </w:rPr>
            <w:t>目录</w:t>
          </w:r>
        </w:p>
        <w:p>
          <w:pPr>
            <w:pStyle w:val="TOC1"/>
            <w:tabs>
              <w:tab w:val="right" w:leader="dot" w:pos="8306"/>
            </w:tabs>
            <w:spacing w:line="360" w:lineRule="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TOC \o "1-3" \h \u </w:instrText>
          </w:r>
          <w:r>
            <w:rPr>
              <w:rFonts w:ascii="Times New Roman" w:eastAsia="宋体" w:hAnsi="Times New Roman" w:cs="Times New Roman" w:hint="default"/>
              <w:sz w:val="24"/>
              <w:szCs w:val="24"/>
            </w:rPr>
            <w:fldChar w:fldCharType="separate"/>
          </w:r>
          <w:hyperlink w:anchor="_Toc10872" w:history="1">
            <w:r>
              <w:rPr>
                <w:rFonts w:ascii="Times New Roman" w:eastAsia="宋体" w:hAnsi="Times New Roman" w:cs="Times New Roman" w:hint="default"/>
                <w:kern w:val="0"/>
                <w:sz w:val="24"/>
                <w:szCs w:val="24"/>
                <w:lang w:val="en-US" w:bidi="ar-SA"/>
              </w:rPr>
              <w:t>摘要</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_Toc10872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I</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26633" w:history="1">
            <w:r>
              <w:rPr>
                <w:rFonts w:ascii="Times New Roman" w:eastAsia="宋体" w:hAnsi="Times New Roman" w:cs="Times New Roman" w:hint="default"/>
                <w:sz w:val="24"/>
                <w:szCs w:val="24"/>
                <w:lang w:val="en-US" w:bidi="ar-SA"/>
              </w:rPr>
              <w:t>ABSTRACT</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_Toc26633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II</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21373" w:history="1">
            <w:r>
              <w:rPr>
                <w:rFonts w:ascii="Times New Roman" w:eastAsia="宋体" w:hAnsi="Times New Roman" w:cs="Times New Roman" w:hint="default"/>
                <w:sz w:val="24"/>
                <w:szCs w:val="24"/>
                <w:lang w:val="en-US" w:eastAsia="zh-CN" w:bidi="ar-SA"/>
              </w:rPr>
              <w:t>第一章 绪言</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_Toc21373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856" w:history="1">
            <w:r>
              <w:rPr>
                <w:rFonts w:ascii="Times New Roman" w:eastAsia="宋体" w:hAnsi="Times New Roman" w:cs="Times New Roman" w:hint="default"/>
                <w:kern w:val="2"/>
                <w:sz w:val="24"/>
                <w:szCs w:val="24"/>
                <w:lang w:val="en-US" w:eastAsia="zh-CN" w:bidi="ar-SA"/>
              </w:rPr>
              <w:t>第一节 背景介绍</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_Toc856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6654" w:history="1">
            <w:r>
              <w:rPr>
                <w:rFonts w:ascii="Times New Roman" w:eastAsia="宋体" w:hAnsi="Times New Roman" w:cs="Times New Roman" w:hint="default"/>
                <w:kern w:val="2"/>
                <w:sz w:val="24"/>
                <w:szCs w:val="24"/>
                <w:lang w:val="en-US" w:eastAsia="zh-CN" w:bidi="ar-SA"/>
              </w:rPr>
              <w:t>第二节 研究现状</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_Toc16654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29767" w:history="1">
            <w:r>
              <w:rPr>
                <w:rFonts w:ascii="Times New Roman" w:eastAsia="宋体" w:hAnsi="Times New Roman" w:cs="Times New Roman" w:hint="default"/>
                <w:kern w:val="2"/>
                <w:sz w:val="24"/>
                <w:szCs w:val="24"/>
                <w:lang w:val="en-US" w:eastAsia="zh-CN" w:bidi="ar-SA"/>
              </w:rPr>
              <w:t>第三节 本文主要创新点</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_Toc29767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22782" w:history="1">
            <w:r>
              <w:rPr>
                <w:rFonts w:ascii="Times New Roman" w:eastAsia="宋体" w:hAnsi="Times New Roman" w:cs="Times New Roman" w:hint="default"/>
                <w:kern w:val="2"/>
                <w:sz w:val="24"/>
                <w:szCs w:val="24"/>
                <w:lang w:val="en-US" w:eastAsia="zh-CN" w:bidi="ar-SA"/>
              </w:rPr>
              <w:t>第四节 本文主要工作结构安排</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_Toc22782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3</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9572" w:history="1">
            <w:r>
              <w:rPr>
                <w:rFonts w:ascii="Times New Roman" w:eastAsia="宋体" w:hAnsi="Times New Roman" w:cs="Times New Roman" w:hint="default"/>
                <w:sz w:val="24"/>
                <w:szCs w:val="24"/>
                <w:lang w:val="en-US" w:eastAsia="zh-CN" w:bidi="ar-SA"/>
              </w:rPr>
              <w:t>第二章 传染病模型研究基础</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_Toc9572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4</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2160" w:history="1">
            <w:r>
              <w:rPr>
                <w:rFonts w:ascii="Times New Roman" w:eastAsia="宋体" w:hAnsi="Times New Roman" w:cs="Times New Roman" w:hint="default"/>
                <w:kern w:val="2"/>
                <w:sz w:val="24"/>
                <w:szCs w:val="24"/>
                <w:lang w:val="en-US" w:eastAsia="zh-CN" w:bidi="ar-SA"/>
              </w:rPr>
              <w:t>第一节 符号解释</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_Toc12160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4</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26225" w:history="1">
            <w:r>
              <w:rPr>
                <w:rFonts w:ascii="Times New Roman" w:eastAsia="宋体" w:hAnsi="Times New Roman" w:cs="Times New Roman" w:hint="default"/>
                <w:kern w:val="2"/>
                <w:sz w:val="24"/>
                <w:szCs w:val="24"/>
                <w:lang w:val="en-US" w:eastAsia="zh-CN" w:bidi="ar-SA"/>
              </w:rPr>
              <w:t>第二节 SI模型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_Toc26225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4</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6214" w:history="1">
            <w:r>
              <w:rPr>
                <w:rFonts w:ascii="Times New Roman" w:eastAsia="宋体" w:hAnsi="Times New Roman" w:cs="Times New Roman" w:hint="default"/>
                <w:kern w:val="2"/>
                <w:sz w:val="24"/>
                <w:szCs w:val="24"/>
                <w:lang w:val="en-US" w:eastAsia="zh-CN" w:bidi="ar-SA"/>
              </w:rPr>
              <w:t>第三节 SIS模型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_Toc6214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6</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5232" w:history="1">
            <w:r>
              <w:rPr>
                <w:rFonts w:ascii="Times New Roman" w:eastAsia="宋体" w:hAnsi="Times New Roman" w:cs="Times New Roman" w:hint="default"/>
                <w:kern w:val="2"/>
                <w:sz w:val="24"/>
                <w:szCs w:val="24"/>
                <w:lang w:val="en-US" w:eastAsia="zh-CN" w:bidi="ar-SA"/>
              </w:rPr>
              <w:t>第四节 SIR模型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_Toc15232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7</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12691" w:history="1">
            <w:r>
              <w:rPr>
                <w:rFonts w:ascii="Times New Roman" w:eastAsia="宋体" w:hAnsi="Times New Roman" w:cs="Times New Roman" w:hint="default"/>
                <w:sz w:val="24"/>
                <w:szCs w:val="24"/>
                <w:lang w:val="en-US" w:eastAsia="zh-CN" w:bidi="ar-SA"/>
              </w:rPr>
              <w:t>第三章 基于疫苗接种的数学模型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_Toc12691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11</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21058" w:history="1">
            <w:r>
              <w:rPr>
                <w:rFonts w:ascii="Times New Roman" w:eastAsia="宋体" w:hAnsi="Times New Roman" w:cs="Times New Roman" w:hint="default"/>
                <w:kern w:val="2"/>
                <w:sz w:val="24"/>
                <w:szCs w:val="24"/>
                <w:lang w:val="en-US" w:eastAsia="zh-CN" w:bidi="ar-SA"/>
              </w:rPr>
              <w:t>第一节 应用SIR模型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_Toc21058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11</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6623" w:history="1">
            <w:r>
              <w:rPr>
                <w:rFonts w:ascii="Times New Roman" w:eastAsia="宋体" w:hAnsi="Times New Roman" w:cs="Times New Roman" w:hint="default"/>
                <w:kern w:val="2"/>
                <w:sz w:val="24"/>
                <w:szCs w:val="24"/>
                <w:lang w:val="en-US" w:eastAsia="zh-CN" w:bidi="ar-SA"/>
              </w:rPr>
              <w:t>第二节 施行疫苗接种的数学模型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_Toc16623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13</w:t>
            </w:r>
            <w:r>
              <w:rPr>
                <w:rFonts w:ascii="Times New Roman" w:eastAsia="宋体" w:hAnsi="Times New Roman" w:cs="Times New Roman" w:hint="default"/>
                <w:sz w:val="24"/>
                <w:szCs w:val="24"/>
              </w:rPr>
              <w:fldChar w:fldCharType="end"/>
            </w:r>
          </w:hyperlink>
        </w:p>
        <w:p>
          <w:pPr>
            <w:pStyle w:val="TOC3"/>
            <w:tabs>
              <w:tab w:val="right" w:leader="dot" w:pos="8306"/>
            </w:tabs>
            <w:spacing w:line="360" w:lineRule="auto"/>
            <w:rPr>
              <w:rFonts w:ascii="Times New Roman" w:eastAsia="宋体" w:hAnsi="Times New Roman" w:cs="Times New Roman" w:hint="default"/>
              <w:sz w:val="24"/>
              <w:szCs w:val="24"/>
            </w:rPr>
          </w:pPr>
          <w:hyperlink w:anchor="_Toc13932" w:history="1">
            <w:r>
              <w:rPr>
                <w:rFonts w:ascii="Times New Roman" w:eastAsia="宋体" w:hAnsi="Times New Roman" w:cs="Times New Roman" w:hint="default"/>
                <w:kern w:val="2"/>
                <w:sz w:val="24"/>
                <w:szCs w:val="24"/>
                <w:lang w:val="en-US" w:eastAsia="zh-CN" w:bidi="ar-SA"/>
              </w:rPr>
              <w:t>一、模型的建立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_Toc13932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13</w:t>
            </w:r>
            <w:r>
              <w:rPr>
                <w:rFonts w:ascii="Times New Roman" w:eastAsia="宋体" w:hAnsi="Times New Roman" w:cs="Times New Roman" w:hint="default"/>
                <w:sz w:val="24"/>
                <w:szCs w:val="24"/>
              </w:rPr>
              <w:fldChar w:fldCharType="end"/>
            </w:r>
          </w:hyperlink>
        </w:p>
        <w:p>
          <w:pPr>
            <w:pStyle w:val="TOC3"/>
            <w:tabs>
              <w:tab w:val="right" w:leader="dot" w:pos="8306"/>
            </w:tabs>
            <w:spacing w:line="360" w:lineRule="auto"/>
            <w:rPr>
              <w:rFonts w:ascii="Times New Roman" w:eastAsia="宋体" w:hAnsi="Times New Roman" w:cs="Times New Roman" w:hint="default"/>
              <w:sz w:val="24"/>
              <w:szCs w:val="24"/>
            </w:rPr>
          </w:pPr>
          <w:hyperlink w:anchor="_Toc13912" w:history="1">
            <w:r>
              <w:rPr>
                <w:rFonts w:ascii="Times New Roman" w:eastAsia="宋体" w:hAnsi="Times New Roman" w:cs="Times New Roman" w:hint="default"/>
                <w:kern w:val="2"/>
                <w:sz w:val="24"/>
                <w:szCs w:val="24"/>
                <w:lang w:val="en-US" w:eastAsia="zh-CN" w:bidi="ar-SA"/>
              </w:rPr>
              <w:t>二、情况讨论</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_Toc13912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13</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26268" w:history="1">
            <w:r>
              <w:rPr>
                <w:rFonts w:ascii="Times New Roman" w:eastAsia="宋体" w:hAnsi="Times New Roman" w:cs="Times New Roman" w:hint="default"/>
                <w:sz w:val="24"/>
                <w:szCs w:val="24"/>
                <w:lang w:val="en-US" w:eastAsia="zh-CN" w:bidi="ar-SA"/>
              </w:rPr>
              <w:t>第四章 基于疫苗脉冲接种的SIR动态模型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_Toc26268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18</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4648" w:history="1">
            <w:r>
              <w:rPr>
                <w:rFonts w:ascii="Times New Roman" w:eastAsia="宋体" w:hAnsi="Times New Roman" w:cs="Times New Roman" w:hint="default"/>
                <w:kern w:val="2"/>
                <w:sz w:val="24"/>
                <w:szCs w:val="24"/>
                <w:lang w:val="en-US" w:eastAsia="zh-CN" w:bidi="ar-SA"/>
              </w:rPr>
              <w:t>第一节 问题描述与贡献</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_Toc4648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18</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3614" w:history="1">
            <w:r>
              <w:rPr>
                <w:rFonts w:ascii="Times New Roman" w:eastAsia="宋体" w:hAnsi="Times New Roman" w:cs="Times New Roman" w:hint="default"/>
                <w:kern w:val="2"/>
                <w:sz w:val="24"/>
                <w:szCs w:val="24"/>
                <w:lang w:val="en-US" w:eastAsia="zh-CN" w:bidi="ar-SA"/>
              </w:rPr>
              <w:t>第二节 施行疫苗接种的SIR模型</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_Toc13614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18</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2828" w:history="1">
            <w:r>
              <w:rPr>
                <w:rFonts w:ascii="Times New Roman" w:eastAsia="宋体" w:hAnsi="Times New Roman" w:cs="Times New Roman" w:hint="default"/>
                <w:sz w:val="24"/>
                <w:szCs w:val="24"/>
                <w:lang w:val="en-US" w:eastAsia="zh-CN" w:bidi="ar-SA"/>
              </w:rPr>
              <w:t>第五章 总结与展望</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_Toc2828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23</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31959" w:history="1">
            <w:r>
              <w:rPr>
                <w:rFonts w:ascii="Times New Roman" w:eastAsia="宋体" w:hAnsi="Times New Roman" w:cs="Times New Roman" w:hint="default"/>
                <w:kern w:val="2"/>
                <w:sz w:val="24"/>
                <w:szCs w:val="24"/>
                <w:lang w:val="en-US" w:eastAsia="zh-CN" w:bidi="ar-SA"/>
              </w:rPr>
              <w:t>第一节 模型的评价</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_Toc31959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23</w:t>
            </w:r>
            <w:r>
              <w:rPr>
                <w:rFonts w:ascii="Times New Roman" w:eastAsia="宋体" w:hAnsi="Times New Roman" w:cs="Times New Roman" w:hint="default"/>
                <w:sz w:val="24"/>
                <w:szCs w:val="24"/>
              </w:rPr>
              <w:fldChar w:fldCharType="end"/>
            </w:r>
          </w:hyperlink>
        </w:p>
        <w:p>
          <w:pPr>
            <w:pStyle w:val="TOC3"/>
            <w:tabs>
              <w:tab w:val="right" w:leader="dot" w:pos="8306"/>
            </w:tabs>
            <w:spacing w:line="360" w:lineRule="auto"/>
            <w:rPr>
              <w:rFonts w:ascii="Times New Roman" w:eastAsia="宋体" w:hAnsi="Times New Roman" w:cs="Times New Roman" w:hint="default"/>
              <w:sz w:val="24"/>
              <w:szCs w:val="24"/>
            </w:rPr>
          </w:pPr>
          <w:hyperlink w:anchor="_Toc31926" w:history="1">
            <w:r>
              <w:rPr>
                <w:rFonts w:ascii="Times New Roman" w:eastAsia="宋体" w:hAnsi="Times New Roman" w:cs="Times New Roman" w:hint="default"/>
                <w:kern w:val="2"/>
                <w:sz w:val="24"/>
                <w:szCs w:val="24"/>
                <w:lang w:val="en-US" w:eastAsia="zh-CN" w:bidi="ar-SA"/>
              </w:rPr>
              <w:t>一、模型的优点</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_Toc31926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23</w:t>
            </w:r>
            <w:r>
              <w:rPr>
                <w:rFonts w:ascii="Times New Roman" w:eastAsia="宋体" w:hAnsi="Times New Roman" w:cs="Times New Roman" w:hint="default"/>
                <w:sz w:val="24"/>
                <w:szCs w:val="24"/>
              </w:rPr>
              <w:fldChar w:fldCharType="end"/>
            </w:r>
          </w:hyperlink>
        </w:p>
        <w:p>
          <w:pPr>
            <w:pStyle w:val="TOC3"/>
            <w:tabs>
              <w:tab w:val="right" w:leader="dot" w:pos="8306"/>
            </w:tabs>
            <w:spacing w:line="360" w:lineRule="auto"/>
            <w:rPr>
              <w:rFonts w:ascii="Times New Roman" w:eastAsia="宋体" w:hAnsi="Times New Roman" w:cs="Times New Roman" w:hint="default"/>
              <w:sz w:val="24"/>
              <w:szCs w:val="24"/>
            </w:rPr>
          </w:pPr>
          <w:hyperlink w:anchor="_Toc12038" w:history="1">
            <w:r>
              <w:rPr>
                <w:rFonts w:ascii="Times New Roman" w:eastAsia="宋体" w:hAnsi="Times New Roman" w:cs="Times New Roman" w:hint="default"/>
                <w:kern w:val="2"/>
                <w:sz w:val="24"/>
                <w:szCs w:val="24"/>
                <w:lang w:val="en-US" w:eastAsia="zh-CN" w:bidi="ar-SA"/>
              </w:rPr>
              <w:t>二、模型的不足</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_Toc12038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23</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1580" w:history="1">
            <w:r>
              <w:rPr>
                <w:rFonts w:ascii="Times New Roman" w:eastAsia="宋体" w:hAnsi="Times New Roman" w:cs="Times New Roman" w:hint="default"/>
                <w:kern w:val="2"/>
                <w:sz w:val="24"/>
                <w:szCs w:val="24"/>
                <w:lang w:val="en-US" w:eastAsia="zh-CN" w:bidi="ar-SA"/>
              </w:rPr>
              <w:t>第二节 模型的推广</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_Toc11580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23</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pPr>
          <w:hyperlink w:anchor="_Toc12889" w:history="1">
            <w:r>
              <w:rPr>
                <w:rFonts w:ascii="Times New Roman" w:eastAsia="宋体" w:hAnsi="Times New Roman" w:cs="Times New Roman" w:hint="default"/>
                <w:kern w:val="2"/>
                <w:sz w:val="24"/>
                <w:szCs w:val="24"/>
                <w:lang w:val="en-US" w:eastAsia="zh-CN" w:bidi="ar-SA"/>
              </w:rPr>
              <w:t>第三节 总结</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_Toc12889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23</w:t>
            </w:r>
            <w:r>
              <w:rPr>
                <w:rFonts w:ascii="Times New Roman" w:eastAsia="宋体" w:hAnsi="Times New Roman" w:cs="Times New Roman" w:hint="default"/>
                <w:sz w:val="24"/>
                <w:szCs w:val="24"/>
              </w:rPr>
              <w:fldChar w:fldCharType="end"/>
            </w:r>
          </w:hyperlink>
        </w:p>
        <w:p>
          <w:pPr>
            <w:pStyle w:val="TOC2"/>
            <w:tabs>
              <w:tab w:val="right" w:leader="dot" w:pos="8306"/>
            </w:tabs>
            <w:spacing w:line="360" w:lineRule="auto"/>
            <w:rPr>
              <w:rFonts w:ascii="Times New Roman" w:eastAsia="宋体" w:hAnsi="Times New Roman" w:cs="Times New Roman" w:hint="default"/>
              <w:sz w:val="24"/>
              <w:szCs w:val="24"/>
            </w:rPr>
            <w:sectPr>
              <w:headerReference w:type="default" r:id="rId7"/>
              <w:footerReference w:type="default" r:id="rId8"/>
              <w:type w:val="nextPage"/>
              <w:pgSz w:w="11906" w:h="16838"/>
              <w:pgMar w:top="1440" w:right="1800" w:bottom="1440" w:left="1800" w:header="851" w:footer="992" w:gutter="0"/>
              <w:pgNumType w:fmt="upperRoman" w:start="2"/>
              <w:cols w:num="1" w:space="425"/>
              <w:titlePg w:val="0"/>
              <w:docGrid w:type="lines" w:linePitch="312" w:charSpace="0"/>
            </w:sectPr>
          </w:pPr>
          <w:hyperlink w:anchor="_Toc9785" w:history="1">
            <w:r>
              <w:rPr>
                <w:rFonts w:ascii="Times New Roman" w:eastAsia="宋体" w:hAnsi="Times New Roman" w:cs="Times New Roman" w:hint="default"/>
                <w:kern w:val="2"/>
                <w:sz w:val="24"/>
                <w:szCs w:val="24"/>
                <w:lang w:val="en-US" w:eastAsia="zh-CN" w:bidi="ar-SA"/>
              </w:rPr>
              <w:t>第四节 展望</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_Toc9785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24</w:t>
            </w:r>
            <w:r>
              <w:rPr>
                <w:rFonts w:ascii="Times New Roman" w:eastAsia="宋体" w:hAnsi="Times New Roman" w:cs="Times New Roman" w:hint="default"/>
                <w:sz w:val="24"/>
                <w:szCs w:val="24"/>
              </w:rPr>
              <w:fldChar w:fldCharType="end"/>
            </w:r>
          </w:hyperlink>
        </w:p>
      </w:sdtContent>
    </w:sdt>
    <w:sdt>
      <w:sdtPr>
        <w:rPr>
          <w:rFonts w:ascii="黑体" w:eastAsia="黑体" w:hAnsi="黑体" w:cs="黑体" w:hint="eastAsia"/>
          <w:kern w:val="2"/>
          <w:sz w:val="32"/>
          <w:szCs w:val="32"/>
          <w:lang w:val="en-US" w:eastAsia="zh-CN" w:bidi="ar-SA"/>
        </w:rPr>
        <w:id w:val="786319146"/>
        <w:docPartObj>
          <w:docPartGallery w:val="Table of Contents"/>
          <w:docPartUnique/>
        </w:docPartObj>
        <w15:color w:val="DBDBDB"/>
      </w:sdtPr>
      <w:sdtEndPr>
        <w:rPr>
          <w:rFonts w:ascii="宋体" w:eastAsia="宋体" w:hAnsi="宋体" w:cs="宋体" w:hint="eastAsia"/>
          <w:kern w:val="2"/>
          <w:sz w:val="21"/>
          <w:szCs w:val="24"/>
          <w:lang w:val="en-US" w:eastAsia="zh-CN" w:bidi="ar-SA"/>
        </w:rPr>
      </w:sdtEndPr>
      <w:sdtContent>
        <w:p>
          <w:pPr>
            <w:pStyle w:val="TOC1"/>
            <w:tabs>
              <w:tab w:val="right" w:leader="dot" w:pos="8306"/>
            </w:tabs>
            <w:spacing w:line="360" w:lineRule="auto"/>
            <w:rPr>
              <w:rFonts w:ascii="Times New Roman" w:eastAsia="宋体" w:hAnsi="Times New Roman" w:cs="Times New Roman" w:hint="default"/>
              <w:sz w:val="24"/>
              <w:szCs w:val="24"/>
            </w:rPr>
          </w:pPr>
          <w:hyperlink w:anchor="_Toc31140" w:history="1">
            <w:r>
              <w:rPr>
                <w:rFonts w:ascii="Times New Roman" w:eastAsia="宋体" w:hAnsi="Times New Roman" w:cs="Times New Roman" w:hint="default"/>
                <w:sz w:val="24"/>
                <w:szCs w:val="24"/>
                <w:lang w:val="en-US" w:eastAsia="zh-CN" w:bidi="ar-SA"/>
              </w:rPr>
              <w:t>致谢</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_Toc31140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26</w:t>
            </w:r>
            <w:r>
              <w:rPr>
                <w:rFonts w:ascii="Times New Roman" w:eastAsia="宋体" w:hAnsi="Times New Roman" w:cs="Times New Roman" w:hint="default"/>
                <w:sz w:val="24"/>
                <w:szCs w:val="24"/>
              </w:rPr>
              <w:fldChar w:fldCharType="end"/>
            </w:r>
          </w:hyperlink>
        </w:p>
        <w:p>
          <w:pPr>
            <w:pStyle w:val="TOC1"/>
            <w:tabs>
              <w:tab w:val="right" w:leader="dot" w:pos="8306"/>
            </w:tabs>
            <w:spacing w:line="360" w:lineRule="auto"/>
            <w:rPr>
              <w:rFonts w:ascii="Times New Roman" w:eastAsia="宋体" w:hAnsi="Times New Roman" w:cs="Times New Roman" w:hint="default"/>
              <w:sz w:val="24"/>
              <w:szCs w:val="24"/>
            </w:rPr>
          </w:pPr>
          <w:hyperlink w:anchor="_Toc2092" w:history="1">
            <w:r>
              <w:rPr>
                <w:rFonts w:ascii="Times New Roman" w:eastAsia="宋体" w:hAnsi="Times New Roman" w:cs="Times New Roman" w:hint="default"/>
                <w:sz w:val="24"/>
                <w:szCs w:val="24"/>
                <w:lang w:val="en-US" w:eastAsia="zh-CN" w:bidi="ar-SA"/>
              </w:rPr>
              <w:t>参考文献</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_Toc2092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27</w:t>
            </w:r>
            <w:r>
              <w:rPr>
                <w:rFonts w:ascii="Times New Roman" w:eastAsia="宋体" w:hAnsi="Times New Roman" w:cs="Times New Roman" w:hint="default"/>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eastAsia="宋体" w:hAnsi="宋体" w:cs="宋体" w:hint="eastAsia"/>
              <w:sz w:val="24"/>
            </w:rPr>
            <w:sectPr>
              <w:headerReference w:type="default" r:id="rId9"/>
              <w:footerReference w:type="default" r:id="rId10"/>
              <w:type w:val="nextPage"/>
              <w:pgSz w:w="11906" w:h="16838"/>
              <w:pgMar w:top="1440" w:right="1800" w:bottom="1440" w:left="1800" w:header="851" w:footer="992" w:gutter="0"/>
              <w:pgNumType w:fmt="upperRoman" w:start="3"/>
              <w:cols w:num="1" w:space="425"/>
              <w:titlePg w:val="0"/>
              <w:docGrid w:type="lines" w:linePitch="312" w:charSpace="0"/>
            </w:sectPr>
          </w:pPr>
          <w:r>
            <w:rPr>
              <w:rFonts w:ascii="Times New Roman" w:eastAsia="宋体" w:hAnsi="Times New Roman" w:cs="Times New Roman" w:hint="default"/>
              <w:sz w:val="24"/>
              <w:szCs w:val="24"/>
            </w:rPr>
            <w:fldChar w:fldCharType="end"/>
          </w:r>
        </w:p>
      </w:sdtContent>
    </w:sdt>
    <w:p>
      <w:pPr>
        <w:pStyle w:val="Heading1"/>
        <w:autoSpaceDE/>
        <w:autoSpaceDN/>
        <w:spacing w:before="312" w:after="312" w:line="240" w:lineRule="auto"/>
        <w:ind w:left="0" w:right="0"/>
        <w:rPr>
          <w:rFonts w:ascii="Times New Roman" w:hAnsi="Times New Roman" w:cs="Times New Roman" w:hint="eastAsia"/>
          <w:b/>
          <w:lang w:val="en-US" w:eastAsia="zh-CN" w:bidi="ar-SA"/>
        </w:rPr>
      </w:pPr>
      <w:bookmarkStart w:id="1" w:name="_Toc21373"/>
      <w:r>
        <w:rPr>
          <w:rFonts w:ascii="Times New Roman" w:hAnsi="Times New Roman" w:cs="Times New Roman" w:hint="eastAsia"/>
          <w:b/>
          <w:lang w:val="en-US" w:eastAsia="zh-CN" w:bidi="ar-SA"/>
        </w:rPr>
        <w:t>第一章 绪言</w:t>
      </w:r>
      <w:bookmarkEnd w:id="1"/>
    </w:p>
    <w:p>
      <w:pPr>
        <w:pStyle w:val="Heading2"/>
        <w:autoSpaceDE/>
        <w:autoSpaceDN/>
        <w:spacing w:before="62" w:after="62" w:line="240" w:lineRule="auto"/>
        <w:ind w:left="0" w:right="0"/>
        <w:jc w:val="both"/>
        <w:rPr>
          <w:rFonts w:ascii="Times New Roman" w:hAnsi="Times New Roman" w:cs="Times New Roman" w:hint="eastAsia"/>
          <w:kern w:val="2"/>
          <w:lang w:val="en-US" w:eastAsia="zh-CN" w:bidi="ar-SA"/>
        </w:rPr>
      </w:pPr>
      <w:bookmarkStart w:id="2" w:name="_Toc856"/>
      <w:r>
        <w:rPr>
          <w:rFonts w:ascii="Times New Roman" w:hAnsi="Times New Roman" w:cs="Times New Roman" w:hint="eastAsia"/>
          <w:kern w:val="2"/>
          <w:lang w:val="en-US" w:eastAsia="zh-CN" w:bidi="ar-SA"/>
        </w:rPr>
        <w:t>第一节 背景介绍</w:t>
      </w:r>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r>
        <w:rPr>
          <w:rFonts w:ascii="宋体" w:eastAsia="宋体" w:hAnsi="宋体" w:cs="宋体" w:hint="eastAsia"/>
          <w:sz w:val="24"/>
          <w:szCs w:val="24"/>
        </w:rPr>
        <w:t>新型冠状病毒肺炎（COVID-19简称：新冠肺炎）疫情对全世界而言是一次严重危机和严峻考验，更是近百年以来我们遭遇的影响范围最广程度最深的一次全球性大流行病。新冠肺炎属于严重急性呼吸系统传染性疾病，主要是由2019新型冠状病毒（COVID-19）感染引起，具有传染性强、家族聚集现象、人群普遍易感、传播方式容易实现等特点。在人类面对大规模暴发的传染性疾病当中，仅仅是传统的公共卫生早发现、早隔离、早治疗、切断传染源和控制传播途径等措施最终并不能够控制住疫情。实际上，“封城”“闭关”在社会人员高速流动的现代社会属于短时间内的非常应急之举，会给全球经济、民众正常生活造成很严重的影响，敞开国门、开放流动是世界发展的必然趋势。接种疫苗是控制疫情的另外一个十分重要的根本措施，让人类能远离甚至消灭许多传染病。各种用接种疫苗治疗传染病的历史经验已经被证明是预防、控制传染病最经济和最有效的措施。因此，现如今我们迫切需要既安全又有效的疫苗以及正确的接种策略来控制这个在全球肆虐已久的新冠病毒，新型冠状病毒疫苗的应用不仅是一个生物医学的紧迫问题，更是一个关乎经济社会稳定乃至政治的根本性问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r>
        <w:rPr>
          <w:rFonts w:ascii="宋体" w:eastAsia="宋体" w:hAnsi="宋体" w:cs="宋体" w:hint="eastAsia"/>
          <w:sz w:val="24"/>
          <w:szCs w:val="24"/>
        </w:rPr>
        <w:t>目前，新冠肺炎疫情还持续在世界各地蔓延，人们对于疫情何时能得到全面控制都十分的关心。当前我国很多地方没有本土新发病例，防疫形势稳中向好，这就容易使得公众对于疫情防控的长期性和持久性视而不见。因为我们世界是开放的、互联互通的，所以即便本地已无新增新冠肺炎病例，我们中的绝大多数人也都是新冠肺炎的易感染者，如果不采取有效的防控措施，那么付出的代价也将是相当巨大的，在这样的情况下，接种疫苗就成为了预防新冠肺炎最经济且有效的措施。</w:t>
      </w:r>
    </w:p>
    <w:p>
      <w:pPr>
        <w:pStyle w:val="Heading2"/>
        <w:autoSpaceDE/>
        <w:autoSpaceDN/>
        <w:spacing w:before="62" w:after="62" w:line="240" w:lineRule="auto"/>
        <w:ind w:left="0" w:right="0"/>
        <w:jc w:val="both"/>
        <w:rPr>
          <w:rFonts w:ascii="Times New Roman" w:hAnsi="Times New Roman" w:cs="Times New Roman" w:hint="eastAsia"/>
          <w:kern w:val="2"/>
          <w:lang w:val="en-US" w:eastAsia="zh-CN" w:bidi="ar-SA"/>
        </w:rPr>
      </w:pPr>
      <w:bookmarkStart w:id="3" w:name="_Toc16654"/>
      <w:r>
        <w:rPr>
          <w:rFonts w:ascii="Times New Roman" w:hAnsi="Times New Roman" w:cs="Times New Roman" w:hint="eastAsia"/>
          <w:kern w:val="2"/>
          <w:lang w:val="en-US" w:eastAsia="zh-CN" w:bidi="ar-SA"/>
        </w:rPr>
        <w:t>第二节 研究现状</w:t>
      </w:r>
      <w:bookmarkEnd w:id="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sectPr>
          <w:headerReference w:type="default" r:id="rId11"/>
          <w:footerReference w:type="default" r:id="rId12"/>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r>
        <w:rPr>
          <w:rFonts w:ascii="宋体" w:eastAsia="宋体" w:hAnsi="宋体" w:cs="宋体" w:hint="eastAsia"/>
          <w:sz w:val="24"/>
          <w:szCs w:val="24"/>
        </w:rPr>
        <w:t>新冠肺炎——是中华人民共和国自成立以来发生的最大的一场传染病，其传播速度之快、感染范围之广、防控难度之大也是一次对重大突发公共卫生问题的严峻考验。接种疫苗作为解决新冠肺炎疫情的最根本方法，自新冠肺炎疫情发生以来，其研发进展一直备受关注。随着新冠肺炎疫苗的成功研发和大范围的预防接种，全球疫情防控将进入疫苗时代。在大多数人口密度较低的城市逐步开展新冠疫苗接种，加以适当采取保持社交距离的措施，即可有效地防止疫情反弹，且不须大范围的限制人口流动；但在人口密度较高的城市则需要尽快推进大范围的新冠疫苗接种，并保持较大力度的减少人际接触措施，直至在人群中建立起免疫屏障。这表明尽管预防接种是当下疫情防控的重要手段，但在现阶段还不能完全取代非药物干预的公共卫生措施，只有随着疫苗接种范围不断扩大，疫情防控才可能逐步过渡到以疫苗接种为主，非药物干预措施为辅的防控策略。所以接下来世界各国控制疫情的主要策略将会是加快疫苗生产和人群的接种进程，提高接种意愿和克服接种犹豫以及提高疫苗分配的公平性和科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r>
        <w:rPr>
          <w:rFonts w:ascii="宋体" w:eastAsia="宋体" w:hAnsi="宋体" w:cs="宋体" w:hint="eastAsia"/>
          <w:sz w:val="24"/>
          <w:szCs w:val="24"/>
        </w:rPr>
        <w:t>如果盲目、随意开展疫苗接种工作，不仅免疫效果得不到保证，还会显著增加生产成本，影响疫情的控制。因此，政府人员需要对免疫接种计划方案进行科学的制定，针对不同的疫苗免疫效果对疫苗的接种次序、次数、人数控制类型等一系列细节内容制定明确的接种方案。在免疫接种程序制定过程中，要将地区疫情出现特点、流行规律、疫苗种类、接种方法等诸多因素全面纳入考虑范围，以便促使免疫接种程序的科学性、合理性得到保证。需要注意的是，不同地区、不同经济发展条件会随之影响到疫情的出现规律，政府人员不可将对其他地区的免疫计划照搬照抄，而是紧密结合本地的实际情况，制定适用性较强的疫苗接种计划。同时，在接种程序制定出来后，要做好后续的跟踪、总结工作，持续调整与完善接种反馈工作。尽量将免疫监测技术运用过来，综合分析实践经验、监测结果等，对免疫程序进行科学的调整。</w:t>
      </w:r>
    </w:p>
    <w:p>
      <w:pPr>
        <w:pStyle w:val="Heading2"/>
        <w:autoSpaceDE/>
        <w:autoSpaceDN/>
        <w:spacing w:before="62" w:after="62" w:line="240" w:lineRule="auto"/>
        <w:ind w:left="0" w:right="0"/>
        <w:jc w:val="both"/>
        <w:rPr>
          <w:rFonts w:ascii="Times New Roman" w:hAnsi="Times New Roman" w:cs="Times New Roman" w:hint="eastAsia"/>
          <w:kern w:val="2"/>
          <w:lang w:val="en-US" w:eastAsia="zh-CN" w:bidi="ar-SA"/>
        </w:rPr>
      </w:pPr>
      <w:bookmarkStart w:id="4" w:name="_Toc29767"/>
      <w:r>
        <w:rPr>
          <w:rFonts w:ascii="Times New Roman" w:hAnsi="Times New Roman" w:cs="Times New Roman" w:hint="eastAsia"/>
          <w:kern w:val="2"/>
          <w:lang w:val="en-US" w:eastAsia="zh-CN" w:bidi="ar-SA"/>
        </w:rPr>
        <w:t>第三节 本文主要创新点</w:t>
      </w:r>
      <w:bookmarkEnd w:id="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https://d.book118.com/965211110000011114</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sz w:val="24"/>
        </w:rPr>
      </w:pPr>
    </w:p>
    <w:sectPr>
      <w:headerReference w:type="default" r:id="rId14"/>
      <w:footerReference w:type="default" r:id="rId15"/>
      <w:type w:val="nextPage"/>
      <w:pgSz w:w="11906" w:h="16838"/>
      <w:pgMar w:top="1440" w:right="1800" w:bottom="1440" w:left="1800" w:header="851" w:footer="992" w:gutter="0"/>
      <w:pgNumType w:fmt="decimal"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0" name="文本框 2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2266703" name="文本框 2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5277623" name="文本框 2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1" name="文本框 2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2123506" name="文本框 2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B30FA"/>
    <w:rsid w:val="12FE11BE"/>
    <w:rsid w:val="22E93699"/>
    <w:rsid w:val="29B8564F"/>
    <w:rsid w:val="2C2A5653"/>
    <w:rsid w:val="341C1B03"/>
    <w:rsid w:val="4BCF2108"/>
    <w:rsid w:val="4F8C5937"/>
    <w:rsid w:val="525F2A69"/>
    <w:rsid w:val="560B30FA"/>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100" w:beforeLines="100" w:after="100" w:afterLines="100"/>
      <w:ind w:firstLine="0" w:firstLineChars="0"/>
      <w:jc w:val="center"/>
      <w:outlineLvl w:val="0"/>
    </w:pPr>
    <w:rPr>
      <w:rFonts w:eastAsia="黑体"/>
      <w:bCs/>
      <w:kern w:val="44"/>
      <w:sz w:val="36"/>
      <w:szCs w:val="44"/>
    </w:rPr>
  </w:style>
  <w:style w:type="paragraph" w:styleId="Heading2">
    <w:name w:val="heading 2"/>
    <w:basedOn w:val="Normal"/>
    <w:next w:val="Normal"/>
    <w:qFormat/>
    <w:pPr>
      <w:keepNext/>
      <w:keepLines/>
      <w:spacing w:before="20" w:beforeLines="20" w:after="20" w:afterLines="20"/>
      <w:ind w:firstLine="0" w:firstLineChars="0"/>
      <w:outlineLvl w:val="1"/>
    </w:pPr>
    <w:rPr>
      <w:rFonts w:eastAsia="黑体"/>
      <w:bCs/>
      <w:sz w:val="30"/>
      <w:szCs w:val="30"/>
    </w:rPr>
  </w:style>
  <w:style w:type="paragraph" w:styleId="Heading3">
    <w:name w:val="heading 3"/>
    <w:basedOn w:val="Normal"/>
    <w:next w:val="Normal"/>
    <w:qFormat/>
    <w:pPr>
      <w:keepNext/>
      <w:keepLines/>
      <w:spacing w:before="20" w:beforeLines="20" w:after="20" w:afterLines="20"/>
      <w:ind w:firstLine="0" w:firstLineChars="0"/>
      <w:jc w:val="left"/>
      <w:outlineLvl w:val="2"/>
    </w:pPr>
    <w:rPr>
      <w:rFonts w:eastAsia="黑体"/>
      <w:bCs/>
      <w:sz w:val="28"/>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3">
    <w:name w:val="toc 3"/>
    <w:basedOn w:val="Normal"/>
    <w:next w:val="Normal"/>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https://d.book118.com/965211110000011114"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永驰</cp:lastModifiedBy>
  <cp:revision>1</cp:revision>
  <dcterms:created xsi:type="dcterms:W3CDTF">2022-01-26T01:06:00Z</dcterms:created>
  <dcterms:modified xsi:type="dcterms:W3CDTF">2024-02-27T01:47:26Z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A670BE20B72A44DF9953DD08843A55AB</vt:lpwstr>
  </property>
  <property fmtid="{D5CDD505-2E9C-101B-9397-08002B2CF9AE}" pid="3" name="KSOProductBuildVer">
    <vt:lpwstr>2052-12.1.0.16388</vt:lpwstr>
  </property>
</Properties>
</file>