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1、[题干]新生儿的呼吸次数()()。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A.40～45次/分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B.30～40次/分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C.25～30次/分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D.20～25次/分。E,18～20次/分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2、[单选题]触按疮疡局部，肿处烙手而压痛者，病属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A.实寒证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B.实热证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C.虚寒证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D.虚热证。E,气血虚证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3、[单选题]湿邪与哪一脏腑相应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B.肝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C.脾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D.肺。E,肾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4、[题干]下列哪首治疗血证的方剂首载于《备急千金要方》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A.泻心汤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B.犀角地黄汤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C.柏叶汤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D.黄土汤。E,十灰散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男，胎龄39周，因胎儿窘迫剖宫产娩出，出生时Apgar评分1分钟6分，5分钟9分，羊水Ⅱ度污染，生后1小时出现呼吸急促，口吐白沫，口周青紫。查体：反应尚可，呼吸促，口周发绀，前囟平软，两肺呼吸音粗，未闻及啰音，心率140次/分，律整，无杂音，腹部正常，四肢肌张力正常。胸部X线片示两肺纹理粗，有少许斑片状影，以右侧为著。该婴儿的最可能的诊断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A.新生儿湿肺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B.新生儿吸入性肺炎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C.新生儿胎粪吸入综合征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D.新生儿感染性肺炎。E,新生儿肺透明膜病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https://d.book118.com/966015123025010051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66015123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