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firstLine="720"/>
        <w:rPr>
          <w:rFonts w:ascii="仿宋_GB2312" w:eastAsia="仿宋_GB2312" w:hAnsi="仿宋_GB2312" w:cs="仿宋_GB2312"/>
          <w:sz w:val="36"/>
          <w:szCs w:val="36"/>
        </w:rPr>
      </w:pPr>
      <w:bookmarkStart w:id="0" w:name="_Hlk57883707"/>
    </w:p>
    <w:p>
      <w:pPr>
        <w:ind w:firstLine="720"/>
        <w:rPr>
          <w:rFonts w:ascii="仿宋_GB2312" w:eastAsia="仿宋_GB2312" w:hAnsi="仿宋_GB2312" w:cs="仿宋_GB2312"/>
          <w:sz w:val="36"/>
          <w:szCs w:val="36"/>
        </w:rPr>
      </w:pPr>
    </w:p>
    <w:p>
      <w:pPr>
        <w:ind w:firstLine="720"/>
        <w:rPr>
          <w:rFonts w:ascii="仿宋_GB2312" w:eastAsia="仿宋_GB2312" w:hAnsi="仿宋_GB2312" w:cs="仿宋_GB2312"/>
          <w:sz w:val="36"/>
          <w:szCs w:val="36"/>
        </w:rPr>
      </w:pPr>
    </w:p>
    <w:bookmarkEnd w:id="0"/>
    <w:p>
      <w:pPr>
        <w:adjustRightInd w:val="0"/>
        <w:snapToGrid w:val="0"/>
        <w:outlineLvl w:val="0"/>
        <w:rPr>
          <w:rFonts w:ascii="方正小标宋_GBK" w:eastAsia="方正小标宋_GBK"/>
          <w:bCs/>
          <w:sz w:val="72"/>
          <w:szCs w:val="72"/>
        </w:rPr>
      </w:pPr>
      <w:r>
        <w:rPr>
          <w:rFonts w:ascii="方正小标宋_GBK" w:eastAsia="方正小标宋_GBK" w:hint="eastAsia"/>
          <w:bCs/>
          <w:sz w:val="72"/>
          <w:szCs w:val="72"/>
        </w:rPr>
        <w:t>建设项目环境影响报告表</w:t>
      </w:r>
    </w:p>
    <w:p>
      <w:pPr>
        <w:adjustRightInd w:val="0"/>
        <w:snapToGrid w:val="0"/>
        <w:spacing w:before="192" w:beforeLines="80"/>
        <w:rPr>
          <w:rFonts w:ascii="楷体_GB2312" w:eastAsia="楷体_GB2312"/>
          <w:bCs/>
          <w:sz w:val="48"/>
          <w:szCs w:val="48"/>
        </w:rPr>
      </w:pPr>
      <w:r>
        <w:rPr>
          <w:rFonts w:ascii="楷体_GB2312" w:eastAsia="楷体_GB2312" w:hint="eastAsia"/>
          <w:bCs/>
          <w:sz w:val="48"/>
          <w:szCs w:val="48"/>
        </w:rPr>
        <w:t>（生态影响类）</w:t>
      </w:r>
    </w:p>
    <w:p>
      <w:pPr>
        <w:adjustRightInd w:val="0"/>
        <w:snapToGrid w:val="0"/>
        <w:spacing w:line="288" w:lineRule="auto"/>
        <w:ind w:firstLine="880"/>
        <w:outlineLvl w:val="0"/>
        <w:rPr>
          <w:rFonts w:ascii="华文仿宋" w:eastAsia="华文仿宋" w:hAnsi="华文仿宋" w:cs="华文仿宋"/>
          <w:kern w:val="44"/>
          <w:sz w:val="44"/>
          <w:szCs w:val="44"/>
        </w:rPr>
      </w:pPr>
      <w:bookmarkStart w:id="1" w:name="_Hlk57883728"/>
    </w:p>
    <w:p>
      <w:pPr>
        <w:ind w:firstLine="1040"/>
        <w:rPr>
          <w:rFonts w:eastAsia="仿宋"/>
          <w:sz w:val="52"/>
          <w:szCs w:val="52"/>
        </w:rPr>
      </w:pPr>
    </w:p>
    <w:p>
      <w:pPr>
        <w:ind w:firstLine="880"/>
        <w:rPr>
          <w:rFonts w:eastAsia="仿宋"/>
          <w:sz w:val="44"/>
          <w:szCs w:val="44"/>
        </w:rPr>
      </w:pPr>
    </w:p>
    <w:p>
      <w:pPr>
        <w:ind w:firstLine="880"/>
        <w:rPr>
          <w:rFonts w:eastAsia="仿宋"/>
          <w:sz w:val="44"/>
          <w:szCs w:val="44"/>
        </w:rPr>
      </w:pPr>
    </w:p>
    <w:p>
      <w:pPr>
        <w:ind w:firstLine="880"/>
        <w:rPr>
          <w:rFonts w:eastAsia="仿宋"/>
          <w:sz w:val="44"/>
          <w:szCs w:val="44"/>
        </w:rPr>
      </w:pPr>
    </w:p>
    <w:p>
      <w:pPr>
        <w:ind w:firstLine="880"/>
        <w:rPr>
          <w:rFonts w:eastAsia="仿宋"/>
          <w:sz w:val="44"/>
          <w:szCs w:val="44"/>
        </w:rPr>
      </w:pPr>
    </w:p>
    <w:bookmarkEnd w:id="1"/>
    <w:p>
      <w:pPr>
        <w:adjustRightInd w:val="0"/>
        <w:snapToGrid w:val="0"/>
        <w:spacing w:line="288" w:lineRule="auto"/>
        <w:jc w:val="left"/>
        <w:rPr>
          <w:rFonts w:ascii="仿宋_GB2312" w:eastAsia="仿宋_GB2312"/>
          <w:sz w:val="36"/>
          <w:szCs w:val="36"/>
          <w:u w:val="single"/>
        </w:rPr>
      </w:pPr>
      <w:r>
        <w:rPr>
          <w:rFonts w:ascii="仿宋_GB2312" w:eastAsia="仿宋_GB2312" w:hint="eastAsia"/>
          <w:sz w:val="36"/>
          <w:szCs w:val="36"/>
        </w:rPr>
        <w:t>项目名称：</w:t>
      </w:r>
      <w:bookmarkStart w:id="2" w:name="_Hlk142556175"/>
      <w:r>
        <w:rPr>
          <w:rFonts w:ascii="仿宋_GB2312" w:eastAsia="仿宋_GB2312" w:hint="eastAsia"/>
          <w:sz w:val="36"/>
          <w:szCs w:val="36"/>
          <w:u w:val="single"/>
        </w:rPr>
        <w:t>延安市安塞区城市排水防涝设施建设</w:t>
      </w:r>
    </w:p>
    <w:p>
      <w:pPr>
        <w:adjustRightInd w:val="0"/>
        <w:snapToGrid w:val="0"/>
        <w:spacing w:line="288" w:lineRule="auto"/>
        <w:ind w:firstLine="1800" w:firstLineChars="500"/>
        <w:jc w:val="left"/>
        <w:rPr>
          <w:rFonts w:ascii="仿宋_GB2312" w:eastAsia="仿宋_GB2312"/>
          <w:sz w:val="36"/>
          <w:szCs w:val="36"/>
          <w:u w:val="single"/>
        </w:rPr>
      </w:pPr>
      <w:r>
        <w:rPr>
          <w:rFonts w:ascii="仿宋_GB2312" w:eastAsia="仿宋_GB2312" w:hint="eastAsia"/>
          <w:sz w:val="36"/>
          <w:szCs w:val="36"/>
          <w:u w:val="single"/>
        </w:rPr>
        <w:t>项目一期工程</w:t>
      </w:r>
      <w:bookmarkEnd w:id="2"/>
      <w:r>
        <w:rPr>
          <w:rFonts w:ascii="仿宋_GB2312" w:eastAsia="仿宋_GB2312" w:hint="eastAsia"/>
          <w:sz w:val="36"/>
          <w:szCs w:val="36"/>
          <w:u w:val="single"/>
        </w:rPr>
        <w:t xml:space="preserve"> </w:t>
      </w:r>
    </w:p>
    <w:p>
      <w:pPr>
        <w:adjustRightInd w:val="0"/>
        <w:snapToGrid w:val="0"/>
        <w:spacing w:line="288" w:lineRule="auto"/>
        <w:jc w:val="left"/>
        <w:rPr>
          <w:rFonts w:ascii="仿宋_GB2312" w:eastAsia="仿宋_GB2312"/>
          <w:sz w:val="36"/>
          <w:szCs w:val="36"/>
          <w:u w:val="single"/>
        </w:rPr>
      </w:pPr>
      <w:r>
        <w:rPr>
          <w:rFonts w:ascii="仿宋_GB2312" w:eastAsia="仿宋_GB2312" w:hint="eastAsia"/>
          <w:sz w:val="36"/>
          <w:szCs w:val="36"/>
        </w:rPr>
        <w:t>建设单位（盖章）：</w:t>
      </w:r>
      <w:r>
        <w:rPr>
          <w:rFonts w:ascii="仿宋_GB2312" w:eastAsia="仿宋_GB2312" w:hint="eastAsia"/>
          <w:sz w:val="36"/>
          <w:szCs w:val="36"/>
          <w:u w:val="single"/>
        </w:rPr>
        <w:t xml:space="preserve"> 延安市安塞区城市管理执法局</w:t>
      </w:r>
    </w:p>
    <w:p>
      <w:pPr>
        <w:adjustRightInd w:val="0"/>
        <w:snapToGrid w:val="0"/>
        <w:spacing w:line="288" w:lineRule="auto"/>
        <w:jc w:val="left"/>
        <w:rPr>
          <w:rFonts w:ascii="仿宋_GB2312" w:eastAsia="仿宋_GB2312"/>
          <w:sz w:val="36"/>
          <w:szCs w:val="36"/>
          <w:u w:val="single"/>
        </w:rPr>
      </w:pPr>
      <w:r>
        <w:rPr>
          <w:rFonts w:ascii="仿宋_GB2312" w:eastAsia="仿宋_GB2312" w:hint="eastAsia"/>
          <w:sz w:val="36"/>
          <w:szCs w:val="36"/>
        </w:rPr>
        <w:t>编制日期：</w:t>
      </w:r>
      <w:r>
        <w:rPr>
          <w:rFonts w:ascii="仿宋_GB2312" w:eastAsia="仿宋_GB2312" w:hint="eastAsia"/>
          <w:sz w:val="36"/>
          <w:szCs w:val="36"/>
          <w:u w:val="single"/>
        </w:rPr>
        <w:t xml:space="preserve"> </w:t>
      </w:r>
      <w:r>
        <w:rPr>
          <w:rFonts w:ascii="仿宋_GB2312" w:eastAsia="仿宋_GB2312"/>
          <w:sz w:val="36"/>
          <w:szCs w:val="36"/>
          <w:u w:val="single"/>
        </w:rPr>
        <w:t xml:space="preserve">        </w:t>
      </w:r>
      <w:r>
        <w:rPr>
          <w:rFonts w:ascii="仿宋_GB2312" w:eastAsia="仿宋_GB2312" w:hint="eastAsia"/>
          <w:sz w:val="36"/>
          <w:szCs w:val="36"/>
          <w:u w:val="single"/>
        </w:rPr>
        <w:t>二</w:t>
      </w:r>
      <w:r>
        <w:rPr>
          <w:rFonts w:ascii="微软雅黑" w:eastAsia="微软雅黑" w:hAnsi="微软雅黑" w:cs="微软雅黑" w:hint="eastAsia"/>
          <w:sz w:val="36"/>
          <w:szCs w:val="36"/>
          <w:u w:val="single"/>
        </w:rPr>
        <w:t>〇</w:t>
      </w:r>
      <w:r>
        <w:rPr>
          <w:rFonts w:ascii="仿宋_GB2312" w:eastAsia="仿宋_GB2312" w:hint="eastAsia"/>
          <w:sz w:val="36"/>
          <w:szCs w:val="36"/>
          <w:u w:val="single"/>
        </w:rPr>
        <w:t xml:space="preserve">二三年八月 </w:t>
      </w:r>
      <w:r>
        <w:rPr>
          <w:rFonts w:ascii="仿宋_GB2312" w:eastAsia="仿宋_GB2312"/>
          <w:sz w:val="36"/>
          <w:szCs w:val="36"/>
          <w:u w:val="single"/>
        </w:rPr>
        <w:t xml:space="preserve"> </w:t>
      </w:r>
      <w:r>
        <w:rPr>
          <w:rFonts w:ascii="仿宋_GB2312" w:eastAsia="仿宋_GB2312" w:hAnsi="仿宋_GB2312" w:cs="仿宋_GB2312" w:hint="eastAsia"/>
          <w:sz w:val="36"/>
          <w:szCs w:val="36"/>
          <w:u w:val="single"/>
        </w:rPr>
        <w:t xml:space="preserve"> </w:t>
      </w:r>
      <w:r>
        <w:rPr>
          <w:rFonts w:ascii="仿宋_GB2312" w:eastAsia="仿宋_GB2312" w:hAnsi="仿宋_GB2312" w:cs="仿宋_GB2312"/>
          <w:sz w:val="36"/>
          <w:szCs w:val="36"/>
          <w:u w:val="single"/>
        </w:rPr>
        <w:t xml:space="preserve">        </w:t>
      </w:r>
    </w:p>
    <w:p>
      <w:pPr>
        <w:adjustRightInd w:val="0"/>
        <w:snapToGrid w:val="0"/>
        <w:spacing w:line="288" w:lineRule="auto"/>
        <w:ind w:firstLine="720"/>
        <w:rPr>
          <w:rFonts w:ascii="仿宋_GB2312" w:eastAsia="仿宋_GB2312"/>
          <w:sz w:val="36"/>
          <w:szCs w:val="36"/>
          <w:u w:val="single"/>
        </w:rPr>
      </w:pPr>
    </w:p>
    <w:p>
      <w:pPr>
        <w:adjustRightInd w:val="0"/>
        <w:snapToGrid w:val="0"/>
        <w:spacing w:line="288" w:lineRule="auto"/>
        <w:ind w:firstLine="720"/>
        <w:rPr>
          <w:rFonts w:ascii="仿宋_GB2312" w:eastAsia="仿宋_GB2312"/>
          <w:sz w:val="36"/>
          <w:szCs w:val="36"/>
        </w:rPr>
        <w:sectPr>
          <w:footerReference w:type="default" r:id="rId6"/>
          <w:pgSz w:w="11906" w:h="16838"/>
          <w:pgMar w:top="1701" w:right="1531" w:bottom="1701" w:left="1531" w:header="851" w:footer="1077" w:gutter="0"/>
          <w:pgNumType w:start="1"/>
          <w:cols w:num="1" w:space="720"/>
          <w:docGrid w:linePitch="312" w:charSpace="0"/>
        </w:sectPr>
      </w:pPr>
    </w:p>
    <w:p>
      <w:pPr>
        <w:adjustRightInd w:val="0"/>
        <w:snapToGrid w:val="0"/>
        <w:spacing w:line="288" w:lineRule="auto"/>
        <w:ind w:firstLine="720"/>
        <w:rPr>
          <w:rFonts w:ascii="仿宋_GB2312" w:eastAsia="仿宋_GB2312"/>
          <w:sz w:val="36"/>
          <w:szCs w:val="36"/>
        </w:rPr>
      </w:pPr>
    </w:p>
    <w:p>
      <w:pPr>
        <w:adjustRightInd w:val="0"/>
        <w:snapToGrid w:val="0"/>
        <w:spacing w:line="288" w:lineRule="auto"/>
        <w:ind w:firstLine="720"/>
        <w:rPr>
          <w:rFonts w:ascii="仿宋_GB2312" w:eastAsia="仿宋_GB2312"/>
          <w:sz w:val="36"/>
          <w:szCs w:val="36"/>
        </w:rPr>
      </w:pPr>
    </w:p>
    <w:p>
      <w:pPr>
        <w:adjustRightInd w:val="0"/>
        <w:snapToGrid w:val="0"/>
        <w:spacing w:line="288" w:lineRule="auto"/>
        <w:ind w:firstLine="720"/>
        <w:rPr>
          <w:rFonts w:ascii="仿宋_GB2312" w:eastAsia="仿宋_GB2312"/>
          <w:sz w:val="36"/>
          <w:szCs w:val="36"/>
        </w:rPr>
      </w:pPr>
    </w:p>
    <w:p>
      <w:pPr>
        <w:adjustRightInd w:val="0"/>
        <w:snapToGrid w:val="0"/>
        <w:spacing w:line="288" w:lineRule="auto"/>
        <w:ind w:firstLine="720"/>
        <w:rPr>
          <w:rFonts w:ascii="楷体_GB2312" w:eastAsia="楷体_GB2312"/>
          <w:sz w:val="36"/>
          <w:szCs w:val="36"/>
        </w:rPr>
      </w:pPr>
      <w:r>
        <w:rPr>
          <w:rFonts w:ascii="楷体_GB2312" w:eastAsia="楷体_GB2312" w:hint="eastAsia"/>
          <w:sz w:val="36"/>
          <w:szCs w:val="36"/>
        </w:rPr>
        <w:t>中华人民共和国生态环境部制</w:t>
      </w:r>
    </w:p>
    <w:p>
      <w:pPr>
        <w:adjustRightInd w:val="0"/>
        <w:snapToGrid w:val="0"/>
        <w:spacing w:line="288" w:lineRule="auto"/>
        <w:ind w:firstLine="720"/>
        <w:rPr>
          <w:rFonts w:ascii="仿宋_GB2312" w:eastAsia="仿宋_GB2312"/>
          <w:sz w:val="36"/>
          <w:szCs w:val="36"/>
        </w:rPr>
      </w:pPr>
    </w:p>
    <w:p>
      <w:pPr>
        <w:pStyle w:val="NormalWeb"/>
        <w:ind w:firstLine="600"/>
        <w:jc w:val="center"/>
        <w:outlineLvl w:val="0"/>
        <w:rPr>
          <w:rFonts w:ascii="黑体" w:eastAsia="黑体" w:hAnsi="黑体"/>
          <w:snapToGrid w:val="0"/>
          <w:sz w:val="30"/>
          <w:szCs w:val="30"/>
        </w:rPr>
      </w:pPr>
      <w:r>
        <w:rPr>
          <w:rFonts w:ascii="黑体" w:eastAsia="黑体" w:hAnsi="黑体" w:hint="eastAsia"/>
          <w:snapToGrid w:val="0"/>
          <w:sz w:val="30"/>
          <w:szCs w:val="30"/>
        </w:rPr>
        <w:t>一、建设项目基本情况</w:t>
      </w:r>
    </w:p>
    <w:tbl>
      <w:tblPr>
        <w:tblStyle w:val="TableGrid0"/>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88"/>
        <w:gridCol w:w="3281"/>
        <w:gridCol w:w="2218"/>
        <w:gridCol w:w="10"/>
        <w:gridCol w:w="2542"/>
      </w:tblGrid>
      <w:tr>
        <w:tblPrEx>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62"/>
          <w:jc w:val="center"/>
        </w:trPr>
        <w:tc>
          <w:tcPr>
            <w:tcW w:w="988" w:type="dxa"/>
            <w:vAlign w:val="center"/>
          </w:tcPr>
          <w:p>
            <w:pPr>
              <w:rPr>
                <w:sz w:val="24"/>
              </w:rPr>
            </w:pPr>
            <w:r>
              <w:rPr>
                <w:rFonts w:hint="eastAsia"/>
                <w:sz w:val="24"/>
              </w:rPr>
              <w:t>建设项目名称</w:t>
            </w:r>
          </w:p>
        </w:tc>
        <w:tc>
          <w:tcPr>
            <w:tcW w:w="8051" w:type="dxa"/>
            <w:gridSpan w:val="4"/>
            <w:vAlign w:val="center"/>
          </w:tcPr>
          <w:p>
            <w:pPr>
              <w:rPr>
                <w:sz w:val="24"/>
              </w:rPr>
            </w:pPr>
            <w:bookmarkStart w:id="3" w:name="_Hlk142556224"/>
            <w:r>
              <w:rPr>
                <w:rFonts w:hint="eastAsia"/>
                <w:sz w:val="24"/>
              </w:rPr>
              <w:t>延安市安塞区城市</w:t>
            </w:r>
            <w:bookmarkStart w:id="4" w:name="_GoBack"/>
            <w:r>
              <w:rPr>
                <w:rFonts w:hint="eastAsia"/>
                <w:sz w:val="24"/>
              </w:rPr>
              <w:t>排水防涝设施建设项目</w:t>
            </w:r>
            <w:bookmarkEnd w:id="4"/>
            <w:r>
              <w:rPr>
                <w:rFonts w:hint="eastAsia"/>
                <w:sz w:val="24"/>
              </w:rPr>
              <w:t>一期工程</w:t>
            </w:r>
            <w:bookmarkEnd w:id="3"/>
          </w:p>
        </w:tc>
      </w:tr>
      <w:tr>
        <w:tblPrEx>
          <w:tblW w:w="9039" w:type="dxa"/>
          <w:jc w:val="center"/>
          <w:tblCellMar>
            <w:top w:w="0" w:type="dxa"/>
            <w:left w:w="108" w:type="dxa"/>
            <w:bottom w:w="0" w:type="dxa"/>
            <w:right w:w="108" w:type="dxa"/>
          </w:tblCellMar>
        </w:tblPrEx>
        <w:trPr>
          <w:trHeight w:val="355"/>
          <w:jc w:val="center"/>
        </w:trPr>
        <w:tc>
          <w:tcPr>
            <w:tcW w:w="988" w:type="dxa"/>
            <w:vAlign w:val="center"/>
          </w:tcPr>
          <w:p>
            <w:pPr>
              <w:rPr>
                <w:sz w:val="24"/>
              </w:rPr>
            </w:pPr>
            <w:r>
              <w:rPr>
                <w:rFonts w:hint="eastAsia"/>
                <w:sz w:val="24"/>
              </w:rPr>
              <w:t>项目代码</w:t>
            </w:r>
          </w:p>
        </w:tc>
        <w:tc>
          <w:tcPr>
            <w:tcW w:w="8051" w:type="dxa"/>
            <w:gridSpan w:val="4"/>
            <w:vAlign w:val="center"/>
          </w:tcPr>
          <w:p>
            <w:pPr>
              <w:rPr>
                <w:sz w:val="24"/>
              </w:rPr>
            </w:pPr>
            <w:r>
              <w:rPr>
                <w:sz w:val="24"/>
              </w:rPr>
              <w:t>/</w:t>
            </w:r>
          </w:p>
        </w:tc>
      </w:tr>
      <w:tr>
        <w:tblPrEx>
          <w:tblW w:w="9039" w:type="dxa"/>
          <w:jc w:val="center"/>
          <w:tblCellMar>
            <w:top w:w="0" w:type="dxa"/>
            <w:left w:w="108" w:type="dxa"/>
            <w:bottom w:w="0" w:type="dxa"/>
            <w:right w:w="108" w:type="dxa"/>
          </w:tblCellMar>
        </w:tblPrEx>
        <w:trPr>
          <w:trHeight w:val="362"/>
          <w:jc w:val="center"/>
        </w:trPr>
        <w:tc>
          <w:tcPr>
            <w:tcW w:w="988" w:type="dxa"/>
            <w:vAlign w:val="center"/>
          </w:tcPr>
          <w:p>
            <w:pPr>
              <w:rPr>
                <w:sz w:val="24"/>
              </w:rPr>
            </w:pPr>
            <w:r>
              <w:rPr>
                <w:rFonts w:hint="eastAsia"/>
                <w:sz w:val="24"/>
              </w:rPr>
              <w:t>建设单位联系人</w:t>
            </w:r>
          </w:p>
        </w:tc>
        <w:tc>
          <w:tcPr>
            <w:tcW w:w="3281" w:type="dxa"/>
            <w:vAlign w:val="center"/>
          </w:tcPr>
          <w:p>
            <w:pPr>
              <w:rPr>
                <w:sz w:val="24"/>
              </w:rPr>
            </w:pPr>
          </w:p>
        </w:tc>
        <w:tc>
          <w:tcPr>
            <w:tcW w:w="2228" w:type="dxa"/>
            <w:gridSpan w:val="2"/>
            <w:vAlign w:val="center"/>
          </w:tcPr>
          <w:p>
            <w:pPr>
              <w:rPr>
                <w:sz w:val="24"/>
              </w:rPr>
            </w:pPr>
            <w:r>
              <w:rPr>
                <w:rFonts w:hint="eastAsia"/>
                <w:sz w:val="24"/>
              </w:rPr>
              <w:t>联系方式</w:t>
            </w:r>
          </w:p>
        </w:tc>
        <w:tc>
          <w:tcPr>
            <w:tcW w:w="2542" w:type="dxa"/>
            <w:vAlign w:val="center"/>
          </w:tcPr>
          <w:p>
            <w:pPr>
              <w:rPr>
                <w:sz w:val="24"/>
              </w:rPr>
            </w:pPr>
          </w:p>
        </w:tc>
      </w:tr>
      <w:tr>
        <w:tblPrEx>
          <w:tblW w:w="9039" w:type="dxa"/>
          <w:jc w:val="center"/>
          <w:tblCellMar>
            <w:top w:w="0" w:type="dxa"/>
            <w:left w:w="108" w:type="dxa"/>
            <w:bottom w:w="0" w:type="dxa"/>
            <w:right w:w="108" w:type="dxa"/>
          </w:tblCellMar>
        </w:tblPrEx>
        <w:trPr>
          <w:trHeight w:val="362"/>
          <w:jc w:val="center"/>
        </w:trPr>
        <w:tc>
          <w:tcPr>
            <w:tcW w:w="988" w:type="dxa"/>
            <w:vAlign w:val="center"/>
          </w:tcPr>
          <w:p>
            <w:pPr>
              <w:rPr>
                <w:sz w:val="24"/>
              </w:rPr>
            </w:pPr>
            <w:r>
              <w:rPr>
                <w:rFonts w:hint="eastAsia"/>
                <w:sz w:val="24"/>
              </w:rPr>
              <w:t>建设地点</w:t>
            </w:r>
          </w:p>
        </w:tc>
        <w:tc>
          <w:tcPr>
            <w:tcW w:w="8051" w:type="dxa"/>
            <w:gridSpan w:val="4"/>
            <w:vAlign w:val="center"/>
          </w:tcPr>
          <w:p>
            <w:pPr>
              <w:rPr>
                <w:sz w:val="24"/>
              </w:rPr>
            </w:pPr>
            <w:r>
              <w:rPr>
                <w:rFonts w:hint="eastAsia"/>
                <w:sz w:val="24"/>
              </w:rPr>
              <w:t>陕西省延安市安塞区城区</w:t>
            </w:r>
          </w:p>
        </w:tc>
      </w:tr>
      <w:tr>
        <w:tblPrEx>
          <w:tblW w:w="9039" w:type="dxa"/>
          <w:jc w:val="center"/>
          <w:tblCellMar>
            <w:top w:w="0" w:type="dxa"/>
            <w:left w:w="108" w:type="dxa"/>
            <w:bottom w:w="0" w:type="dxa"/>
            <w:right w:w="108" w:type="dxa"/>
          </w:tblCellMar>
        </w:tblPrEx>
        <w:trPr>
          <w:trHeight w:val="355"/>
          <w:jc w:val="center"/>
        </w:trPr>
        <w:tc>
          <w:tcPr>
            <w:tcW w:w="988" w:type="dxa"/>
            <w:vAlign w:val="center"/>
          </w:tcPr>
          <w:p>
            <w:pPr>
              <w:rPr>
                <w:sz w:val="24"/>
              </w:rPr>
            </w:pPr>
            <w:r>
              <w:rPr>
                <w:rFonts w:hint="eastAsia"/>
                <w:sz w:val="24"/>
              </w:rPr>
              <w:t>地理坐标</w:t>
            </w:r>
          </w:p>
        </w:tc>
        <w:tc>
          <w:tcPr>
            <w:tcW w:w="8051" w:type="dxa"/>
            <w:gridSpan w:val="4"/>
            <w:vAlign w:val="center"/>
          </w:tcPr>
          <w:p>
            <w:pPr>
              <w:rPr>
                <w:sz w:val="24"/>
              </w:rPr>
            </w:pPr>
            <w:r>
              <w:rPr>
                <w:rFonts w:hint="eastAsia"/>
                <w:sz w:val="24"/>
              </w:rPr>
              <w:t>起点：（东经：10</w:t>
            </w:r>
            <w:r>
              <w:rPr>
                <w:sz w:val="24"/>
              </w:rPr>
              <w:t>9</w:t>
            </w:r>
            <w:r>
              <w:rPr>
                <w:rFonts w:hint="eastAsia"/>
                <w:sz w:val="24"/>
              </w:rPr>
              <w:t>度</w:t>
            </w:r>
            <w:r>
              <w:rPr>
                <w:sz w:val="24"/>
              </w:rPr>
              <w:t>19</w:t>
            </w:r>
            <w:r>
              <w:rPr>
                <w:rFonts w:hint="eastAsia"/>
                <w:sz w:val="24"/>
              </w:rPr>
              <w:t>分</w:t>
            </w:r>
            <w:r>
              <w:rPr>
                <w:sz w:val="24"/>
              </w:rPr>
              <w:t>16.345</w:t>
            </w:r>
            <w:r>
              <w:rPr>
                <w:rFonts w:hint="eastAsia"/>
                <w:sz w:val="24"/>
              </w:rPr>
              <w:t>秒，北纬：3</w:t>
            </w:r>
            <w:r>
              <w:rPr>
                <w:sz w:val="24"/>
              </w:rPr>
              <w:t>6</w:t>
            </w:r>
            <w:r>
              <w:rPr>
                <w:rFonts w:hint="eastAsia"/>
                <w:sz w:val="24"/>
              </w:rPr>
              <w:t>度</w:t>
            </w:r>
            <w:r>
              <w:rPr>
                <w:sz w:val="24"/>
              </w:rPr>
              <w:t>52</w:t>
            </w:r>
            <w:r>
              <w:rPr>
                <w:rFonts w:hint="eastAsia"/>
                <w:sz w:val="24"/>
              </w:rPr>
              <w:t>分</w:t>
            </w:r>
            <w:r>
              <w:rPr>
                <w:sz w:val="24"/>
              </w:rPr>
              <w:t>10.052</w:t>
            </w:r>
            <w:r>
              <w:rPr>
                <w:rFonts w:hint="eastAsia"/>
                <w:sz w:val="24"/>
              </w:rPr>
              <w:t>秒）</w:t>
            </w:r>
          </w:p>
          <w:p>
            <w:pPr>
              <w:rPr>
                <w:sz w:val="24"/>
              </w:rPr>
            </w:pPr>
            <w:r>
              <w:rPr>
                <w:rFonts w:hint="eastAsia"/>
                <w:sz w:val="24"/>
              </w:rPr>
              <w:t>终点：（东经：10</w:t>
            </w:r>
            <w:r>
              <w:rPr>
                <w:sz w:val="24"/>
              </w:rPr>
              <w:t>9</w:t>
            </w:r>
            <w:r>
              <w:rPr>
                <w:rFonts w:hint="eastAsia"/>
                <w:sz w:val="24"/>
              </w:rPr>
              <w:t>度</w:t>
            </w:r>
            <w:r>
              <w:rPr>
                <w:sz w:val="24"/>
              </w:rPr>
              <w:t>19</w:t>
            </w:r>
            <w:r>
              <w:rPr>
                <w:rFonts w:hint="eastAsia"/>
                <w:sz w:val="24"/>
              </w:rPr>
              <w:t>分</w:t>
            </w:r>
            <w:r>
              <w:rPr>
                <w:sz w:val="24"/>
              </w:rPr>
              <w:t>29.824</w:t>
            </w:r>
            <w:r>
              <w:rPr>
                <w:rFonts w:hint="eastAsia"/>
                <w:sz w:val="24"/>
              </w:rPr>
              <w:t>秒，北纬：3</w:t>
            </w:r>
            <w:r>
              <w:rPr>
                <w:sz w:val="24"/>
              </w:rPr>
              <w:t>6</w:t>
            </w:r>
            <w:r>
              <w:rPr>
                <w:rFonts w:hint="eastAsia"/>
                <w:sz w:val="24"/>
              </w:rPr>
              <w:t>度</w:t>
            </w:r>
            <w:r>
              <w:rPr>
                <w:sz w:val="24"/>
              </w:rPr>
              <w:t>51</w:t>
            </w:r>
            <w:r>
              <w:rPr>
                <w:rFonts w:hint="eastAsia"/>
                <w:sz w:val="24"/>
              </w:rPr>
              <w:t>分</w:t>
            </w:r>
            <w:r>
              <w:rPr>
                <w:sz w:val="24"/>
              </w:rPr>
              <w:t>56.811</w:t>
            </w:r>
            <w:r>
              <w:rPr>
                <w:rFonts w:hint="eastAsia"/>
                <w:sz w:val="24"/>
              </w:rPr>
              <w:t>秒）</w:t>
            </w:r>
          </w:p>
        </w:tc>
      </w:tr>
      <w:tr>
        <w:tblPrEx>
          <w:tblW w:w="9039" w:type="dxa"/>
          <w:jc w:val="center"/>
          <w:tblCellMar>
            <w:top w:w="0" w:type="dxa"/>
            <w:left w:w="108" w:type="dxa"/>
            <w:bottom w:w="0" w:type="dxa"/>
            <w:right w:w="108" w:type="dxa"/>
          </w:tblCellMar>
        </w:tblPrEx>
        <w:trPr>
          <w:trHeight w:val="715"/>
          <w:jc w:val="center"/>
        </w:trPr>
        <w:tc>
          <w:tcPr>
            <w:tcW w:w="988" w:type="dxa"/>
            <w:vAlign w:val="center"/>
          </w:tcPr>
          <w:p>
            <w:pPr>
              <w:rPr>
                <w:sz w:val="24"/>
              </w:rPr>
            </w:pPr>
            <w:r>
              <w:rPr>
                <w:rFonts w:hint="eastAsia"/>
                <w:sz w:val="24"/>
              </w:rPr>
              <w:t>建设项目</w:t>
            </w:r>
          </w:p>
          <w:p>
            <w:pPr>
              <w:rPr>
                <w:sz w:val="24"/>
              </w:rPr>
            </w:pPr>
            <w:r>
              <w:rPr>
                <w:rFonts w:hint="eastAsia"/>
                <w:sz w:val="24"/>
              </w:rPr>
              <w:t>行业类别</w:t>
            </w:r>
          </w:p>
        </w:tc>
        <w:tc>
          <w:tcPr>
            <w:tcW w:w="3281" w:type="dxa"/>
            <w:vAlign w:val="center"/>
          </w:tcPr>
          <w:p>
            <w:pPr>
              <w:rPr>
                <w:sz w:val="24"/>
              </w:rPr>
            </w:pPr>
            <w:r>
              <w:rPr>
                <w:rFonts w:hint="eastAsia"/>
                <w:sz w:val="24"/>
              </w:rPr>
              <w:t>五十一、水利；1</w:t>
            </w:r>
            <w:r>
              <w:rPr>
                <w:sz w:val="24"/>
              </w:rPr>
              <w:t>27</w:t>
            </w:r>
            <w:r>
              <w:rPr>
                <w:rFonts w:hint="eastAsia"/>
                <w:sz w:val="24"/>
              </w:rPr>
              <w:t>防洪除涝工程</w:t>
            </w:r>
          </w:p>
        </w:tc>
        <w:tc>
          <w:tcPr>
            <w:tcW w:w="2218" w:type="dxa"/>
            <w:vAlign w:val="center"/>
          </w:tcPr>
          <w:p>
            <w:pPr>
              <w:rPr>
                <w:sz w:val="24"/>
              </w:rPr>
            </w:pPr>
            <w:r>
              <w:rPr>
                <w:rFonts w:hint="eastAsia"/>
                <w:sz w:val="24"/>
              </w:rPr>
              <w:t>用地（用海）面积（</w:t>
            </w:r>
            <w:r>
              <w:rPr>
                <w:sz w:val="24"/>
              </w:rPr>
              <w:t>m</w:t>
            </w:r>
            <w:r>
              <w:rPr>
                <w:sz w:val="24"/>
                <w:vertAlign w:val="superscript"/>
              </w:rPr>
              <w:t>2</w:t>
            </w:r>
            <w:r>
              <w:rPr>
                <w:rFonts w:hint="eastAsia"/>
                <w:sz w:val="24"/>
              </w:rPr>
              <w:t>）</w:t>
            </w:r>
            <w:r>
              <w:rPr>
                <w:sz w:val="24"/>
              </w:rPr>
              <w:t>/</w:t>
            </w:r>
            <w:r>
              <w:rPr>
                <w:rFonts w:hint="eastAsia"/>
                <w:sz w:val="24"/>
              </w:rPr>
              <w:t>长度（</w:t>
            </w:r>
            <w:r>
              <w:rPr>
                <w:sz w:val="24"/>
              </w:rPr>
              <w:t>km</w:t>
            </w:r>
            <w:r>
              <w:rPr>
                <w:rFonts w:hint="eastAsia"/>
                <w:sz w:val="24"/>
              </w:rPr>
              <w:t>）</w:t>
            </w:r>
          </w:p>
        </w:tc>
        <w:tc>
          <w:tcPr>
            <w:tcW w:w="2552" w:type="dxa"/>
            <w:gridSpan w:val="2"/>
            <w:vAlign w:val="center"/>
          </w:tcPr>
          <w:p>
            <w:pPr>
              <w:rPr>
                <w:sz w:val="24"/>
              </w:rPr>
            </w:pPr>
            <w:r>
              <w:rPr>
                <w:rFonts w:hint="eastAsia"/>
                <w:sz w:val="24"/>
              </w:rPr>
              <w:t>本项目不新增占地</w:t>
            </w:r>
          </w:p>
        </w:tc>
      </w:tr>
      <w:tr>
        <w:tblPrEx>
          <w:tblW w:w="9039" w:type="dxa"/>
          <w:jc w:val="center"/>
          <w:tblCellMar>
            <w:top w:w="0" w:type="dxa"/>
            <w:left w:w="108" w:type="dxa"/>
            <w:bottom w:w="0" w:type="dxa"/>
            <w:right w:w="108" w:type="dxa"/>
          </w:tblCellMar>
        </w:tblPrEx>
        <w:trPr>
          <w:trHeight w:val="104"/>
          <w:jc w:val="center"/>
        </w:trPr>
        <w:tc>
          <w:tcPr>
            <w:tcW w:w="988" w:type="dxa"/>
            <w:vAlign w:val="center"/>
          </w:tcPr>
          <w:p>
            <w:pPr>
              <w:rPr>
                <w:sz w:val="24"/>
              </w:rPr>
            </w:pPr>
            <w:r>
              <w:rPr>
                <w:rFonts w:hint="eastAsia"/>
                <w:sz w:val="24"/>
              </w:rPr>
              <w:t>建设性质</w:t>
            </w:r>
          </w:p>
        </w:tc>
        <w:tc>
          <w:tcPr>
            <w:tcW w:w="3281" w:type="dxa"/>
            <w:vAlign w:val="center"/>
          </w:tcPr>
          <w:p>
            <w:pPr>
              <w:jc w:val="both"/>
              <w:rPr>
                <w:sz w:val="24"/>
              </w:rPr>
            </w:pPr>
            <w:r>
              <w:rPr>
                <w:rFonts w:hint="eastAsia"/>
                <w:sz w:val="24"/>
              </w:rPr>
              <w:t>□新建（迁建）</w:t>
            </w:r>
          </w:p>
          <w:p>
            <w:pPr>
              <w:jc w:val="both"/>
              <w:rPr>
                <w:sz w:val="24"/>
              </w:rPr>
            </w:pPr>
            <w:r>
              <w:rPr>
                <w:rFonts w:ascii="Wingdings 2" w:hAnsi="Wingdings 2"/>
                <w:sz w:val="24"/>
              </w:rPr>
              <w:sym w:font="Wingdings 2" w:char="F052"/>
            </w:r>
            <w:r>
              <w:rPr>
                <w:rFonts w:hint="eastAsia"/>
                <w:sz w:val="24"/>
              </w:rPr>
              <w:t>改建</w:t>
            </w:r>
          </w:p>
          <w:p>
            <w:pPr>
              <w:jc w:val="both"/>
              <w:rPr>
                <w:sz w:val="24"/>
              </w:rPr>
            </w:pPr>
            <w:r>
              <w:rPr>
                <w:rFonts w:hint="eastAsia"/>
                <w:sz w:val="24"/>
              </w:rPr>
              <w:t>□扩建</w:t>
            </w:r>
          </w:p>
          <w:p>
            <w:pPr>
              <w:jc w:val="both"/>
              <w:rPr>
                <w:sz w:val="24"/>
              </w:rPr>
            </w:pPr>
            <w:r>
              <w:rPr>
                <w:rFonts w:hint="eastAsia"/>
                <w:sz w:val="24"/>
              </w:rPr>
              <w:t>□技术改造</w:t>
            </w:r>
          </w:p>
        </w:tc>
        <w:tc>
          <w:tcPr>
            <w:tcW w:w="2218" w:type="dxa"/>
            <w:vAlign w:val="center"/>
          </w:tcPr>
          <w:p>
            <w:pPr>
              <w:rPr>
                <w:sz w:val="24"/>
              </w:rPr>
            </w:pPr>
            <w:r>
              <w:rPr>
                <w:rFonts w:hint="eastAsia"/>
                <w:sz w:val="24"/>
              </w:rPr>
              <w:t>建设项目</w:t>
            </w:r>
          </w:p>
          <w:p>
            <w:pPr>
              <w:rPr>
                <w:sz w:val="24"/>
              </w:rPr>
            </w:pPr>
            <w:r>
              <w:rPr>
                <w:rFonts w:hint="eastAsia"/>
                <w:sz w:val="24"/>
              </w:rPr>
              <w:t>申报情形</w:t>
            </w:r>
          </w:p>
        </w:tc>
        <w:tc>
          <w:tcPr>
            <w:tcW w:w="2552" w:type="dxa"/>
            <w:gridSpan w:val="2"/>
            <w:vAlign w:val="center"/>
          </w:tcPr>
          <w:p>
            <w:pPr>
              <w:jc w:val="both"/>
              <w:rPr>
                <w:sz w:val="24"/>
              </w:rPr>
            </w:pPr>
            <w:r>
              <w:rPr>
                <w:rFonts w:ascii="Wingdings 2" w:hAnsi="Wingdings 2"/>
                <w:sz w:val="24"/>
              </w:rPr>
              <w:sym w:font="Wingdings 2" w:char="F052"/>
            </w:r>
            <w:r>
              <w:rPr>
                <w:rFonts w:hint="eastAsia"/>
                <w:sz w:val="24"/>
              </w:rPr>
              <w:t>首次申报项目</w:t>
            </w:r>
          </w:p>
          <w:p>
            <w:pPr>
              <w:jc w:val="both"/>
              <w:rPr>
                <w:sz w:val="24"/>
              </w:rPr>
            </w:pPr>
            <w:r>
              <w:rPr>
                <w:rFonts w:hint="eastAsia"/>
                <w:sz w:val="24"/>
              </w:rPr>
              <w:t>□不予批准后再次申报项目</w:t>
            </w:r>
          </w:p>
          <w:p>
            <w:pPr>
              <w:jc w:val="both"/>
              <w:rPr>
                <w:sz w:val="24"/>
              </w:rPr>
            </w:pPr>
            <w:r>
              <w:rPr>
                <w:rFonts w:hint="eastAsia"/>
                <w:sz w:val="24"/>
              </w:rPr>
              <w:t>□超五年重新审核项目</w:t>
            </w:r>
          </w:p>
          <w:p>
            <w:pPr>
              <w:spacing w:after="0"/>
              <w:jc w:val="both"/>
              <w:rPr>
                <w:sz w:val="24"/>
              </w:rPr>
            </w:pPr>
          </w:p>
        </w:tc>
      </w:tr>
    </w:tbl>
    <w:p>
      <w:pPr>
        <w:sectPr>
          <w:footerReference w:type="default" r:id="rId7"/>
          <w:type w:val="nextPage"/>
          <w:pgSz w:w="11906" w:h="16838"/>
          <w:pgMar w:top="1701" w:right="1531" w:bottom="1701" w:left="1531" w:header="851" w:footer="1077" w:gutter="0"/>
          <w:pgNumType w:start="2"/>
          <w:cols w:num="1" w:space="720"/>
          <w:titlePg w:val="0"/>
          <w:docGrid w:linePitch="312" w:charSpace="0"/>
        </w:sectPr>
      </w:pPr>
    </w:p>
    <w:tbl>
      <w:tblPr>
        <w:tblStyle w:val="TableGrid1"/>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88"/>
        <w:gridCol w:w="3281"/>
        <w:gridCol w:w="2218"/>
        <w:gridCol w:w="2552"/>
      </w:tblGrid>
      <w:tr>
        <w:tblPrEx>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104"/>
          <w:jc w:val="center"/>
        </w:trPr>
        <w:tc>
          <w:tcPr>
            <w:tcW w:w="988" w:type="dxa"/>
            <w:vAlign w:val="center"/>
          </w:tcPr>
          <w:p/>
        </w:tc>
        <w:tc>
          <w:tcPr>
            <w:tcW w:w="3281" w:type="dxa"/>
            <w:vAlign w:val="center"/>
          </w:tcPr>
          <w:p/>
        </w:tc>
        <w:tc>
          <w:tcPr>
            <w:tcW w:w="2218" w:type="dxa"/>
            <w:vAlign w:val="center"/>
          </w:tcPr>
          <w:p/>
        </w:tc>
        <w:tc>
          <w:tcPr>
            <w:tcW w:w="2552" w:type="dxa"/>
            <w:vAlign w:val="center"/>
          </w:tcPr>
          <w:p>
            <w:pPr>
              <w:spacing w:before="0"/>
              <w:jc w:val="both"/>
              <w:rPr>
                <w:sz w:val="24"/>
              </w:rPr>
            </w:pPr>
            <w:r>
              <w:rPr>
                <w:rFonts w:hint="eastAsia"/>
                <w:sz w:val="24"/>
              </w:rPr>
              <w:t>□重大变动重新报批项目</w:t>
            </w:r>
          </w:p>
        </w:tc>
      </w:tr>
      <w:tr>
        <w:tblPrEx>
          <w:tblW w:w="9039" w:type="dxa"/>
          <w:jc w:val="center"/>
          <w:tblCellMar>
            <w:top w:w="0" w:type="dxa"/>
            <w:left w:w="108" w:type="dxa"/>
            <w:bottom w:w="0" w:type="dxa"/>
            <w:right w:w="108" w:type="dxa"/>
          </w:tblCellMar>
        </w:tblPrEx>
        <w:trPr>
          <w:trHeight w:val="762"/>
          <w:jc w:val="center"/>
        </w:trPr>
        <w:tc>
          <w:tcPr>
            <w:tcW w:w="988" w:type="dxa"/>
            <w:vAlign w:val="center"/>
          </w:tcPr>
          <w:p>
            <w:pPr>
              <w:rPr>
                <w:sz w:val="24"/>
              </w:rPr>
            </w:pPr>
            <w:r>
              <w:rPr>
                <w:rFonts w:hint="eastAsia"/>
                <w:sz w:val="24"/>
              </w:rPr>
              <w:t>项目审批（核准</w:t>
            </w:r>
            <w:r>
              <w:rPr>
                <w:sz w:val="24"/>
              </w:rPr>
              <w:t>/</w:t>
            </w:r>
            <w:r>
              <w:rPr>
                <w:rFonts w:hint="eastAsia"/>
                <w:sz w:val="24"/>
              </w:rPr>
              <w:t>备案）部门（选填）</w:t>
            </w:r>
          </w:p>
        </w:tc>
        <w:tc>
          <w:tcPr>
            <w:tcW w:w="3281" w:type="dxa"/>
            <w:vAlign w:val="center"/>
          </w:tcPr>
          <w:p>
            <w:pPr>
              <w:rPr>
                <w:sz w:val="24"/>
              </w:rPr>
            </w:pPr>
            <w:r>
              <w:rPr>
                <w:rFonts w:hint="eastAsia"/>
                <w:sz w:val="24"/>
              </w:rPr>
              <w:t>延安市安塞区行政审批服务局</w:t>
            </w:r>
          </w:p>
        </w:tc>
        <w:tc>
          <w:tcPr>
            <w:tcW w:w="2218" w:type="dxa"/>
            <w:vAlign w:val="center"/>
          </w:tcPr>
          <w:p>
            <w:pPr>
              <w:rPr>
                <w:sz w:val="24"/>
              </w:rPr>
            </w:pPr>
            <w:r>
              <w:rPr>
                <w:rFonts w:hint="eastAsia"/>
                <w:sz w:val="24"/>
              </w:rPr>
              <w:t>项目审批（核准</w:t>
            </w:r>
            <w:r>
              <w:rPr>
                <w:sz w:val="24"/>
              </w:rPr>
              <w:t>/</w:t>
            </w:r>
          </w:p>
          <w:p>
            <w:pPr>
              <w:rPr>
                <w:sz w:val="24"/>
              </w:rPr>
            </w:pPr>
            <w:r>
              <w:rPr>
                <w:rFonts w:hint="eastAsia"/>
                <w:sz w:val="24"/>
              </w:rPr>
              <w:t>备案）文号（选填）</w:t>
            </w:r>
          </w:p>
        </w:tc>
        <w:tc>
          <w:tcPr>
            <w:tcW w:w="2552" w:type="dxa"/>
            <w:vAlign w:val="center"/>
          </w:tcPr>
          <w:p>
            <w:pPr>
              <w:rPr>
                <w:sz w:val="24"/>
              </w:rPr>
            </w:pPr>
            <w:r>
              <w:rPr>
                <w:sz w:val="24"/>
              </w:rPr>
              <w:t>塞行审发〔2022〕197号</w:t>
            </w:r>
          </w:p>
        </w:tc>
      </w:tr>
      <w:tr>
        <w:tblPrEx>
          <w:tblW w:w="9039" w:type="dxa"/>
          <w:jc w:val="center"/>
          <w:tblCellMar>
            <w:top w:w="0" w:type="dxa"/>
            <w:left w:w="108" w:type="dxa"/>
            <w:bottom w:w="0" w:type="dxa"/>
            <w:right w:w="108" w:type="dxa"/>
          </w:tblCellMar>
        </w:tblPrEx>
        <w:trPr>
          <w:trHeight w:val="355"/>
          <w:jc w:val="center"/>
        </w:trPr>
        <w:tc>
          <w:tcPr>
            <w:tcW w:w="988" w:type="dxa"/>
            <w:vAlign w:val="center"/>
          </w:tcPr>
          <w:p>
            <w:pPr>
              <w:rPr>
                <w:sz w:val="24"/>
              </w:rPr>
            </w:pPr>
            <w:r>
              <w:rPr>
                <w:rFonts w:hint="eastAsia"/>
                <w:sz w:val="24"/>
              </w:rPr>
              <w:t>总投资（万元）</w:t>
            </w:r>
          </w:p>
        </w:tc>
        <w:tc>
          <w:tcPr>
            <w:tcW w:w="3281" w:type="dxa"/>
            <w:vAlign w:val="center"/>
          </w:tcPr>
          <w:p>
            <w:pPr>
              <w:rPr>
                <w:sz w:val="24"/>
              </w:rPr>
            </w:pPr>
            <w:r>
              <w:rPr>
                <w:rFonts w:hint="eastAsia"/>
                <w:sz w:val="24"/>
              </w:rPr>
              <w:t>1</w:t>
            </w:r>
            <w:r>
              <w:rPr>
                <w:sz w:val="24"/>
              </w:rPr>
              <w:t>603.57</w:t>
            </w:r>
          </w:p>
        </w:tc>
        <w:tc>
          <w:tcPr>
            <w:tcW w:w="2218" w:type="dxa"/>
            <w:vAlign w:val="center"/>
          </w:tcPr>
          <w:p>
            <w:pPr>
              <w:rPr>
                <w:sz w:val="24"/>
              </w:rPr>
            </w:pPr>
            <w:r>
              <w:rPr>
                <w:rFonts w:hint="eastAsia"/>
                <w:sz w:val="24"/>
              </w:rPr>
              <w:t>环保投资（万元）</w:t>
            </w:r>
          </w:p>
        </w:tc>
        <w:tc>
          <w:tcPr>
            <w:tcW w:w="2552" w:type="dxa"/>
            <w:vAlign w:val="center"/>
          </w:tcPr>
          <w:p>
            <w:pPr>
              <w:rPr>
                <w:sz w:val="24"/>
              </w:rPr>
            </w:pPr>
            <w:r>
              <w:rPr>
                <w:rFonts w:hint="eastAsia"/>
                <w:sz w:val="24"/>
              </w:rPr>
              <w:t>6</w:t>
            </w:r>
            <w:r>
              <w:rPr>
                <w:sz w:val="24"/>
              </w:rPr>
              <w:t>3.5</w:t>
            </w:r>
          </w:p>
        </w:tc>
      </w:tr>
      <w:tr>
        <w:tblPrEx>
          <w:tblW w:w="9039" w:type="dxa"/>
          <w:jc w:val="center"/>
          <w:tblCellMar>
            <w:top w:w="0" w:type="dxa"/>
            <w:left w:w="108" w:type="dxa"/>
            <w:bottom w:w="0" w:type="dxa"/>
            <w:right w:w="108" w:type="dxa"/>
          </w:tblCellMar>
        </w:tblPrEx>
        <w:trPr>
          <w:trHeight w:val="364"/>
          <w:jc w:val="center"/>
        </w:trPr>
        <w:tc>
          <w:tcPr>
            <w:tcW w:w="988" w:type="dxa"/>
            <w:vAlign w:val="center"/>
          </w:tcPr>
          <w:p>
            <w:pPr>
              <w:rPr>
                <w:sz w:val="24"/>
              </w:rPr>
            </w:pPr>
            <w:r>
              <w:rPr>
                <w:rFonts w:hint="eastAsia"/>
                <w:sz w:val="24"/>
              </w:rPr>
              <w:t>环保投资占比（</w:t>
            </w:r>
            <w:r>
              <w:rPr>
                <w:sz w:val="24"/>
              </w:rPr>
              <w:t>%</w:t>
            </w:r>
            <w:r>
              <w:rPr>
                <w:rFonts w:hint="eastAsia"/>
                <w:sz w:val="24"/>
              </w:rPr>
              <w:t>）</w:t>
            </w:r>
          </w:p>
        </w:tc>
        <w:tc>
          <w:tcPr>
            <w:tcW w:w="3281" w:type="dxa"/>
            <w:vAlign w:val="center"/>
          </w:tcPr>
          <w:p>
            <w:pPr>
              <w:rPr>
                <w:sz w:val="24"/>
              </w:rPr>
            </w:pPr>
            <w:r>
              <w:rPr>
                <w:rFonts w:hint="eastAsia"/>
                <w:sz w:val="24"/>
              </w:rPr>
              <w:t>3</w:t>
            </w:r>
            <w:r>
              <w:rPr>
                <w:sz w:val="24"/>
              </w:rPr>
              <w:t>.96</w:t>
            </w:r>
          </w:p>
        </w:tc>
        <w:tc>
          <w:tcPr>
            <w:tcW w:w="2218" w:type="dxa"/>
            <w:vAlign w:val="center"/>
          </w:tcPr>
          <w:p>
            <w:pPr>
              <w:rPr>
                <w:sz w:val="24"/>
              </w:rPr>
            </w:pPr>
            <w:r>
              <w:rPr>
                <w:rFonts w:hint="eastAsia"/>
                <w:sz w:val="24"/>
              </w:rPr>
              <w:t>施工工期</w:t>
            </w:r>
          </w:p>
        </w:tc>
        <w:tc>
          <w:tcPr>
            <w:tcW w:w="2552" w:type="dxa"/>
            <w:vAlign w:val="center"/>
          </w:tcPr>
          <w:p>
            <w:pPr>
              <w:rPr>
                <w:sz w:val="24"/>
              </w:rPr>
            </w:pPr>
            <w:r>
              <w:rPr>
                <w:rFonts w:hint="eastAsia"/>
                <w:sz w:val="24"/>
              </w:rPr>
              <w:t>1</w:t>
            </w:r>
            <w:r>
              <w:rPr>
                <w:sz w:val="24"/>
              </w:rPr>
              <w:t>50d</w:t>
            </w:r>
          </w:p>
        </w:tc>
      </w:tr>
      <w:tr>
        <w:tblPrEx>
          <w:tblW w:w="9039" w:type="dxa"/>
          <w:jc w:val="center"/>
          <w:tblCellMar>
            <w:top w:w="0" w:type="dxa"/>
            <w:left w:w="108" w:type="dxa"/>
            <w:bottom w:w="0" w:type="dxa"/>
            <w:right w:w="108" w:type="dxa"/>
          </w:tblCellMar>
        </w:tblPrEx>
        <w:trPr>
          <w:trHeight w:val="911"/>
          <w:jc w:val="center"/>
        </w:trPr>
        <w:tc>
          <w:tcPr>
            <w:tcW w:w="988" w:type="dxa"/>
            <w:vAlign w:val="center"/>
          </w:tcPr>
          <w:p>
            <w:pPr>
              <w:rPr>
                <w:sz w:val="24"/>
              </w:rPr>
            </w:pPr>
            <w:r>
              <w:rPr>
                <w:rFonts w:hint="eastAsia"/>
                <w:sz w:val="24"/>
              </w:rPr>
              <w:t>是否开工建设</w:t>
            </w:r>
          </w:p>
        </w:tc>
        <w:tc>
          <w:tcPr>
            <w:tcW w:w="8051" w:type="dxa"/>
            <w:gridSpan w:val="3"/>
          </w:tcPr>
          <w:p>
            <w:pPr>
              <w:ind w:firstLine="210" w:firstLineChars="100"/>
              <w:jc w:val="both"/>
            </w:pPr>
            <w:r>
              <w:rPr>
                <w:rFonts w:ascii="Wingdings 2" w:hAnsi="Wingdings 2"/>
              </w:rPr>
              <w:sym w:font="Wingdings 2" w:char="F052"/>
            </w:r>
            <w:r>
              <w:rPr>
                <w:rFonts w:hint="eastAsia"/>
              </w:rPr>
              <w:t>否</w:t>
            </w:r>
          </w:p>
          <w:p>
            <w:pPr>
              <w:ind w:firstLine="210" w:firstLineChars="100"/>
              <w:jc w:val="both"/>
            </w:pPr>
            <w:r>
              <w:rPr>
                <w:rFonts w:hint="eastAsia"/>
              </w:rPr>
              <w:t>□是：</w:t>
            </w:r>
            <w:r>
              <w:rPr>
                <w:u w:val="single"/>
              </w:rPr>
              <w:t xml:space="preserve"> </w:t>
            </w:r>
            <w:r>
              <w:rPr>
                <w:rFonts w:hint="eastAsia"/>
                <w:u w:val="single"/>
              </w:rPr>
              <w:t xml:space="preserve">                     </w:t>
            </w:r>
            <w:r>
              <w:rPr>
                <w:u w:val="single"/>
              </w:rPr>
              <w:t xml:space="preserve">       </w:t>
            </w:r>
          </w:p>
        </w:tc>
      </w:tr>
      <w:tr>
        <w:tblPrEx>
          <w:tblW w:w="9039" w:type="dxa"/>
          <w:jc w:val="center"/>
          <w:tblCellMar>
            <w:top w:w="0" w:type="dxa"/>
            <w:left w:w="108" w:type="dxa"/>
            <w:bottom w:w="0" w:type="dxa"/>
            <w:right w:w="108" w:type="dxa"/>
          </w:tblCellMar>
        </w:tblPrEx>
        <w:trPr>
          <w:trHeight w:val="911"/>
          <w:jc w:val="center"/>
        </w:trPr>
        <w:tc>
          <w:tcPr>
            <w:tcW w:w="988" w:type="dxa"/>
            <w:vAlign w:val="center"/>
          </w:tcPr>
          <w:p>
            <w:pPr>
              <w:rPr>
                <w:kern w:val="0"/>
                <w:sz w:val="24"/>
              </w:rPr>
            </w:pPr>
            <w:r>
              <w:rPr>
                <w:rFonts w:hint="eastAsia"/>
                <w:kern w:val="0"/>
                <w:sz w:val="24"/>
              </w:rPr>
              <w:t>专项评价设置情况</w:t>
            </w:r>
          </w:p>
        </w:tc>
        <w:tc>
          <w:tcPr>
            <w:tcW w:w="8051" w:type="dxa"/>
            <w:gridSpan w:val="3"/>
          </w:tcPr>
          <w:p>
            <w:pPr>
              <w:pStyle w:val="a0"/>
              <w:spacing w:line="240" w:lineRule="auto"/>
              <w:ind w:firstLine="480"/>
            </w:pPr>
            <w:r>
              <w:rPr>
                <w:rFonts w:hint="eastAsia"/>
              </w:rPr>
              <w:t>对照专项评价设置原则表，具体如下表所述。</w:t>
            </w:r>
          </w:p>
          <w:p>
            <w:pPr>
              <w:pStyle w:val="a11"/>
            </w:pPr>
            <w:r>
              <w:rPr>
                <w:rFonts w:hint="eastAsia"/>
              </w:rPr>
              <w:t>表1</w:t>
            </w:r>
            <w:r>
              <w:t xml:space="preserve">-1  </w:t>
            </w:r>
            <w:r>
              <w:rPr>
                <w:rFonts w:hint="eastAsia"/>
              </w:rPr>
              <w:t>专项评价设置对照一览表</w:t>
            </w:r>
          </w:p>
          <w:tbl>
            <w:tblPr>
              <w:tblStyle w:val="TableGrid1"/>
              <w:tblW w:w="0" w:type="auto"/>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1113"/>
              <w:gridCol w:w="3397"/>
              <w:gridCol w:w="2256"/>
            </w:tblGrid>
            <w:tr>
              <w:tblPrEx>
                <w:tblW w:w="0" w:type="auto"/>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jc w:val="center"/>
              </w:trPr>
              <w:tc>
                <w:tcPr>
                  <w:tcW w:w="1113" w:type="dxa"/>
                  <w:vAlign w:val="center"/>
                </w:tcPr>
                <w:p>
                  <w:pPr>
                    <w:pStyle w:val="a13"/>
                    <w:rPr>
                      <w:color w:val="auto"/>
                    </w:rPr>
                  </w:pPr>
                  <w:r>
                    <w:rPr>
                      <w:rFonts w:hint="eastAsia"/>
                      <w:color w:val="auto"/>
                    </w:rPr>
                    <w:t>专项评价的类别</w:t>
                  </w:r>
                </w:p>
              </w:tc>
              <w:tc>
                <w:tcPr>
                  <w:tcW w:w="3397" w:type="dxa"/>
                  <w:vAlign w:val="center"/>
                </w:tcPr>
                <w:p>
                  <w:pPr>
                    <w:pStyle w:val="a13"/>
                    <w:rPr>
                      <w:color w:val="auto"/>
                    </w:rPr>
                  </w:pPr>
                  <w:r>
                    <w:rPr>
                      <w:rFonts w:hint="eastAsia"/>
                      <w:color w:val="auto"/>
                    </w:rPr>
                    <w:t>涉及项目类别</w:t>
                  </w:r>
                </w:p>
              </w:tc>
              <w:tc>
                <w:tcPr>
                  <w:tcW w:w="2256" w:type="dxa"/>
                  <w:vAlign w:val="center"/>
                </w:tcPr>
                <w:p>
                  <w:pPr>
                    <w:pStyle w:val="a13"/>
                    <w:rPr>
                      <w:color w:val="auto"/>
                    </w:rPr>
                  </w:pPr>
                  <w:r>
                    <w:rPr>
                      <w:rFonts w:hint="eastAsia"/>
                      <w:color w:val="auto"/>
                    </w:rPr>
                    <w:t>本项目</w:t>
                  </w:r>
                </w:p>
              </w:tc>
            </w:tr>
            <w:tr>
              <w:tblPrEx>
                <w:tblW w:w="0" w:type="auto"/>
                <w:jc w:val="center"/>
                <w:tblCellMar>
                  <w:top w:w="0" w:type="dxa"/>
                  <w:left w:w="108" w:type="dxa"/>
                  <w:bottom w:w="0" w:type="dxa"/>
                  <w:right w:w="108" w:type="dxa"/>
                </w:tblCellMar>
              </w:tblPrEx>
              <w:trPr>
                <w:jc w:val="center"/>
              </w:trPr>
              <w:tc>
                <w:tcPr>
                  <w:tcW w:w="1113" w:type="dxa"/>
                  <w:vAlign w:val="center"/>
                </w:tcPr>
                <w:p>
                  <w:pPr>
                    <w:pStyle w:val="a13"/>
                    <w:rPr>
                      <w:color w:val="auto"/>
                    </w:rPr>
                  </w:pPr>
                  <w:r>
                    <w:rPr>
                      <w:rFonts w:hint="eastAsia"/>
                      <w:color w:val="auto"/>
                    </w:rPr>
                    <w:t>地表水</w:t>
                  </w:r>
                </w:p>
              </w:tc>
              <w:tc>
                <w:tcPr>
                  <w:tcW w:w="3397" w:type="dxa"/>
                  <w:vAlign w:val="center"/>
                </w:tcPr>
                <w:p>
                  <w:pPr>
                    <w:pStyle w:val="a13"/>
                    <w:jc w:val="both"/>
                    <w:rPr>
                      <w:color w:val="auto"/>
                    </w:rPr>
                  </w:pPr>
                  <w:r>
                    <w:rPr>
                      <w:rFonts w:hint="eastAsia"/>
                      <w:color w:val="auto"/>
                    </w:rPr>
                    <w:t>水力发电：引水式发电、涉及调峰发电的项目；</w:t>
                  </w:r>
                </w:p>
                <w:p>
                  <w:pPr>
                    <w:pStyle w:val="a13"/>
                    <w:jc w:val="both"/>
                    <w:rPr>
                      <w:color w:val="auto"/>
                    </w:rPr>
                  </w:pPr>
                  <w:r>
                    <w:rPr>
                      <w:rFonts w:hint="eastAsia"/>
                      <w:color w:val="auto"/>
                    </w:rPr>
                    <w:t>人工湖、人工湿地：全部；</w:t>
                  </w:r>
                </w:p>
                <w:p>
                  <w:pPr>
                    <w:pStyle w:val="a13"/>
                    <w:jc w:val="both"/>
                    <w:rPr>
                      <w:color w:val="auto"/>
                    </w:rPr>
                  </w:pPr>
                  <w:r>
                    <w:rPr>
                      <w:rFonts w:hint="eastAsia"/>
                      <w:color w:val="auto"/>
                    </w:rPr>
                    <w:t>水库：全部；</w:t>
                  </w:r>
                </w:p>
                <w:p>
                  <w:pPr>
                    <w:pStyle w:val="a13"/>
                    <w:jc w:val="both"/>
                    <w:rPr>
                      <w:color w:val="auto"/>
                    </w:rPr>
                  </w:pPr>
                  <w:r>
                    <w:rPr>
                      <w:rFonts w:hint="eastAsia"/>
                      <w:color w:val="auto"/>
                    </w:rPr>
                    <w:t>引水工程：全部（配套的管线工程等除外）；</w:t>
                  </w:r>
                </w:p>
                <w:p>
                  <w:pPr>
                    <w:pStyle w:val="a13"/>
                    <w:jc w:val="both"/>
                    <w:rPr>
                      <w:color w:val="auto"/>
                    </w:rPr>
                  </w:pPr>
                  <w:r>
                    <w:rPr>
                      <w:rFonts w:hint="eastAsia"/>
                      <w:color w:val="auto"/>
                    </w:rPr>
                    <w:t>防洪除涝工程：包含水库的项目；河湖整治：涉及清淤且底泥存在重金属污染的项目</w:t>
                  </w:r>
                </w:p>
              </w:tc>
              <w:tc>
                <w:tcPr>
                  <w:tcW w:w="2256" w:type="dxa"/>
                  <w:vAlign w:val="center"/>
                </w:tcPr>
                <w:p>
                  <w:pPr>
                    <w:pStyle w:val="a13"/>
                    <w:jc w:val="both"/>
                    <w:rPr>
                      <w:color w:val="auto"/>
                    </w:rPr>
                  </w:pPr>
                  <w:r>
                    <w:rPr>
                      <w:rFonts w:hint="eastAsia"/>
                      <w:color w:val="auto"/>
                    </w:rPr>
                    <w:t>本项目为排水防涝工程，但工程建设内部不涉及水库及清淤，故不设置地表水专项。</w:t>
                  </w:r>
                </w:p>
              </w:tc>
            </w:tr>
            <w:tr>
              <w:tblPrEx>
                <w:tblW w:w="0" w:type="auto"/>
                <w:jc w:val="center"/>
                <w:tblCellMar>
                  <w:top w:w="0" w:type="dxa"/>
                  <w:left w:w="108" w:type="dxa"/>
                  <w:bottom w:w="0" w:type="dxa"/>
                  <w:right w:w="108" w:type="dxa"/>
                </w:tblCellMar>
              </w:tblPrEx>
              <w:trPr>
                <w:jc w:val="center"/>
              </w:trPr>
              <w:tc>
                <w:tcPr>
                  <w:tcW w:w="1113" w:type="dxa"/>
                  <w:vAlign w:val="center"/>
                </w:tcPr>
                <w:p>
                  <w:pPr>
                    <w:pStyle w:val="a13"/>
                    <w:rPr>
                      <w:color w:val="auto"/>
                    </w:rPr>
                  </w:pPr>
                  <w:r>
                    <w:rPr>
                      <w:rFonts w:hint="eastAsia"/>
                      <w:color w:val="auto"/>
                    </w:rPr>
                    <w:t>地下水</w:t>
                  </w:r>
                </w:p>
              </w:tc>
              <w:tc>
                <w:tcPr>
                  <w:tcW w:w="3397" w:type="dxa"/>
                  <w:vAlign w:val="center"/>
                </w:tcPr>
                <w:p>
                  <w:pPr>
                    <w:pStyle w:val="a13"/>
                    <w:jc w:val="both"/>
                    <w:rPr>
                      <w:color w:val="auto"/>
                    </w:rPr>
                  </w:pPr>
                  <w:r>
                    <w:rPr>
                      <w:rFonts w:hint="eastAsia"/>
                      <w:color w:val="auto"/>
                    </w:rPr>
                    <w:t>陆地石油和天然气开采：全部；</w:t>
                  </w:r>
                </w:p>
                <w:p>
                  <w:pPr>
                    <w:pStyle w:val="a13"/>
                    <w:jc w:val="both"/>
                    <w:rPr>
                      <w:color w:val="auto"/>
                    </w:rPr>
                  </w:pPr>
                  <w:r>
                    <w:rPr>
                      <w:rFonts w:hint="eastAsia"/>
                      <w:color w:val="auto"/>
                    </w:rPr>
                    <w:t>地下水（含矿泉水）开采：全部；水利、水电、交通等：含穿越可溶岩地层隧道的项目</w:t>
                  </w:r>
                </w:p>
              </w:tc>
              <w:tc>
                <w:tcPr>
                  <w:tcW w:w="2256" w:type="dxa"/>
                  <w:vAlign w:val="center"/>
                </w:tcPr>
                <w:p>
                  <w:pPr>
                    <w:pStyle w:val="a13"/>
                    <w:jc w:val="both"/>
                    <w:rPr>
                      <w:color w:val="auto"/>
                    </w:rPr>
                  </w:pPr>
                  <w:r>
                    <w:rPr>
                      <w:rFonts w:hint="eastAsia"/>
                      <w:color w:val="auto"/>
                    </w:rPr>
                    <w:t>本项目为排水防涝工程，不涉及此行业，不设地下水专项评价。</w:t>
                  </w:r>
                </w:p>
              </w:tc>
            </w:tr>
            <w:tr>
              <w:tblPrEx>
                <w:tblW w:w="0" w:type="auto"/>
                <w:jc w:val="center"/>
                <w:tblCellMar>
                  <w:top w:w="0" w:type="dxa"/>
                  <w:left w:w="108" w:type="dxa"/>
                  <w:bottom w:w="0" w:type="dxa"/>
                  <w:right w:w="108" w:type="dxa"/>
                </w:tblCellMar>
              </w:tblPrEx>
              <w:trPr>
                <w:jc w:val="center"/>
              </w:trPr>
              <w:tc>
                <w:tcPr>
                  <w:tcW w:w="1113" w:type="dxa"/>
                  <w:vAlign w:val="center"/>
                </w:tcPr>
                <w:p>
                  <w:pPr>
                    <w:pStyle w:val="a13"/>
                    <w:rPr>
                      <w:color w:val="auto"/>
                    </w:rPr>
                  </w:pPr>
                  <w:r>
                    <w:rPr>
                      <w:rFonts w:hint="eastAsia"/>
                      <w:color w:val="auto"/>
                    </w:rPr>
                    <w:t>生态</w:t>
                  </w:r>
                </w:p>
              </w:tc>
              <w:tc>
                <w:tcPr>
                  <w:tcW w:w="3397" w:type="dxa"/>
                  <w:vAlign w:val="center"/>
                </w:tcPr>
                <w:p>
                  <w:pPr>
                    <w:pStyle w:val="a13"/>
                    <w:jc w:val="both"/>
                    <w:rPr>
                      <w:color w:val="auto"/>
                    </w:rPr>
                  </w:pPr>
                  <w:r>
                    <w:rPr>
                      <w:rFonts w:hint="eastAsia"/>
                      <w:color w:val="auto"/>
                    </w:rPr>
                    <w:t>涉及环境敏感区（不包括饮用水水源保护区，以居住、医疗卫生、文化教育、科研、行政办公为主要功能的区域，以及文物保护单位）的项目</w:t>
                  </w:r>
                </w:p>
              </w:tc>
              <w:tc>
                <w:tcPr>
                  <w:tcW w:w="2256" w:type="dxa"/>
                  <w:vAlign w:val="center"/>
                </w:tcPr>
                <w:p>
                  <w:pPr>
                    <w:pStyle w:val="a13"/>
                    <w:spacing w:after="0"/>
                    <w:jc w:val="both"/>
                    <w:rPr>
                      <w:color w:val="auto"/>
                    </w:rPr>
                  </w:pPr>
                </w:p>
              </w:tc>
            </w:tr>
          </w:tbl>
          <w:p/>
        </w:tc>
      </w:tr>
    </w:tbl>
    <w:p>
      <w:pPr>
        <w:sectPr>
          <w:footerReference w:type="default" r:id="rId8"/>
          <w:type w:val="nextPage"/>
          <w:pgSz w:w="11906" w:h="16838"/>
          <w:pgMar w:top="1701" w:right="1531" w:bottom="1701" w:left="1531" w:header="851" w:footer="1077" w:gutter="0"/>
          <w:pgNumType w:start="3"/>
          <w:cols w:num="1" w:space="720"/>
          <w:titlePg w:val="0"/>
          <w:docGrid w:linePitch="312" w:charSpace="0"/>
        </w:sectPr>
      </w:pPr>
    </w:p>
    <w:tbl>
      <w:tblPr>
        <w:tblStyle w:val="TableGrid2"/>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88"/>
        <w:gridCol w:w="8051"/>
      </w:tblGrid>
      <w:tr>
        <w:tblPrEx>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911"/>
          <w:jc w:val="center"/>
        </w:trPr>
        <w:tc>
          <w:tcPr>
            <w:tcW w:w="988" w:type="dxa"/>
            <w:vAlign w:val="center"/>
          </w:tcPr>
          <w:p/>
        </w:tc>
        <w:tc>
          <w:tcPr>
            <w:tcW w:w="8051" w:type="dxa"/>
          </w:tcPr>
          <w:tbl>
            <w:tblPr>
              <w:tblStyle w:val="TableGrid2"/>
              <w:tblW w:w="0" w:type="auto"/>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1113"/>
              <w:gridCol w:w="3397"/>
              <w:gridCol w:w="2256"/>
            </w:tblGrid>
            <w:tr>
              <w:tblPrEx>
                <w:tblW w:w="0" w:type="auto"/>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jc w:val="center"/>
              </w:trPr>
              <w:tc>
                <w:tcPr>
                  <w:tcW w:w="1113" w:type="dxa"/>
                  <w:vAlign w:val="center"/>
                </w:tcPr>
                <w:p/>
              </w:tc>
              <w:tc>
                <w:tcPr>
                  <w:tcW w:w="3397" w:type="dxa"/>
                  <w:vAlign w:val="center"/>
                </w:tcPr>
                <w:p/>
              </w:tc>
              <w:tc>
                <w:tcPr>
                  <w:tcW w:w="2256" w:type="dxa"/>
                  <w:vAlign w:val="center"/>
                </w:tcPr>
                <w:p>
                  <w:pPr>
                    <w:pStyle w:val="a13"/>
                    <w:spacing w:before="0"/>
                    <w:jc w:val="both"/>
                    <w:rPr>
                      <w:color w:val="auto"/>
                    </w:rPr>
                  </w:pPr>
                  <w:r>
                    <w:rPr>
                      <w:rFonts w:hint="eastAsia"/>
                      <w:color w:val="auto"/>
                    </w:rPr>
                    <w:t>本项目所在地为安塞城区，均为以居住、医疗卫生、文化教育、科研、行政办公为主要功能的区域，因此不设生态环境专项评价。</w:t>
                  </w:r>
                </w:p>
              </w:tc>
            </w:tr>
            <w:tr>
              <w:tblPrEx>
                <w:tblW w:w="0" w:type="auto"/>
                <w:jc w:val="center"/>
                <w:tblCellMar>
                  <w:top w:w="0" w:type="dxa"/>
                  <w:left w:w="108" w:type="dxa"/>
                  <w:bottom w:w="0" w:type="dxa"/>
                  <w:right w:w="108" w:type="dxa"/>
                </w:tblCellMar>
              </w:tblPrEx>
              <w:trPr>
                <w:jc w:val="center"/>
              </w:trPr>
              <w:tc>
                <w:tcPr>
                  <w:tcW w:w="1113" w:type="dxa"/>
                  <w:vAlign w:val="center"/>
                </w:tcPr>
                <w:p>
                  <w:pPr>
                    <w:pStyle w:val="a13"/>
                    <w:rPr>
                      <w:color w:val="auto"/>
                    </w:rPr>
                  </w:pPr>
                  <w:r>
                    <w:rPr>
                      <w:rFonts w:hint="eastAsia"/>
                      <w:color w:val="auto"/>
                    </w:rPr>
                    <w:t>大气</w:t>
                  </w:r>
                </w:p>
              </w:tc>
              <w:tc>
                <w:tcPr>
                  <w:tcW w:w="3397" w:type="dxa"/>
                  <w:vAlign w:val="center"/>
                </w:tcPr>
                <w:p>
                  <w:pPr>
                    <w:pStyle w:val="a13"/>
                    <w:jc w:val="both"/>
                    <w:rPr>
                      <w:color w:val="auto"/>
                    </w:rPr>
                  </w:pPr>
                  <w:r>
                    <w:rPr>
                      <w:rFonts w:hint="eastAsia"/>
                      <w:color w:val="auto"/>
                    </w:rPr>
                    <w:t>油气、液体化工码头：全部；</w:t>
                  </w:r>
                </w:p>
                <w:p>
                  <w:pPr>
                    <w:pStyle w:val="a13"/>
                    <w:jc w:val="both"/>
                    <w:rPr>
                      <w:color w:val="auto"/>
                    </w:rPr>
                  </w:pPr>
                  <w:r>
                    <w:rPr>
                      <w:rFonts w:hint="eastAsia"/>
                      <w:color w:val="auto"/>
                    </w:rPr>
                    <w:t>干散货（含煤炭、矿石）、件杂、多用途、通用码头：涉及粉尘、挥发性有机物排放的项目</w:t>
                  </w:r>
                </w:p>
              </w:tc>
              <w:tc>
                <w:tcPr>
                  <w:tcW w:w="2256" w:type="dxa"/>
                  <w:vAlign w:val="center"/>
                </w:tcPr>
                <w:p>
                  <w:pPr>
                    <w:pStyle w:val="a13"/>
                    <w:jc w:val="both"/>
                    <w:rPr>
                      <w:color w:val="auto"/>
                    </w:rPr>
                  </w:pPr>
                  <w:r>
                    <w:rPr>
                      <w:rFonts w:hint="eastAsia"/>
                      <w:color w:val="auto"/>
                    </w:rPr>
                    <w:t>本项目为排水防涝工程，不涉及此行业，不设大气专项评价。</w:t>
                  </w:r>
                </w:p>
              </w:tc>
            </w:tr>
            <w:tr>
              <w:tblPrEx>
                <w:tblW w:w="0" w:type="auto"/>
                <w:jc w:val="center"/>
                <w:tblCellMar>
                  <w:top w:w="0" w:type="dxa"/>
                  <w:left w:w="108" w:type="dxa"/>
                  <w:bottom w:w="0" w:type="dxa"/>
                  <w:right w:w="108" w:type="dxa"/>
                </w:tblCellMar>
              </w:tblPrEx>
              <w:trPr>
                <w:jc w:val="center"/>
              </w:trPr>
              <w:tc>
                <w:tcPr>
                  <w:tcW w:w="1113" w:type="dxa"/>
                  <w:vAlign w:val="center"/>
                </w:tcPr>
                <w:p>
                  <w:pPr>
                    <w:pStyle w:val="a13"/>
                    <w:rPr>
                      <w:color w:val="auto"/>
                    </w:rPr>
                  </w:pPr>
                  <w:r>
                    <w:rPr>
                      <w:rFonts w:hint="eastAsia"/>
                      <w:color w:val="auto"/>
                    </w:rPr>
                    <w:t>噪声</w:t>
                  </w:r>
                </w:p>
              </w:tc>
              <w:tc>
                <w:tcPr>
                  <w:tcW w:w="3397" w:type="dxa"/>
                  <w:vAlign w:val="center"/>
                </w:tcPr>
                <w:p>
                  <w:pPr>
                    <w:pStyle w:val="a13"/>
                    <w:jc w:val="both"/>
                    <w:rPr>
                      <w:color w:val="auto"/>
                    </w:rPr>
                  </w:pPr>
                  <w:r>
                    <w:rPr>
                      <w:rFonts w:hint="eastAsia"/>
                      <w:color w:val="auto"/>
                    </w:rPr>
                    <w:t>公路、铁路、机场等交通运输业涉及环境敏感区（以居住、医疗卫生、文化教育、科研、行政办公为主要功能的区域）的项目；</w:t>
                  </w:r>
                </w:p>
                <w:p>
                  <w:pPr>
                    <w:pStyle w:val="a13"/>
                    <w:jc w:val="both"/>
                    <w:rPr>
                      <w:color w:val="auto"/>
                    </w:rPr>
                  </w:pPr>
                  <w:r>
                    <w:rPr>
                      <w:rFonts w:hint="eastAsia"/>
                      <w:color w:val="auto"/>
                    </w:rPr>
                    <w:t>城市道路（不含维护，不含支路、人行天桥、人行地道）：全部</w:t>
                  </w:r>
                </w:p>
              </w:tc>
              <w:tc>
                <w:tcPr>
                  <w:tcW w:w="2256" w:type="dxa"/>
                  <w:vAlign w:val="center"/>
                </w:tcPr>
                <w:p>
                  <w:pPr>
                    <w:pStyle w:val="a13"/>
                    <w:jc w:val="both"/>
                    <w:rPr>
                      <w:color w:val="auto"/>
                    </w:rPr>
                  </w:pPr>
                  <w:r>
                    <w:rPr>
                      <w:rFonts w:hint="eastAsia"/>
                      <w:color w:val="auto"/>
                    </w:rPr>
                    <w:t>本项目为排水防涝工程，不涉及此行业，不设噪声专项评价。</w:t>
                  </w:r>
                </w:p>
              </w:tc>
            </w:tr>
            <w:tr>
              <w:tblPrEx>
                <w:tblW w:w="0" w:type="auto"/>
                <w:jc w:val="center"/>
                <w:tblCellMar>
                  <w:top w:w="0" w:type="dxa"/>
                  <w:left w:w="108" w:type="dxa"/>
                  <w:bottom w:w="0" w:type="dxa"/>
                  <w:right w:w="108" w:type="dxa"/>
                </w:tblCellMar>
              </w:tblPrEx>
              <w:trPr>
                <w:jc w:val="center"/>
              </w:trPr>
              <w:tc>
                <w:tcPr>
                  <w:tcW w:w="1113" w:type="dxa"/>
                  <w:vAlign w:val="center"/>
                </w:tcPr>
                <w:p>
                  <w:pPr>
                    <w:pStyle w:val="a13"/>
                    <w:rPr>
                      <w:color w:val="auto"/>
                    </w:rPr>
                  </w:pPr>
                  <w:r>
                    <w:rPr>
                      <w:rFonts w:hint="eastAsia"/>
                      <w:color w:val="auto"/>
                    </w:rPr>
                    <w:t>环境风险</w:t>
                  </w:r>
                </w:p>
              </w:tc>
              <w:tc>
                <w:tcPr>
                  <w:tcW w:w="3397" w:type="dxa"/>
                  <w:vAlign w:val="center"/>
                </w:tcPr>
                <w:p>
                  <w:pPr>
                    <w:pStyle w:val="a13"/>
                    <w:jc w:val="both"/>
                    <w:rPr>
                      <w:color w:val="auto"/>
                    </w:rPr>
                  </w:pPr>
                  <w:r>
                    <w:rPr>
                      <w:rFonts w:hint="eastAsia"/>
                      <w:color w:val="auto"/>
                    </w:rPr>
                    <w:t>石油和天然气开采：全部；</w:t>
                  </w:r>
                </w:p>
                <w:p>
                  <w:pPr>
                    <w:pStyle w:val="a13"/>
                    <w:jc w:val="both"/>
                    <w:rPr>
                      <w:color w:val="auto"/>
                    </w:rPr>
                  </w:pPr>
                  <w:r>
                    <w:rPr>
                      <w:rFonts w:hint="eastAsia"/>
                      <w:color w:val="auto"/>
                    </w:rPr>
                    <w:t>油气、液体化工码头：全部；</w:t>
                  </w:r>
                </w:p>
                <w:p>
                  <w:pPr>
                    <w:pStyle w:val="a13"/>
                    <w:jc w:val="both"/>
                    <w:rPr>
                      <w:color w:val="auto"/>
                    </w:rPr>
                  </w:pPr>
                  <w:r>
                    <w:rPr>
                      <w:rFonts w:hint="eastAsia"/>
                      <w:color w:val="auto"/>
                    </w:rPr>
                    <w:t>原油、成品油、天然气管线（不含城镇天然气管线、企业厂区内管线），危险化学品输送管线（不含企业厂区内管线）：全部</w:t>
                  </w:r>
                </w:p>
              </w:tc>
              <w:tc>
                <w:tcPr>
                  <w:tcW w:w="2256" w:type="dxa"/>
                  <w:vAlign w:val="center"/>
                </w:tcPr>
                <w:p>
                  <w:pPr>
                    <w:pStyle w:val="a13"/>
                    <w:jc w:val="both"/>
                    <w:rPr>
                      <w:color w:val="auto"/>
                    </w:rPr>
                  </w:pPr>
                  <w:r>
                    <w:rPr>
                      <w:rFonts w:hint="eastAsia"/>
                      <w:color w:val="auto"/>
                    </w:rPr>
                    <w:t>本项目为排水防涝工程，不涉及此行业，不设环境风险专项评价。</w:t>
                  </w:r>
                </w:p>
              </w:tc>
            </w:tr>
          </w:tbl>
          <w:p>
            <w:pPr>
              <w:pStyle w:val="a0"/>
              <w:ind w:firstLine="480"/>
            </w:pPr>
          </w:p>
        </w:tc>
      </w:tr>
      <w:tr>
        <w:tblPrEx>
          <w:tblW w:w="9039" w:type="dxa"/>
          <w:jc w:val="center"/>
          <w:tblCellMar>
            <w:top w:w="0" w:type="dxa"/>
            <w:left w:w="108" w:type="dxa"/>
            <w:bottom w:w="0" w:type="dxa"/>
            <w:right w:w="108" w:type="dxa"/>
          </w:tblCellMar>
        </w:tblPrEx>
        <w:trPr>
          <w:trHeight w:val="911"/>
          <w:jc w:val="center"/>
        </w:trPr>
        <w:tc>
          <w:tcPr>
            <w:tcW w:w="988" w:type="dxa"/>
            <w:vAlign w:val="center"/>
          </w:tcPr>
          <w:p>
            <w:pPr>
              <w:rPr>
                <w:kern w:val="0"/>
                <w:sz w:val="24"/>
              </w:rPr>
            </w:pPr>
            <w:r>
              <w:rPr>
                <w:rFonts w:hint="eastAsia"/>
                <w:sz w:val="24"/>
              </w:rPr>
              <w:t>规划情况</w:t>
            </w:r>
          </w:p>
        </w:tc>
        <w:tc>
          <w:tcPr>
            <w:tcW w:w="8051" w:type="dxa"/>
            <w:vAlign w:val="center"/>
          </w:tcPr>
          <w:p>
            <w:pPr>
              <w:rPr>
                <w:kern w:val="0"/>
              </w:rPr>
            </w:pPr>
            <w:r>
              <w:rPr>
                <w:rFonts w:hint="eastAsia"/>
                <w:kern w:val="0"/>
              </w:rPr>
              <w:t>无</w:t>
            </w:r>
          </w:p>
        </w:tc>
      </w:tr>
      <w:tr>
        <w:tblPrEx>
          <w:tblW w:w="9039" w:type="dxa"/>
          <w:jc w:val="center"/>
          <w:tblCellMar>
            <w:top w:w="0" w:type="dxa"/>
            <w:left w:w="108" w:type="dxa"/>
            <w:bottom w:w="0" w:type="dxa"/>
            <w:right w:w="108" w:type="dxa"/>
          </w:tblCellMar>
        </w:tblPrEx>
        <w:trPr>
          <w:trHeight w:val="565"/>
          <w:jc w:val="center"/>
        </w:trPr>
        <w:tc>
          <w:tcPr>
            <w:tcW w:w="988" w:type="dxa"/>
            <w:vAlign w:val="center"/>
          </w:tcPr>
          <w:p>
            <w:pPr>
              <w:rPr>
                <w:sz w:val="24"/>
              </w:rPr>
            </w:pPr>
            <w:r>
              <w:rPr>
                <w:rFonts w:hint="eastAsia"/>
                <w:sz w:val="24"/>
              </w:rPr>
              <w:t>规划环境影响</w:t>
            </w:r>
          </w:p>
          <w:p>
            <w:pPr>
              <w:rPr>
                <w:kern w:val="0"/>
                <w:sz w:val="24"/>
              </w:rPr>
            </w:pPr>
            <w:r>
              <w:rPr>
                <w:rFonts w:hint="eastAsia"/>
                <w:sz w:val="24"/>
              </w:rPr>
              <w:t>评价情况</w:t>
            </w:r>
          </w:p>
        </w:tc>
        <w:tc>
          <w:tcPr>
            <w:tcW w:w="8051" w:type="dxa"/>
            <w:vAlign w:val="center"/>
          </w:tcPr>
          <w:p>
            <w:pPr>
              <w:rPr>
                <w:kern w:val="0"/>
              </w:rPr>
            </w:pPr>
            <w:r>
              <w:rPr>
                <w:rFonts w:hint="eastAsia"/>
                <w:kern w:val="0"/>
              </w:rPr>
              <w:t>无</w:t>
            </w:r>
          </w:p>
        </w:tc>
      </w:tr>
      <w:tr>
        <w:tblPrEx>
          <w:tblW w:w="9039" w:type="dxa"/>
          <w:jc w:val="center"/>
          <w:tblCellMar>
            <w:top w:w="0" w:type="dxa"/>
            <w:left w:w="108" w:type="dxa"/>
            <w:bottom w:w="0" w:type="dxa"/>
            <w:right w:w="108" w:type="dxa"/>
          </w:tblCellMar>
        </w:tblPrEx>
        <w:trPr>
          <w:trHeight w:val="1557"/>
          <w:jc w:val="center"/>
        </w:trPr>
        <w:tc>
          <w:tcPr>
            <w:tcW w:w="988" w:type="dxa"/>
            <w:vAlign w:val="center"/>
          </w:tcPr>
          <w:p>
            <w:pPr>
              <w:rPr>
                <w:kern w:val="0"/>
                <w:sz w:val="24"/>
              </w:rPr>
            </w:pPr>
            <w:r>
              <w:rPr>
                <w:rFonts w:hint="eastAsia"/>
                <w:kern w:val="0"/>
                <w:sz w:val="24"/>
              </w:rPr>
              <w:t>规划及</w:t>
            </w:r>
            <w:r>
              <w:rPr>
                <w:rFonts w:hint="eastAsia"/>
                <w:sz w:val="24"/>
              </w:rPr>
              <w:t>规划环境影响评价</w:t>
            </w:r>
            <w:r>
              <w:rPr>
                <w:rFonts w:hint="eastAsia"/>
                <w:kern w:val="0"/>
                <w:sz w:val="24"/>
              </w:rPr>
              <w:t>符合性分析</w:t>
            </w:r>
          </w:p>
        </w:tc>
        <w:tc>
          <w:tcPr>
            <w:tcW w:w="8051" w:type="dxa"/>
            <w:vAlign w:val="center"/>
          </w:tcPr>
          <w:p>
            <w:pPr>
              <w:rPr>
                <w:kern w:val="0"/>
              </w:rPr>
            </w:pPr>
            <w:r>
              <w:rPr>
                <w:rFonts w:hint="eastAsia"/>
                <w:kern w:val="0"/>
              </w:rPr>
              <w:t>无</w:t>
            </w:r>
          </w:p>
        </w:tc>
      </w:tr>
    </w:tbl>
    <w:p>
      <w:pPr>
        <w:sectPr>
          <w:footerReference w:type="default" r:id="rId9"/>
          <w:type w:val="nextPage"/>
          <w:pgSz w:w="11906" w:h="16838"/>
          <w:pgMar w:top="1701" w:right="1531" w:bottom="1701" w:left="1531" w:header="851" w:footer="1077" w:gutter="0"/>
          <w:pgNumType w:start="4"/>
          <w:cols w:num="1" w:space="720"/>
          <w:titlePg w:val="0"/>
          <w:docGrid w:linePitch="312" w:charSpace="0"/>
        </w:sectPr>
      </w:pPr>
    </w:p>
    <w:tbl>
      <w:tblPr>
        <w:tblStyle w:val="TableGrid3"/>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88"/>
        <w:gridCol w:w="8051"/>
      </w:tblGrid>
      <w:tr>
        <w:tblPrEx>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10747"/>
          <w:jc w:val="center"/>
        </w:trPr>
        <w:tc>
          <w:tcPr>
            <w:tcW w:w="988" w:type="dxa"/>
          </w:tcPr>
          <w:p>
            <w:pPr>
              <w:rPr>
                <w:kern w:val="0"/>
              </w:rPr>
            </w:pPr>
            <w:bookmarkStart w:id="5" w:name="_Hlk56690880"/>
            <w:r>
              <w:rPr>
                <w:rFonts w:hint="eastAsia"/>
                <w:kern w:val="0"/>
              </w:rPr>
              <w:t>其他符合性分析</w:t>
            </w:r>
            <w:bookmarkEnd w:id="5"/>
          </w:p>
        </w:tc>
        <w:tc>
          <w:tcPr>
            <w:tcW w:w="8051" w:type="dxa"/>
          </w:tcPr>
          <w:p>
            <w:pPr>
              <w:pStyle w:val="a0"/>
              <w:ind w:firstLine="0" w:firstLineChars="0"/>
              <w:rPr>
                <w:b/>
                <w:bCs/>
              </w:rPr>
            </w:pPr>
            <w:r>
              <w:rPr>
                <w:rFonts w:hint="eastAsia"/>
                <w:b/>
                <w:bCs/>
              </w:rPr>
              <w:t>1、产业政策符合性分析</w:t>
            </w:r>
          </w:p>
          <w:p>
            <w:pPr>
              <w:pStyle w:val="a0"/>
              <w:ind w:firstLine="480"/>
            </w:pPr>
            <w:r>
              <w:rPr>
                <w:rFonts w:hint="eastAsia"/>
              </w:rPr>
              <w:t>本项目为《产业结构调整指导目录（2019年本）》中“二、水利”中的“9、城市积涝预警和防洪工程”，属于鼓励类，符合国家产业政策要求。本项目不在国家发改委、商务部《市场准入负面清单》（20</w:t>
            </w:r>
            <w:r>
              <w:t>22</w:t>
            </w:r>
            <w:r>
              <w:rPr>
                <w:rFonts w:hint="eastAsia"/>
              </w:rPr>
              <w:t>年版）和《陕西省国家重点生态功能区产业准入负面清单》内，符合国家和地方现行的有关产业政策。</w:t>
            </w:r>
          </w:p>
          <w:p>
            <w:pPr>
              <w:pStyle w:val="a0"/>
              <w:ind w:firstLine="480"/>
            </w:pPr>
            <w:r>
              <w:rPr>
                <w:rFonts w:hint="eastAsia"/>
              </w:rPr>
              <w:t>本项目于2</w:t>
            </w:r>
            <w:r>
              <w:t>022</w:t>
            </w:r>
            <w:r>
              <w:rPr>
                <w:rFonts w:hint="eastAsia"/>
              </w:rPr>
              <w:t>年1</w:t>
            </w:r>
            <w:r>
              <w:t>1</w:t>
            </w:r>
            <w:r>
              <w:rPr>
                <w:rFonts w:hint="eastAsia"/>
              </w:rPr>
              <w:t>月1</w:t>
            </w:r>
            <w:r>
              <w:t>0</w:t>
            </w:r>
            <w:r>
              <w:rPr>
                <w:rFonts w:hint="eastAsia"/>
              </w:rPr>
              <w:t>日取得延安市安塞区行政审批服务局《关于延安市安塞区城市排水防涝设施建设项目一期工程初步设计的批复》（塞行审发〔20</w:t>
            </w:r>
            <w:r>
              <w:t>22</w:t>
            </w:r>
            <w:r>
              <w:rPr>
                <w:rFonts w:hint="eastAsia"/>
              </w:rPr>
              <w:t>〕1</w:t>
            </w:r>
            <w:r>
              <w:t>97</w:t>
            </w:r>
            <w:r>
              <w:rPr>
                <w:rFonts w:hint="eastAsia"/>
              </w:rPr>
              <w:t>号）。</w:t>
            </w:r>
          </w:p>
          <w:p>
            <w:pPr>
              <w:pStyle w:val="a0"/>
              <w:ind w:firstLine="480"/>
            </w:pPr>
            <w:r>
              <w:rPr>
                <w:rFonts w:hint="eastAsia"/>
              </w:rPr>
              <w:t>本项目符合地方政策要求。</w:t>
            </w:r>
          </w:p>
          <w:p>
            <w:pPr>
              <w:pStyle w:val="a0"/>
              <w:ind w:firstLine="0" w:firstLineChars="0"/>
              <w:rPr>
                <w:b/>
                <w:bCs/>
              </w:rPr>
            </w:pPr>
            <w:r>
              <w:rPr>
                <w:rFonts w:hint="eastAsia"/>
              </w:rPr>
              <w:t>2、</w:t>
            </w:r>
            <w:r>
              <w:rPr>
                <w:rFonts w:hint="eastAsia"/>
                <w:b/>
                <w:bCs/>
              </w:rPr>
              <w:t>与相关生态环境保护法律法规政策、生态环境保护规划符合性分析</w:t>
            </w:r>
          </w:p>
          <w:p>
            <w:pPr>
              <w:pStyle w:val="a0"/>
              <w:ind w:firstLine="480"/>
            </w:pPr>
            <w:r>
              <w:rPr>
                <w:rFonts w:hint="eastAsia"/>
              </w:rPr>
              <w:t>本项目与相关生态环境保护法律法规政策、生态环境保护规划的符合性情况详见表</w:t>
            </w:r>
            <w:r>
              <w:t>1-2</w:t>
            </w:r>
            <w:r>
              <w:rPr>
                <w:rFonts w:hint="eastAsia"/>
              </w:rPr>
              <w:t>。</w:t>
            </w:r>
          </w:p>
          <w:p>
            <w:pPr>
              <w:pStyle w:val="a11"/>
            </w:pPr>
            <w:r>
              <w:rPr>
                <w:rFonts w:hint="eastAsia"/>
              </w:rPr>
              <w:t>表1</w:t>
            </w:r>
            <w:r>
              <w:t xml:space="preserve">-2  </w:t>
            </w:r>
            <w:r>
              <w:rPr>
                <w:rFonts w:hint="eastAsia"/>
              </w:rPr>
              <w:t>项目与相关政策的符合性</w:t>
            </w:r>
          </w:p>
          <w:tbl>
            <w:tblPr>
              <w:tblStyle w:val="TableGrid3"/>
              <w:tblW w:w="5000"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493"/>
              <w:gridCol w:w="1282"/>
              <w:gridCol w:w="3614"/>
              <w:gridCol w:w="1956"/>
              <w:gridCol w:w="490"/>
            </w:tblGrid>
            <w:tr>
              <w:tblPrEx>
                <w:tblW w:w="5000"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jc w:val="center"/>
              </w:trPr>
              <w:tc>
                <w:tcPr>
                  <w:tcW w:w="315" w:type="pct"/>
                  <w:vAlign w:val="center"/>
                </w:tcPr>
                <w:p>
                  <w:pPr>
                    <w:pStyle w:val="a13"/>
                    <w:rPr>
                      <w:color w:val="auto"/>
                    </w:rPr>
                  </w:pPr>
                  <w:r>
                    <w:rPr>
                      <w:rFonts w:hint="eastAsia"/>
                      <w:color w:val="auto"/>
                    </w:rPr>
                    <w:t>序号</w:t>
                  </w:r>
                </w:p>
              </w:tc>
              <w:tc>
                <w:tcPr>
                  <w:tcW w:w="818" w:type="pct"/>
                  <w:vAlign w:val="center"/>
                </w:tcPr>
                <w:p>
                  <w:pPr>
                    <w:pStyle w:val="a13"/>
                    <w:rPr>
                      <w:color w:val="auto"/>
                    </w:rPr>
                  </w:pPr>
                  <w:r>
                    <w:rPr>
                      <w:rFonts w:hint="eastAsia"/>
                      <w:color w:val="auto"/>
                    </w:rPr>
                    <w:t>名称</w:t>
                  </w:r>
                </w:p>
              </w:tc>
              <w:tc>
                <w:tcPr>
                  <w:tcW w:w="2306" w:type="pct"/>
                  <w:vAlign w:val="center"/>
                </w:tcPr>
                <w:p>
                  <w:pPr>
                    <w:pStyle w:val="a13"/>
                    <w:rPr>
                      <w:color w:val="auto"/>
                    </w:rPr>
                  </w:pPr>
                  <w:r>
                    <w:rPr>
                      <w:rFonts w:hint="eastAsia"/>
                      <w:color w:val="auto"/>
                    </w:rPr>
                    <w:t>要求</w:t>
                  </w:r>
                </w:p>
              </w:tc>
              <w:tc>
                <w:tcPr>
                  <w:tcW w:w="1248" w:type="pct"/>
                  <w:vAlign w:val="center"/>
                </w:tcPr>
                <w:p>
                  <w:pPr>
                    <w:pStyle w:val="a13"/>
                    <w:rPr>
                      <w:color w:val="auto"/>
                    </w:rPr>
                  </w:pPr>
                  <w:r>
                    <w:rPr>
                      <w:rFonts w:hint="eastAsia"/>
                      <w:color w:val="auto"/>
                    </w:rPr>
                    <w:t>本项目情况</w:t>
                  </w:r>
                </w:p>
              </w:tc>
              <w:tc>
                <w:tcPr>
                  <w:tcW w:w="313" w:type="pct"/>
                  <w:vAlign w:val="center"/>
                </w:tcPr>
                <w:p>
                  <w:pPr>
                    <w:pStyle w:val="a13"/>
                    <w:rPr>
                      <w:color w:val="auto"/>
                    </w:rPr>
                  </w:pPr>
                  <w:r>
                    <w:rPr>
                      <w:rFonts w:hint="eastAsia"/>
                      <w:color w:val="auto"/>
                    </w:rPr>
                    <w:t>相符性</w:t>
                  </w:r>
                </w:p>
              </w:tc>
            </w:tr>
            <w:tr>
              <w:tblPrEx>
                <w:tblW w:w="5000" w:type="pct"/>
                <w:jc w:val="center"/>
                <w:tblCellMar>
                  <w:top w:w="0" w:type="dxa"/>
                  <w:left w:w="108" w:type="dxa"/>
                  <w:bottom w:w="0" w:type="dxa"/>
                  <w:right w:w="108" w:type="dxa"/>
                </w:tblCellMar>
              </w:tblPrEx>
              <w:trPr>
                <w:jc w:val="center"/>
              </w:trPr>
              <w:tc>
                <w:tcPr>
                  <w:tcW w:w="315" w:type="pct"/>
                  <w:vAlign w:val="center"/>
                </w:tcPr>
                <w:p>
                  <w:pPr>
                    <w:pStyle w:val="a13"/>
                    <w:rPr>
                      <w:color w:val="auto"/>
                    </w:rPr>
                  </w:pPr>
                  <w:r>
                    <w:rPr>
                      <w:rFonts w:hint="eastAsia"/>
                      <w:color w:val="auto"/>
                    </w:rPr>
                    <w:t>1</w:t>
                  </w:r>
                </w:p>
              </w:tc>
              <w:tc>
                <w:tcPr>
                  <w:tcW w:w="818" w:type="pct"/>
                  <w:vAlign w:val="center"/>
                </w:tcPr>
                <w:p>
                  <w:pPr>
                    <w:pStyle w:val="a13"/>
                    <w:rPr>
                      <w:color w:val="auto"/>
                      <w:kern w:val="0"/>
                      <w:szCs w:val="21"/>
                    </w:rPr>
                  </w:pPr>
                  <w:r>
                    <w:rPr>
                      <w:rFonts w:hint="eastAsia"/>
                      <w:color w:val="auto"/>
                      <w:kern w:val="0"/>
                      <w:szCs w:val="21"/>
                    </w:rPr>
                    <w:t>《</w:t>
                  </w:r>
                  <w:r>
                    <w:rPr>
                      <w:rFonts w:hint="eastAsia"/>
                      <w:color w:val="auto"/>
                      <w:lang w:val="zh-CN"/>
                    </w:rPr>
                    <w:t>陕西省主体功能区规划</w:t>
                  </w:r>
                  <w:r>
                    <w:rPr>
                      <w:rFonts w:hint="eastAsia"/>
                      <w:color w:val="auto"/>
                      <w:kern w:val="0"/>
                      <w:szCs w:val="21"/>
                    </w:rPr>
                    <w:t>》</w:t>
                  </w:r>
                </w:p>
              </w:tc>
              <w:tc>
                <w:tcPr>
                  <w:tcW w:w="2306" w:type="pct"/>
                  <w:vAlign w:val="center"/>
                </w:tcPr>
                <w:p>
                  <w:pPr>
                    <w:pStyle w:val="a13"/>
                    <w:rPr>
                      <w:color w:val="auto"/>
                    </w:rPr>
                  </w:pPr>
                  <w:r>
                    <w:rPr>
                      <w:rFonts w:hint="eastAsia"/>
                      <w:color w:val="auto"/>
                    </w:rPr>
                    <w:t>根据《陕西省主体功能区规划》，项目所在区域属于国家层面限制开发区域（重点生态功能区）（见附图4）中的黄土高原丘陵沟壑水土保持生态功能区，该区域黄土堆积深厚，梁峁交错，沟壑纵横，坡面土壤和沟道侵蚀严重，水土流失敏感程度高，对黄河中下游生态安全具有重要作用。其主体功能是防治水土流失、维护生态安全。</w:t>
                  </w:r>
                </w:p>
              </w:tc>
              <w:tc>
                <w:tcPr>
                  <w:tcW w:w="1248" w:type="pct"/>
                  <w:vAlign w:val="center"/>
                </w:tcPr>
                <w:p>
                  <w:pPr>
                    <w:pStyle w:val="a13"/>
                    <w:rPr>
                      <w:color w:val="auto"/>
                    </w:rPr>
                  </w:pPr>
                  <w:r>
                    <w:rPr>
                      <w:rFonts w:hint="eastAsia"/>
                      <w:color w:val="auto"/>
                    </w:rPr>
                    <w:t>本项目为城市排水防涝工程，占用临时用地较小，只存在施工期，且占用时间短，在施工期加强水土流失控制措施，临时占地在施工结束后进行生态恢复，可以维护区域的生态功能。因此，本项目符合《</w:t>
                  </w:r>
                  <w:r>
                    <w:rPr>
                      <w:rFonts w:hint="eastAsia"/>
                      <w:color w:val="auto"/>
                      <w:lang w:val="zh-CN"/>
                    </w:rPr>
                    <w:t>陕西省主体功能区规划</w:t>
                  </w:r>
                  <w:r>
                    <w:rPr>
                      <w:rFonts w:hint="eastAsia"/>
                      <w:color w:val="auto"/>
                    </w:rPr>
                    <w:t>》要求</w:t>
                  </w:r>
                </w:p>
              </w:tc>
              <w:tc>
                <w:tcPr>
                  <w:tcW w:w="313" w:type="pct"/>
                  <w:vAlign w:val="center"/>
                </w:tcPr>
                <w:p>
                  <w:pPr>
                    <w:pStyle w:val="a13"/>
                    <w:rPr>
                      <w:color w:val="auto"/>
                    </w:rPr>
                  </w:pPr>
                  <w:r>
                    <w:rPr>
                      <w:rFonts w:hint="eastAsia"/>
                      <w:color w:val="auto"/>
                    </w:rPr>
                    <w:t>符合</w:t>
                  </w:r>
                </w:p>
              </w:tc>
            </w:tr>
            <w:tr>
              <w:tblPrEx>
                <w:tblW w:w="5000" w:type="pct"/>
                <w:jc w:val="center"/>
                <w:tblCellMar>
                  <w:top w:w="0" w:type="dxa"/>
                  <w:left w:w="108" w:type="dxa"/>
                  <w:bottom w:w="0" w:type="dxa"/>
                  <w:right w:w="108" w:type="dxa"/>
                </w:tblCellMar>
              </w:tblPrEx>
              <w:trPr>
                <w:jc w:val="center"/>
              </w:trPr>
              <w:tc>
                <w:tcPr>
                  <w:tcW w:w="315" w:type="pct"/>
                  <w:vAlign w:val="center"/>
                </w:tcPr>
                <w:p>
                  <w:pPr>
                    <w:pStyle w:val="a13"/>
                    <w:rPr>
                      <w:color w:val="auto"/>
                    </w:rPr>
                  </w:pPr>
                  <w:r>
                    <w:rPr>
                      <w:rFonts w:hint="eastAsia"/>
                      <w:color w:val="auto"/>
                    </w:rPr>
                    <w:t>2</w:t>
                  </w:r>
                </w:p>
              </w:tc>
              <w:tc>
                <w:tcPr>
                  <w:tcW w:w="818" w:type="pct"/>
                  <w:vAlign w:val="center"/>
                </w:tcPr>
                <w:p>
                  <w:pPr>
                    <w:pStyle w:val="a13"/>
                    <w:rPr>
                      <w:color w:val="auto"/>
                      <w:kern w:val="0"/>
                      <w:szCs w:val="21"/>
                    </w:rPr>
                  </w:pPr>
                  <w:r>
                    <w:rPr>
                      <w:rFonts w:hint="eastAsia"/>
                      <w:color w:val="auto"/>
                      <w:kern w:val="0"/>
                      <w:szCs w:val="21"/>
                    </w:rPr>
                    <w:t>《</w:t>
                  </w:r>
                  <w:r>
                    <w:rPr>
                      <w:rFonts w:hint="eastAsia"/>
                      <w:color w:val="auto"/>
                    </w:rPr>
                    <w:t>陕西省生态功能区划</w:t>
                  </w:r>
                  <w:r>
                    <w:rPr>
                      <w:rFonts w:hint="eastAsia"/>
                      <w:color w:val="auto"/>
                      <w:kern w:val="0"/>
                      <w:szCs w:val="21"/>
                    </w:rPr>
                    <w:t>》</w:t>
                  </w:r>
                </w:p>
              </w:tc>
              <w:tc>
                <w:tcPr>
                  <w:tcW w:w="2306" w:type="pct"/>
                  <w:vAlign w:val="center"/>
                </w:tcPr>
                <w:p>
                  <w:pPr>
                    <w:adjustRightInd w:val="0"/>
                    <w:snapToGrid w:val="0"/>
                    <w:spacing w:after="0"/>
                    <w:jc w:val="both"/>
                    <w:rPr>
                      <w:kern w:val="0"/>
                      <w:szCs w:val="21"/>
                      <w:highlight w:val="red"/>
                    </w:rPr>
                  </w:pPr>
                  <w:r>
                    <w:rPr>
                      <w:rFonts w:hint="eastAsia"/>
                    </w:rPr>
                    <w:t>根据《陕西省生态功能区划》，项目所在区域</w:t>
                  </w:r>
                  <w:r>
                    <w:rPr>
                      <w:kern w:val="0"/>
                      <w:szCs w:val="21"/>
                    </w:rPr>
                    <w:t>一级区</w:t>
                  </w:r>
                  <w:r>
                    <w:rPr>
                      <w:rFonts w:hint="eastAsia"/>
                      <w:kern w:val="0"/>
                      <w:szCs w:val="21"/>
                    </w:rPr>
                    <w:t>为黄土高原农牧生态区，二级区为黄土丘陵沟壑水土流失控制生态亚区，三级区为黄土梁峁沟壑水土流失控制区</w:t>
                  </w:r>
                  <w:r>
                    <w:rPr>
                      <w:rFonts w:hint="eastAsia"/>
                    </w:rPr>
                    <w:t>（见附图5）</w:t>
                  </w:r>
                </w:p>
              </w:tc>
              <w:tc>
                <w:tcPr>
                  <w:tcW w:w="1248" w:type="pct"/>
                  <w:vAlign w:val="center"/>
                </w:tcPr>
                <w:p>
                  <w:pPr>
                    <w:pStyle w:val="a13"/>
                    <w:rPr>
                      <w:color w:val="auto"/>
                    </w:rPr>
                  </w:pPr>
                  <w:r>
                    <w:rPr>
                      <w:rFonts w:hint="eastAsia"/>
                      <w:color w:val="auto"/>
                    </w:rPr>
                    <w:t xml:space="preserve">本项目为城市排水防涝工程，在原有排水系统上进行改造，不新增永久占地，临时占地较小，临时占地在 </w:t>
                  </w:r>
                </w:p>
              </w:tc>
              <w:tc>
                <w:tcPr>
                  <w:tcW w:w="313" w:type="pct"/>
                  <w:vAlign w:val="center"/>
                </w:tcPr>
                <w:p>
                  <w:pPr>
                    <w:pStyle w:val="a13"/>
                    <w:rPr>
                      <w:color w:val="auto"/>
                    </w:rPr>
                  </w:pPr>
                  <w:r>
                    <w:rPr>
                      <w:rFonts w:hint="eastAsia"/>
                      <w:color w:val="auto"/>
                    </w:rPr>
                    <w:t>符合</w:t>
                  </w:r>
                </w:p>
              </w:tc>
            </w:tr>
          </w:tbl>
          <w:p/>
        </w:tc>
      </w:tr>
    </w:tbl>
    <w:p>
      <w:pPr>
        <w:sectPr>
          <w:footerReference w:type="default" r:id="rId10"/>
          <w:type w:val="nextPage"/>
          <w:pgSz w:w="11906" w:h="16838"/>
          <w:pgMar w:top="1701" w:right="1531" w:bottom="1701" w:left="1531" w:header="851" w:footer="1077" w:gutter="0"/>
          <w:pgNumType w:start="5"/>
          <w:cols w:num="1" w:space="720"/>
          <w:titlePg w:val="0"/>
          <w:docGrid w:linePitch="312" w:charSpace="0"/>
        </w:sectPr>
      </w:pPr>
    </w:p>
    <w:tbl>
      <w:tblPr>
        <w:tblStyle w:val="TableGrid4"/>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88"/>
        <w:gridCol w:w="8051"/>
      </w:tblGrid>
      <w:tr>
        <w:tblPrEx>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10747"/>
          <w:jc w:val="center"/>
        </w:trPr>
        <w:tc>
          <w:tcPr>
            <w:tcW w:w="988" w:type="dxa"/>
          </w:tcPr>
          <w:p/>
        </w:tc>
        <w:tc>
          <w:tcPr>
            <w:tcW w:w="8051" w:type="dxa"/>
          </w:tcPr>
          <w:tbl>
            <w:tblPr>
              <w:tblStyle w:val="TableGrid4"/>
              <w:tblW w:w="5000"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493"/>
              <w:gridCol w:w="1282"/>
              <w:gridCol w:w="3614"/>
              <w:gridCol w:w="1956"/>
              <w:gridCol w:w="490"/>
            </w:tblGrid>
            <w:tr>
              <w:tblPrEx>
                <w:tblW w:w="5000"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jc w:val="center"/>
              </w:trPr>
              <w:tc>
                <w:tcPr>
                  <w:tcW w:w="315" w:type="pct"/>
                  <w:vAlign w:val="center"/>
                </w:tcPr>
                <w:p/>
              </w:tc>
              <w:tc>
                <w:tcPr>
                  <w:tcW w:w="818" w:type="pct"/>
                  <w:vAlign w:val="center"/>
                </w:tcPr>
                <w:p/>
              </w:tc>
              <w:tc>
                <w:tcPr>
                  <w:tcW w:w="2306" w:type="pct"/>
                  <w:vAlign w:val="center"/>
                </w:tcPr>
                <w:p>
                  <w:pPr>
                    <w:adjustRightInd w:val="0"/>
                    <w:snapToGrid w:val="0"/>
                    <w:spacing w:before="0"/>
                    <w:jc w:val="both"/>
                    <w:rPr>
                      <w:kern w:val="0"/>
                      <w:szCs w:val="21"/>
                      <w:highlight w:val="red"/>
                    </w:rPr>
                  </w:pPr>
                  <w:r>
                    <w:rPr>
                      <w:rFonts w:hint="eastAsia"/>
                      <w:kern w:val="0"/>
                      <w:szCs w:val="21"/>
                    </w:rPr>
                    <w:t>，该区域土壤侵蚀极敏感</w:t>
                  </w:r>
                  <w:r>
                    <w:rPr>
                      <w:kern w:val="0"/>
                      <w:szCs w:val="21"/>
                    </w:rPr>
                    <w:t>--</w:t>
                  </w:r>
                  <w:r>
                    <w:rPr>
                      <w:rFonts w:hint="eastAsia"/>
                      <w:kern w:val="0"/>
                      <w:szCs w:val="21"/>
                    </w:rPr>
                    <w:t>高度敏感，土壤保持功能极重要。实施不同尺度流域综合治理，控制水土流失，发展以旱作农业和林果为主的特色经济。</w:t>
                  </w:r>
                </w:p>
                <w:p>
                  <w:pPr>
                    <w:pStyle w:val="a13"/>
                    <w:rPr>
                      <w:color w:val="auto"/>
                    </w:rPr>
                  </w:pPr>
                </w:p>
              </w:tc>
              <w:tc>
                <w:tcPr>
                  <w:tcW w:w="1248" w:type="pct"/>
                  <w:vAlign w:val="center"/>
                </w:tcPr>
                <w:p>
                  <w:pPr>
                    <w:pStyle w:val="a13"/>
                    <w:rPr>
                      <w:color w:val="auto"/>
                    </w:rPr>
                  </w:pPr>
                  <w:r>
                    <w:rPr>
                      <w:rFonts w:hint="eastAsia"/>
                      <w:color w:val="auto"/>
                    </w:rPr>
                    <w:t>施工结束后进行生</w:t>
                  </w:r>
                </w:p>
                <w:p>
                  <w:pPr>
                    <w:pStyle w:val="a13"/>
                    <w:jc w:val="both"/>
                    <w:rPr>
                      <w:color w:val="auto"/>
                    </w:rPr>
                  </w:pPr>
                  <w:r>
                    <w:rPr>
                      <w:rFonts w:hint="eastAsia"/>
                      <w:color w:val="auto"/>
                    </w:rPr>
                    <w:t>态恢复，不会造成土地退化，可以维护区域的生态功能。因此，本项目符合《陕西省生态功能区规划》要 求。</w:t>
                  </w:r>
                </w:p>
                <w:p>
                  <w:pPr>
                    <w:pStyle w:val="a13"/>
                    <w:rPr>
                      <w:color w:val="auto"/>
                    </w:rPr>
                  </w:pPr>
                </w:p>
              </w:tc>
              <w:tc>
                <w:tcPr>
                  <w:tcW w:w="313" w:type="pct"/>
                  <w:vAlign w:val="center"/>
                </w:tcPr>
                <w:p/>
              </w:tc>
            </w:tr>
            <w:tr>
              <w:tblPrEx>
                <w:tblW w:w="5000" w:type="pct"/>
                <w:jc w:val="center"/>
                <w:tblCellMar>
                  <w:top w:w="0" w:type="dxa"/>
                  <w:left w:w="108" w:type="dxa"/>
                  <w:bottom w:w="0" w:type="dxa"/>
                  <w:right w:w="108" w:type="dxa"/>
                </w:tblCellMar>
              </w:tblPrEx>
              <w:trPr>
                <w:jc w:val="center"/>
              </w:trPr>
              <w:tc>
                <w:tcPr>
                  <w:tcW w:w="315" w:type="pct"/>
                  <w:vAlign w:val="center"/>
                </w:tcPr>
                <w:p>
                  <w:pPr>
                    <w:pStyle w:val="a13"/>
                    <w:rPr>
                      <w:color w:val="auto"/>
                    </w:rPr>
                  </w:pPr>
                  <w:r>
                    <w:rPr>
                      <w:rFonts w:hint="eastAsia"/>
                      <w:color w:val="auto"/>
                    </w:rPr>
                    <w:t>3</w:t>
                  </w:r>
                </w:p>
              </w:tc>
              <w:tc>
                <w:tcPr>
                  <w:tcW w:w="818" w:type="pct"/>
                  <w:vAlign w:val="center"/>
                </w:tcPr>
                <w:p>
                  <w:pPr>
                    <w:pStyle w:val="a13"/>
                    <w:rPr>
                      <w:color w:val="auto"/>
                    </w:rPr>
                  </w:pPr>
                  <w:r>
                    <w:rPr>
                      <w:rFonts w:hint="eastAsia"/>
                      <w:color w:val="auto"/>
                    </w:rPr>
                    <w:t>《陕西省黄河流域生态环境保护规划》</w:t>
                  </w:r>
                </w:p>
              </w:tc>
              <w:tc>
                <w:tcPr>
                  <w:tcW w:w="2306" w:type="pct"/>
                  <w:vAlign w:val="center"/>
                </w:tcPr>
                <w:p>
                  <w:pPr>
                    <w:pStyle w:val="a13"/>
                    <w:rPr>
                      <w:color w:val="auto"/>
                    </w:rPr>
                  </w:pPr>
                  <w:r>
                    <w:rPr>
                      <w:rFonts w:hint="eastAsia"/>
                      <w:color w:val="auto"/>
                    </w:rPr>
                    <w:t>全面推进城镇生活污水治理。到2030年，黄河流域设市城市建成区消除生活污水直排口和收集处理设施空白区，城市生活污水集中收集率提升到75%以上。城镇新区管网建设及老旧城区管网升级改造中实行雨污分流，鼓励推进初期雨水收集、处理和资源化利用，建设人工湿地水质净化工程，对处理达标后的尾水进一步净化。</w:t>
                  </w:r>
                </w:p>
              </w:tc>
              <w:tc>
                <w:tcPr>
                  <w:tcW w:w="1248" w:type="pct"/>
                  <w:vAlign w:val="center"/>
                </w:tcPr>
                <w:p>
                  <w:pPr>
                    <w:pStyle w:val="a13"/>
                    <w:rPr>
                      <w:color w:val="auto"/>
                    </w:rPr>
                  </w:pPr>
                  <w:r>
                    <w:rPr>
                      <w:rFonts w:hint="eastAsia"/>
                      <w:color w:val="auto"/>
                    </w:rPr>
                    <w:t>本项目为安塞城区排水防涝设施改造工程，通过本项目的实施，可以实现项目沿线污水、雨水分流，减轻对延河的污染。</w:t>
                  </w:r>
                </w:p>
              </w:tc>
              <w:tc>
                <w:tcPr>
                  <w:tcW w:w="313" w:type="pct"/>
                  <w:vAlign w:val="center"/>
                </w:tcPr>
                <w:p>
                  <w:pPr>
                    <w:pStyle w:val="a13"/>
                    <w:rPr>
                      <w:color w:val="auto"/>
                    </w:rPr>
                  </w:pPr>
                  <w:r>
                    <w:rPr>
                      <w:rFonts w:hint="eastAsia"/>
                      <w:color w:val="auto"/>
                    </w:rPr>
                    <w:t>符合</w:t>
                  </w:r>
                </w:p>
              </w:tc>
            </w:tr>
            <w:tr>
              <w:tblPrEx>
                <w:tblW w:w="5000" w:type="pct"/>
                <w:jc w:val="center"/>
                <w:tblCellMar>
                  <w:top w:w="0" w:type="dxa"/>
                  <w:left w:w="108" w:type="dxa"/>
                  <w:bottom w:w="0" w:type="dxa"/>
                  <w:right w:w="108" w:type="dxa"/>
                </w:tblCellMar>
              </w:tblPrEx>
              <w:trPr>
                <w:jc w:val="center"/>
              </w:trPr>
              <w:tc>
                <w:tcPr>
                  <w:tcW w:w="315" w:type="pct"/>
                  <w:vMerge w:val="restart"/>
                  <w:vAlign w:val="center"/>
                </w:tcPr>
                <w:p>
                  <w:pPr>
                    <w:pStyle w:val="a13"/>
                    <w:rPr>
                      <w:color w:val="auto"/>
                    </w:rPr>
                  </w:pPr>
                  <w:r>
                    <w:rPr>
                      <w:rFonts w:hint="eastAsia"/>
                      <w:color w:val="auto"/>
                    </w:rPr>
                    <w:t>4</w:t>
                  </w:r>
                </w:p>
              </w:tc>
              <w:tc>
                <w:tcPr>
                  <w:tcW w:w="818" w:type="pct"/>
                  <w:vMerge w:val="restart"/>
                  <w:vAlign w:val="center"/>
                </w:tcPr>
                <w:p>
                  <w:pPr>
                    <w:pStyle w:val="a13"/>
                    <w:rPr>
                      <w:color w:val="auto"/>
                    </w:rPr>
                  </w:pPr>
                  <w:r>
                    <w:rPr>
                      <w:color w:val="auto"/>
                    </w:rPr>
                    <w:t>《陕西省“十四五”生态环境保护规划》（陕政办发[2021]25号</w:t>
                  </w:r>
                  <w:r>
                    <w:rPr>
                      <w:rFonts w:hint="eastAsia"/>
                      <w:color w:val="auto"/>
                    </w:rPr>
                    <w:t>）</w:t>
                  </w:r>
                </w:p>
              </w:tc>
              <w:tc>
                <w:tcPr>
                  <w:tcW w:w="2306" w:type="pct"/>
                  <w:vAlign w:val="center"/>
                </w:tcPr>
                <w:p>
                  <w:pPr>
                    <w:pStyle w:val="a13"/>
                    <w:rPr>
                      <w:color w:val="auto"/>
                    </w:rPr>
                  </w:pPr>
                  <w:r>
                    <w:rPr>
                      <w:rStyle w:val="fontstyle01"/>
                      <w:rFonts w:ascii="Times New Roman" w:hAnsi="Times New Roman" w:hint="default"/>
                      <w:color w:val="auto"/>
                      <w:sz w:val="21"/>
                      <w:szCs w:val="24"/>
                    </w:rPr>
                    <w:t>加强扬尘精细化管控。建立扬尘污染源清单，实现扬尘污染源动态管理，构建“过程全覆盖、管理全方位、责任全链条”的扬尘防治体系。全面推行绿色施工，将绿色施工纳入企业资质和信用评价。对重点区域道路、水务等线性工程进行分段施工。大力推进低尘机械化湿式清扫作业，加大重要路段冲洗保洁力度，渣土车实施硬覆盖与全密闭运输，强化道路绿化用地扬尘治理。</w:t>
                  </w:r>
                </w:p>
              </w:tc>
              <w:tc>
                <w:tcPr>
                  <w:tcW w:w="1248" w:type="pct"/>
                  <w:vAlign w:val="center"/>
                </w:tcPr>
                <w:p>
                  <w:pPr>
                    <w:pStyle w:val="a13"/>
                    <w:rPr>
                      <w:color w:val="auto"/>
                    </w:rPr>
                  </w:pPr>
                  <w:r>
                    <w:rPr>
                      <w:rFonts w:hint="eastAsia"/>
                      <w:color w:val="auto"/>
                    </w:rPr>
                    <w:t>项目施工期要求做到周边围挡，物料堆放覆盖毡布，土方开挖湿法作业，严格要求运输车辆全封闭运输，经过城区时减速慢行，运输车辆必须全部安装定位系统，杜绝超高装载、抛洒泄漏行为。</w:t>
                  </w:r>
                </w:p>
              </w:tc>
              <w:tc>
                <w:tcPr>
                  <w:tcW w:w="313" w:type="pct"/>
                  <w:vAlign w:val="center"/>
                </w:tcPr>
                <w:p>
                  <w:pPr>
                    <w:pStyle w:val="a13"/>
                    <w:rPr>
                      <w:color w:val="auto"/>
                    </w:rPr>
                  </w:pPr>
                  <w:r>
                    <w:rPr>
                      <w:rFonts w:hint="eastAsia"/>
                      <w:color w:val="auto"/>
                    </w:rPr>
                    <w:t>符合</w:t>
                  </w:r>
                </w:p>
              </w:tc>
            </w:tr>
            <w:tr>
              <w:tblPrEx>
                <w:tblW w:w="5000" w:type="pct"/>
                <w:jc w:val="center"/>
                <w:tblCellMar>
                  <w:top w:w="0" w:type="dxa"/>
                  <w:left w:w="108" w:type="dxa"/>
                  <w:bottom w:w="0" w:type="dxa"/>
                  <w:right w:w="108" w:type="dxa"/>
                </w:tblCellMar>
              </w:tblPrEx>
              <w:trPr>
                <w:jc w:val="center"/>
              </w:trPr>
              <w:tc>
                <w:tcPr>
                  <w:tcW w:w="315" w:type="pct"/>
                  <w:vMerge/>
                  <w:vAlign w:val="center"/>
                </w:tcPr>
                <w:p>
                  <w:pPr>
                    <w:pStyle w:val="a13"/>
                    <w:rPr>
                      <w:color w:val="auto"/>
                    </w:rPr>
                  </w:pPr>
                </w:p>
              </w:tc>
              <w:tc>
                <w:tcPr>
                  <w:tcW w:w="818" w:type="pct"/>
                  <w:vMerge/>
                  <w:vAlign w:val="center"/>
                </w:tcPr>
                <w:p>
                  <w:pPr>
                    <w:pStyle w:val="a13"/>
                    <w:rPr>
                      <w:color w:val="auto"/>
                    </w:rPr>
                  </w:pPr>
                </w:p>
              </w:tc>
              <w:tc>
                <w:tcPr>
                  <w:tcW w:w="2306" w:type="pct"/>
                  <w:vAlign w:val="center"/>
                </w:tcPr>
                <w:p>
                  <w:pPr>
                    <w:pStyle w:val="a13"/>
                    <w:rPr>
                      <w:color w:val="auto"/>
                    </w:rPr>
                  </w:pPr>
                  <w:r>
                    <w:rPr>
                      <w:color w:val="auto"/>
                    </w:rPr>
                    <w:t>加强黄河流域城镇污水处理设施及配套管网建设，强化陕北地区能源化工基地环境风险管控，开展关中地区种植业面源污染治理。加大黄河支流延河、无定河、清涧河、石川河等水污染治理。</w:t>
                  </w:r>
                </w:p>
              </w:tc>
              <w:tc>
                <w:tcPr>
                  <w:tcW w:w="1248" w:type="pct"/>
                  <w:vMerge w:val="restart"/>
                  <w:vAlign w:val="center"/>
                </w:tcPr>
                <w:p>
                  <w:pPr>
                    <w:pStyle w:val="a13"/>
                    <w:rPr>
                      <w:color w:val="auto"/>
                    </w:rPr>
                  </w:pPr>
                  <w:r>
                    <w:rPr>
                      <w:rFonts w:hint="eastAsia"/>
                      <w:color w:val="auto"/>
                    </w:rPr>
                    <w:t>本项目为安塞城区排水防涝设施以及污水管网改造工程，通过本项目的实施，可以实现项目沿线污水、雨水分流，减轻对延河的污染。</w:t>
                  </w:r>
                </w:p>
              </w:tc>
              <w:tc>
                <w:tcPr>
                  <w:tcW w:w="313" w:type="pct"/>
                  <w:vMerge w:val="restart"/>
                  <w:vAlign w:val="center"/>
                </w:tcPr>
                <w:p>
                  <w:pPr>
                    <w:pStyle w:val="a13"/>
                    <w:rPr>
                      <w:color w:val="auto"/>
                    </w:rPr>
                  </w:pPr>
                  <w:r>
                    <w:rPr>
                      <w:rFonts w:hint="eastAsia"/>
                      <w:color w:val="auto"/>
                    </w:rPr>
                    <w:t>符合</w:t>
                  </w:r>
                </w:p>
              </w:tc>
            </w:tr>
            <w:tr>
              <w:tblPrEx>
                <w:tblW w:w="5000" w:type="pct"/>
                <w:jc w:val="center"/>
                <w:tblCellMar>
                  <w:top w:w="0" w:type="dxa"/>
                  <w:left w:w="108" w:type="dxa"/>
                  <w:bottom w:w="0" w:type="dxa"/>
                  <w:right w:w="108" w:type="dxa"/>
                </w:tblCellMar>
              </w:tblPrEx>
              <w:trPr>
                <w:jc w:val="center"/>
              </w:trPr>
              <w:tc>
                <w:tcPr>
                  <w:tcW w:w="315" w:type="pct"/>
                  <w:vMerge/>
                  <w:vAlign w:val="center"/>
                </w:tcPr>
                <w:p>
                  <w:pPr>
                    <w:pStyle w:val="a13"/>
                    <w:rPr>
                      <w:color w:val="auto"/>
                    </w:rPr>
                  </w:pPr>
                </w:p>
              </w:tc>
              <w:tc>
                <w:tcPr>
                  <w:tcW w:w="818" w:type="pct"/>
                  <w:vMerge/>
                  <w:vAlign w:val="center"/>
                </w:tcPr>
                <w:p>
                  <w:pPr>
                    <w:pStyle w:val="a13"/>
                    <w:rPr>
                      <w:color w:val="auto"/>
                    </w:rPr>
                  </w:pPr>
                </w:p>
              </w:tc>
              <w:tc>
                <w:tcPr>
                  <w:tcW w:w="2306" w:type="pct"/>
                  <w:vAlign w:val="center"/>
                </w:tcPr>
                <w:p>
                  <w:pPr>
                    <w:pStyle w:val="a13"/>
                    <w:rPr>
                      <w:color w:val="auto"/>
                    </w:rPr>
                  </w:pPr>
                  <w:r>
                    <w:rPr>
                      <w:color w:val="auto"/>
                    </w:rPr>
                    <w:t>全面推进城镇生活污水治理。镇新区管网建设及老旧城区管网升级改造中实行雨污分流。</w:t>
                  </w:r>
                </w:p>
              </w:tc>
              <w:tc>
                <w:tcPr>
                  <w:tcW w:w="1248" w:type="pct"/>
                  <w:vMerge/>
                  <w:vAlign w:val="center"/>
                </w:tcPr>
                <w:p>
                  <w:pPr>
                    <w:pStyle w:val="a13"/>
                    <w:rPr>
                      <w:color w:val="auto"/>
                    </w:rPr>
                  </w:pPr>
                </w:p>
              </w:tc>
              <w:tc>
                <w:tcPr>
                  <w:tcW w:w="313" w:type="pct"/>
                  <w:vMerge/>
                  <w:vAlign w:val="center"/>
                </w:tcPr>
                <w:p>
                  <w:pPr>
                    <w:pStyle w:val="a13"/>
                    <w:rPr>
                      <w:color w:val="auto"/>
                    </w:rPr>
                  </w:pPr>
                </w:p>
              </w:tc>
            </w:tr>
            <w:tr>
              <w:tblPrEx>
                <w:tblW w:w="5000" w:type="pct"/>
                <w:jc w:val="center"/>
                <w:tblCellMar>
                  <w:top w:w="0" w:type="dxa"/>
                  <w:left w:w="108" w:type="dxa"/>
                  <w:bottom w:w="0" w:type="dxa"/>
                  <w:right w:w="108" w:type="dxa"/>
                </w:tblCellMar>
              </w:tblPrEx>
              <w:trPr>
                <w:jc w:val="center"/>
              </w:trPr>
              <w:tc>
                <w:tcPr>
                  <w:tcW w:w="315" w:type="pct"/>
                  <w:vAlign w:val="center"/>
                </w:tcPr>
                <w:p>
                  <w:pPr>
                    <w:pStyle w:val="a13"/>
                    <w:rPr>
                      <w:color w:val="auto"/>
                    </w:rPr>
                  </w:pPr>
                  <w:r>
                    <w:rPr>
                      <w:rFonts w:hint="eastAsia"/>
                      <w:color w:val="auto"/>
                    </w:rPr>
                    <w:t>5</w:t>
                  </w:r>
                </w:p>
              </w:tc>
              <w:tc>
                <w:tcPr>
                  <w:tcW w:w="818" w:type="pct"/>
                  <w:vAlign w:val="center"/>
                </w:tcPr>
                <w:p>
                  <w:pPr>
                    <w:pStyle w:val="a13"/>
                    <w:rPr>
                      <w:color w:val="auto"/>
                    </w:rPr>
                  </w:pPr>
                  <w:r>
                    <w:rPr>
                      <w:rFonts w:hint="eastAsia"/>
                      <w:color w:val="auto"/>
                    </w:rPr>
                    <w:t>延安市生态环境保护“十四五''规划（2021 年-2025年）</w:t>
                  </w:r>
                </w:p>
              </w:tc>
              <w:tc>
                <w:tcPr>
                  <w:tcW w:w="2306" w:type="pct"/>
                  <w:vAlign w:val="center"/>
                </w:tcPr>
                <w:p>
                  <w:pPr>
                    <w:pStyle w:val="a13"/>
                    <w:spacing w:after="0"/>
                    <w:rPr>
                      <w:color w:val="auto"/>
                    </w:rPr>
                  </w:pPr>
                </w:p>
              </w:tc>
              <w:tc>
                <w:tcPr>
                  <w:tcW w:w="1248" w:type="pct"/>
                  <w:vAlign w:val="center"/>
                </w:tcPr>
                <w:p>
                  <w:pPr>
                    <w:pStyle w:val="a13"/>
                    <w:rPr>
                      <w:color w:val="auto"/>
                    </w:rPr>
                  </w:pPr>
                  <w:r>
                    <w:rPr>
                      <w:rFonts w:hint="eastAsia"/>
                      <w:color w:val="auto"/>
                    </w:rPr>
                    <w:t>本项目为安塞城区排水防涝设施改造工程，通过本项目的实施，可以实现项目沿线污水、雨水分流，减轻对延河的污染。</w:t>
                  </w:r>
                </w:p>
              </w:tc>
              <w:tc>
                <w:tcPr>
                  <w:tcW w:w="313" w:type="pct"/>
                  <w:vAlign w:val="center"/>
                </w:tcPr>
                <w:p>
                  <w:pPr>
                    <w:pStyle w:val="a13"/>
                    <w:rPr>
                      <w:color w:val="auto"/>
                    </w:rPr>
                  </w:pPr>
                  <w:r>
                    <w:rPr>
                      <w:rFonts w:hint="eastAsia"/>
                      <w:color w:val="auto"/>
                    </w:rPr>
                    <w:t>符合</w:t>
                  </w:r>
                </w:p>
              </w:tc>
            </w:tr>
          </w:tbl>
          <w:p/>
        </w:tc>
      </w:tr>
    </w:tbl>
    <w:p>
      <w:pPr>
        <w:sectPr>
          <w:footerReference w:type="default" r:id="rId11"/>
          <w:type w:val="nextPage"/>
          <w:pgSz w:w="11906" w:h="16838"/>
          <w:pgMar w:top="1701" w:right="1531" w:bottom="1701" w:left="1531" w:header="851" w:footer="1077" w:gutter="0"/>
          <w:pgNumType w:start="6"/>
          <w:cols w:num="1" w:space="720"/>
          <w:titlePg w:val="0"/>
          <w:docGrid w:linePitch="312" w:charSpace="0"/>
        </w:sectPr>
      </w:pPr>
    </w:p>
    <w:tbl>
      <w:tblPr>
        <w:tblStyle w:val="TableGrid5"/>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88"/>
        <w:gridCol w:w="8051"/>
      </w:tblGrid>
      <w:tr>
        <w:tblPrEx>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10747"/>
          <w:jc w:val="center"/>
        </w:trPr>
        <w:tc>
          <w:tcPr>
            <w:tcW w:w="988" w:type="dxa"/>
          </w:tcPr>
          <w:p/>
        </w:tc>
        <w:tc>
          <w:tcPr>
            <w:tcW w:w="8051" w:type="dxa"/>
          </w:tcPr>
          <w:tbl>
            <w:tblPr>
              <w:tblStyle w:val="TableGrid5"/>
              <w:tblW w:w="5000"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493"/>
              <w:gridCol w:w="1282"/>
              <w:gridCol w:w="3614"/>
              <w:gridCol w:w="1956"/>
              <w:gridCol w:w="490"/>
            </w:tblGrid>
            <w:tr>
              <w:tblPrEx>
                <w:tblW w:w="5000"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jc w:val="center"/>
              </w:trPr>
              <w:tc>
                <w:tcPr>
                  <w:tcW w:w="315" w:type="pct"/>
                  <w:vAlign w:val="center"/>
                </w:tcPr>
                <w:p/>
              </w:tc>
              <w:tc>
                <w:tcPr>
                  <w:tcW w:w="818" w:type="pct"/>
                  <w:vAlign w:val="center"/>
                </w:tcPr>
                <w:p/>
              </w:tc>
              <w:tc>
                <w:tcPr>
                  <w:tcW w:w="2306" w:type="pct"/>
                  <w:vAlign w:val="center"/>
                </w:tcPr>
                <w:p>
                  <w:pPr>
                    <w:pStyle w:val="a13"/>
                    <w:spacing w:before="0"/>
                    <w:rPr>
                      <w:color w:val="auto"/>
                    </w:rPr>
                  </w:pPr>
                  <w:r>
                    <w:rPr>
                      <w:rFonts w:hint="eastAsia"/>
                      <w:color w:val="auto"/>
                    </w:rPr>
                    <w:t>推进污水管网建设与改造。全面开展雨污水管网排查，限期完成整改。加快推进城中村、老旧城区、城乡结合部雨/清污水管网建设，城镇新区建设和老城区改造时必须实施雨污分流，推进初期雨水收集、处理和资源化利用，建立完善排水管网清掏机制。严格执行城镇污水排入排水管网许可制度，洗车污水、餐饮泔水、施工泥浆水严禁进入雨水管网。提升城区以外地区直排污染源纳管率，实现城镇化地区污水全部纳管，其他直排污染源实施更严格的排放标准。子长、宝塔、吴起、志丹、安塞、甘泉、富县、洛川、黄陵等县（市、区）及高新区管委会加快实施城区污水收集管网延伸及雨/清污分流改造项目，全面取缔截流闸。强化溯源整治，杜绝污水直接排入雨水管网。推进城镇污水管网全覆盖，对进水情况出现明显异常的污水处理厂，开展片区管网系统化整治。2025年，全市建成区实现污水管网全覆盖，生活污水全收集、全处理，雨/清污分流覆盖率达到90%以上。</w:t>
                  </w:r>
                </w:p>
              </w:tc>
              <w:tc>
                <w:tcPr>
                  <w:tcW w:w="1248" w:type="pct"/>
                  <w:vAlign w:val="center"/>
                </w:tcPr>
                <w:p/>
              </w:tc>
              <w:tc>
                <w:tcPr>
                  <w:tcW w:w="313" w:type="pct"/>
                  <w:vAlign w:val="center"/>
                </w:tcPr>
                <w:p/>
              </w:tc>
            </w:tr>
            <w:tr>
              <w:tblPrEx>
                <w:tblW w:w="5000" w:type="pct"/>
                <w:jc w:val="center"/>
                <w:tblCellMar>
                  <w:top w:w="0" w:type="dxa"/>
                  <w:left w:w="108" w:type="dxa"/>
                  <w:bottom w:w="0" w:type="dxa"/>
                  <w:right w:w="108" w:type="dxa"/>
                </w:tblCellMar>
              </w:tblPrEx>
              <w:trPr>
                <w:jc w:val="center"/>
              </w:trPr>
              <w:tc>
                <w:tcPr>
                  <w:tcW w:w="315" w:type="pct"/>
                  <w:vAlign w:val="center"/>
                </w:tcPr>
                <w:p>
                  <w:pPr>
                    <w:pStyle w:val="a13"/>
                    <w:rPr>
                      <w:color w:val="auto"/>
                    </w:rPr>
                  </w:pPr>
                  <w:r>
                    <w:rPr>
                      <w:rFonts w:hint="eastAsia"/>
                      <w:color w:val="auto"/>
                    </w:rPr>
                    <w:t>6</w:t>
                  </w:r>
                </w:p>
              </w:tc>
              <w:tc>
                <w:tcPr>
                  <w:tcW w:w="818" w:type="pct"/>
                  <w:vAlign w:val="center"/>
                </w:tcPr>
                <w:p>
                  <w:pPr>
                    <w:pStyle w:val="a13"/>
                    <w:rPr>
                      <w:color w:val="auto"/>
                    </w:rPr>
                  </w:pPr>
                  <w:r>
                    <w:rPr>
                      <w:rFonts w:hint="eastAsia"/>
                      <w:color w:val="auto"/>
                    </w:rPr>
                    <w:t>《</w:t>
                  </w:r>
                  <w:r>
                    <w:rPr>
                      <w:color w:val="auto"/>
                    </w:rPr>
                    <w:t>陕西省人民政府办公厅关于印发蓝天碧水净土保卫战2022年工作方案</w:t>
                  </w:r>
                  <w:r>
                    <w:rPr>
                      <w:rFonts w:hint="eastAsia"/>
                      <w:color w:val="auto"/>
                    </w:rPr>
                    <w:t>》（</w:t>
                  </w:r>
                </w:p>
                <w:p>
                  <w:pPr>
                    <w:pStyle w:val="a13"/>
                    <w:rPr>
                      <w:color w:val="auto"/>
                    </w:rPr>
                  </w:pPr>
                  <w:r>
                    <w:rPr>
                      <w:rFonts w:hint="eastAsia"/>
                      <w:color w:val="auto"/>
                    </w:rPr>
                    <w:t>陕政办发</w:t>
                  </w:r>
                  <w:r>
                    <w:rPr>
                      <w:rFonts w:ascii="宋体" w:hAnsi="宋体" w:hint="eastAsia"/>
                      <w:color w:val="auto"/>
                    </w:rPr>
                    <w:t>〔2</w:t>
                  </w:r>
                  <w:r>
                    <w:rPr>
                      <w:rFonts w:ascii="宋体" w:hAnsi="宋体"/>
                      <w:color w:val="auto"/>
                    </w:rPr>
                    <w:t>022</w:t>
                  </w:r>
                  <w:r>
                    <w:rPr>
                      <w:rFonts w:ascii="宋体" w:hAnsi="宋体" w:hint="eastAsia"/>
                      <w:color w:val="auto"/>
                    </w:rPr>
                    <w:t>﹞8号</w:t>
                  </w:r>
                  <w:r>
                    <w:rPr>
                      <w:rFonts w:hint="eastAsia"/>
                      <w:color w:val="auto"/>
                    </w:rPr>
                    <w:t>）</w:t>
                  </w:r>
                </w:p>
              </w:tc>
              <w:tc>
                <w:tcPr>
                  <w:tcW w:w="2306" w:type="pct"/>
                  <w:vAlign w:val="center"/>
                </w:tcPr>
                <w:p>
                  <w:pPr>
                    <w:pStyle w:val="a13"/>
                    <w:rPr>
                      <w:color w:val="auto"/>
                    </w:rPr>
                  </w:pPr>
                  <w:r>
                    <w:rPr>
                      <w:rFonts w:hint="eastAsia"/>
                      <w:color w:val="auto"/>
                    </w:rPr>
                    <w:t>严格落实施工工地扬尘管控责任，建立施工工地动态管理清单，在工地公示具体防治措施及负责人信息，防治扬尘污染费用纳入工程造价。严格落实工地“六个百分之百”，将建筑施工扬尘防治落实情况纳入企业信用评价。核查渣土车密闭化改装改造，确保运输过程无扬尘、无遗漏、无抛洒，未达到改造升级要求的渣土车辆不得从事渣土运输活动。</w:t>
                  </w:r>
                </w:p>
              </w:tc>
              <w:tc>
                <w:tcPr>
                  <w:tcW w:w="1248" w:type="pct"/>
                  <w:vAlign w:val="center"/>
                </w:tcPr>
                <w:p>
                  <w:pPr>
                    <w:pStyle w:val="a13"/>
                    <w:rPr>
                      <w:color w:val="auto"/>
                    </w:rPr>
                  </w:pPr>
                  <w:r>
                    <w:rPr>
                      <w:rFonts w:hint="eastAsia"/>
                      <w:color w:val="auto"/>
                    </w:rPr>
                    <w:t>本项目施工期要求做到周边围挡，物料堆放覆盖毡布，土方开挖湿法作业，严格要求运输车辆全封闭运输，经过城区时减速慢行，运输车辆必须全部安装定位系统，杜绝超高装载、抛洒泄漏行为。</w:t>
                  </w:r>
                </w:p>
              </w:tc>
              <w:tc>
                <w:tcPr>
                  <w:tcW w:w="313" w:type="pct"/>
                  <w:vAlign w:val="center"/>
                </w:tcPr>
                <w:p>
                  <w:pPr>
                    <w:pStyle w:val="a13"/>
                    <w:rPr>
                      <w:color w:val="auto"/>
                    </w:rPr>
                  </w:pPr>
                  <w:r>
                    <w:rPr>
                      <w:rFonts w:hint="eastAsia"/>
                      <w:color w:val="auto"/>
                    </w:rPr>
                    <w:t>符合</w:t>
                  </w:r>
                </w:p>
              </w:tc>
            </w:tr>
            <w:tr>
              <w:tblPrEx>
                <w:tblW w:w="5000" w:type="pct"/>
                <w:jc w:val="center"/>
                <w:tblCellMar>
                  <w:top w:w="0" w:type="dxa"/>
                  <w:left w:w="108" w:type="dxa"/>
                  <w:bottom w:w="0" w:type="dxa"/>
                  <w:right w:w="108" w:type="dxa"/>
                </w:tblCellMar>
              </w:tblPrEx>
              <w:trPr>
                <w:jc w:val="center"/>
              </w:trPr>
              <w:tc>
                <w:tcPr>
                  <w:tcW w:w="315" w:type="pct"/>
                  <w:vAlign w:val="center"/>
                </w:tcPr>
                <w:p>
                  <w:pPr>
                    <w:pStyle w:val="a13"/>
                    <w:rPr>
                      <w:color w:val="auto"/>
                    </w:rPr>
                  </w:pPr>
                  <w:r>
                    <w:rPr>
                      <w:rFonts w:hint="eastAsia"/>
                      <w:color w:val="auto"/>
                    </w:rPr>
                    <w:t>7</w:t>
                  </w:r>
                </w:p>
              </w:tc>
              <w:tc>
                <w:tcPr>
                  <w:tcW w:w="818" w:type="pct"/>
                </w:tcPr>
                <w:p>
                  <w:pPr>
                    <w:pStyle w:val="a13"/>
                    <w:rPr>
                      <w:color w:val="auto"/>
                    </w:rPr>
                  </w:pPr>
                  <w:r>
                    <w:rPr>
                      <w:rFonts w:hint="eastAsia"/>
                      <w:color w:val="auto"/>
                    </w:rPr>
                    <w:t>《延安市蓝天、碧水、净土保卫战2022年工作方案》延政办函〔2022〕18号</w:t>
                  </w:r>
                </w:p>
              </w:tc>
              <w:tc>
                <w:tcPr>
                  <w:tcW w:w="2306" w:type="pct"/>
                </w:tcPr>
                <w:p>
                  <w:pPr>
                    <w:pStyle w:val="a13"/>
                    <w:rPr>
                      <w:color w:val="auto"/>
                    </w:rPr>
                  </w:pPr>
                  <w:r>
                    <w:rPr>
                      <w:rFonts w:hint="eastAsia"/>
                      <w:color w:val="auto"/>
                    </w:rPr>
                    <w:t>18.强化施工扬尘治理。严格落实建筑施工工地周边围挡、裸露地表物料堆放覆盖、土方开挖湿法作业、施工现场道路硬化、出入车辆冲洗、渣土车辆密闭运输“六个百分之百”。建立扬尘治理征信制度，将扬尘管理的不良信息纳入建筑市场信用管理体系，情节严重的，列入建筑市场主体“黑名单”。加强渣土车上路管理，运输过程要达到无扬尘、无遗漏、无抛洒要求；未达到改造升级要求的渣土车辆，不得从事渣土运输活动。运渣车辆必须全部安装定位系统，杜绝超高装载、抛洒泄漏行为。</w:t>
                  </w:r>
                </w:p>
              </w:tc>
              <w:tc>
                <w:tcPr>
                  <w:tcW w:w="1248" w:type="pct"/>
                </w:tcPr>
                <w:p>
                  <w:pPr>
                    <w:pStyle w:val="a13"/>
                    <w:rPr>
                      <w:color w:val="auto"/>
                    </w:rPr>
                  </w:pPr>
                  <w:r>
                    <w:rPr>
                      <w:rFonts w:hint="eastAsia"/>
                      <w:color w:val="auto"/>
                    </w:rPr>
                    <w:t>本项目施工期要求做到周边围挡，物料堆放覆盖毡布，土方开挖湿法作业，严格要求运输车辆全封闭运输，经过城区时减速慢行，运输车辆必须全部安装定位系统，杜绝超高装载、抛洒泄漏行为。</w:t>
                  </w:r>
                </w:p>
              </w:tc>
              <w:tc>
                <w:tcPr>
                  <w:tcW w:w="313" w:type="pct"/>
                </w:tcPr>
                <w:p>
                  <w:pPr>
                    <w:pStyle w:val="a13"/>
                    <w:rPr>
                      <w:color w:val="auto"/>
                    </w:rPr>
                  </w:pPr>
                  <w:r>
                    <w:rPr>
                      <w:rFonts w:hint="eastAsia"/>
                      <w:color w:val="auto"/>
                    </w:rPr>
                    <w:t>符合</w:t>
                  </w:r>
                </w:p>
              </w:tc>
            </w:tr>
            <w:tr>
              <w:tblPrEx>
                <w:tblW w:w="5000" w:type="pct"/>
                <w:jc w:val="center"/>
                <w:tblCellMar>
                  <w:top w:w="0" w:type="dxa"/>
                  <w:left w:w="108" w:type="dxa"/>
                  <w:bottom w:w="0" w:type="dxa"/>
                  <w:right w:w="108" w:type="dxa"/>
                </w:tblCellMar>
              </w:tblPrEx>
              <w:trPr>
                <w:jc w:val="center"/>
              </w:trPr>
              <w:tc>
                <w:tcPr>
                  <w:tcW w:w="315" w:type="pct"/>
                  <w:vMerge w:val="restart"/>
                  <w:vAlign w:val="center"/>
                </w:tcPr>
                <w:p>
                  <w:pPr>
                    <w:pStyle w:val="a13"/>
                    <w:rPr>
                      <w:color w:val="auto"/>
                    </w:rPr>
                  </w:pPr>
                  <w:r>
                    <w:rPr>
                      <w:rFonts w:hint="eastAsia"/>
                      <w:color w:val="auto"/>
                    </w:rPr>
                    <w:t>8</w:t>
                  </w:r>
                </w:p>
              </w:tc>
              <w:tc>
                <w:tcPr>
                  <w:tcW w:w="818" w:type="pct"/>
                  <w:vMerge w:val="restart"/>
                  <w:vAlign w:val="center"/>
                </w:tcPr>
                <w:p>
                  <w:pPr>
                    <w:pStyle w:val="a13"/>
                    <w:rPr>
                      <w:color w:val="auto"/>
                    </w:rPr>
                  </w:pPr>
                  <w:r>
                    <w:rPr>
                      <w:rFonts w:hint="eastAsia"/>
                      <w:color w:val="auto"/>
                    </w:rPr>
                    <w:t>关于印发《“十四五”噪声污染防治行动计划》的通知</w:t>
                  </w:r>
                </w:p>
                <w:p>
                  <w:pPr>
                    <w:pStyle w:val="a13"/>
                    <w:rPr>
                      <w:color w:val="auto"/>
                    </w:rPr>
                  </w:pPr>
                  <w:r>
                    <w:rPr>
                      <w:rFonts w:hint="eastAsia"/>
                      <w:color w:val="auto"/>
                    </w:rPr>
                    <w:t>（环大气〔2023〕1号）</w:t>
                  </w:r>
                </w:p>
              </w:tc>
              <w:tc>
                <w:tcPr>
                  <w:tcW w:w="2306" w:type="pct"/>
                  <w:vAlign w:val="center"/>
                </w:tcPr>
                <w:p>
                  <w:pPr>
                    <w:pStyle w:val="a13"/>
                    <w:rPr>
                      <w:color w:val="auto"/>
                    </w:rPr>
                  </w:pPr>
                  <w:r>
                    <w:rPr>
                      <w:rFonts w:hint="eastAsia"/>
                      <w:color w:val="auto"/>
                    </w:rPr>
                    <w:t>15．落实管控责任。修订建设工程施工合同示范文本，明确建设单位、施工单位噪声污染防治责任和任务措施等要求。施工单位编制并落实噪声污染防治工作方案，采取有效隔声降噪设备、设施或施工工艺。鼓励噪声污染防治示范工地分类分级管理，探索从评优评先、资金补贴等方面，推动建筑施工企业加强噪声污染防治。</w:t>
                  </w:r>
                </w:p>
              </w:tc>
              <w:tc>
                <w:tcPr>
                  <w:tcW w:w="1248" w:type="pct"/>
                  <w:vMerge w:val="restart"/>
                  <w:vAlign w:val="center"/>
                </w:tcPr>
                <w:p>
                  <w:pPr>
                    <w:pStyle w:val="a13"/>
                    <w:rPr>
                      <w:color w:val="auto"/>
                    </w:rPr>
                  </w:pPr>
                  <w:r>
                    <w:rPr>
                      <w:rFonts w:hint="eastAsia"/>
                      <w:color w:val="auto"/>
                    </w:rPr>
                    <w:t>本项目施工期间，建设单位应严格落实噪声污染防治措施，采用低噪声设备和减振措施，严格控制施工时间，夜间和其他休息时段禁止施工，严格控制进出场地运输车辆车速，城区禁止鸣笛。</w:t>
                  </w:r>
                </w:p>
              </w:tc>
              <w:tc>
                <w:tcPr>
                  <w:tcW w:w="313" w:type="pct"/>
                  <w:vMerge w:val="restart"/>
                  <w:vAlign w:val="center"/>
                </w:tcPr>
                <w:p>
                  <w:pPr>
                    <w:pStyle w:val="a13"/>
                    <w:rPr>
                      <w:color w:val="auto"/>
                    </w:rPr>
                  </w:pPr>
                  <w:r>
                    <w:rPr>
                      <w:rFonts w:hint="eastAsia"/>
                      <w:color w:val="auto"/>
                    </w:rPr>
                    <w:t>符合</w:t>
                  </w:r>
                </w:p>
              </w:tc>
            </w:tr>
            <w:tr>
              <w:tblPrEx>
                <w:tblW w:w="5000" w:type="pct"/>
                <w:jc w:val="center"/>
                <w:tblCellMar>
                  <w:top w:w="0" w:type="dxa"/>
                  <w:left w:w="108" w:type="dxa"/>
                  <w:bottom w:w="0" w:type="dxa"/>
                  <w:right w:w="108" w:type="dxa"/>
                </w:tblCellMar>
              </w:tblPrEx>
              <w:trPr>
                <w:jc w:val="center"/>
              </w:trPr>
              <w:tc>
                <w:tcPr>
                  <w:tcW w:w="315" w:type="pct"/>
                  <w:vMerge/>
                  <w:vAlign w:val="center"/>
                </w:tcPr>
                <w:p>
                  <w:pPr>
                    <w:pStyle w:val="a13"/>
                    <w:rPr>
                      <w:color w:val="auto"/>
                    </w:rPr>
                  </w:pPr>
                </w:p>
              </w:tc>
              <w:tc>
                <w:tcPr>
                  <w:tcW w:w="818" w:type="pct"/>
                  <w:vMerge/>
                  <w:vAlign w:val="center"/>
                </w:tcPr>
                <w:p>
                  <w:pPr>
                    <w:pStyle w:val="a13"/>
                    <w:rPr>
                      <w:color w:val="auto"/>
                    </w:rPr>
                  </w:pPr>
                </w:p>
              </w:tc>
              <w:tc>
                <w:tcPr>
                  <w:tcW w:w="2306" w:type="pct"/>
                  <w:vAlign w:val="center"/>
                </w:tcPr>
                <w:p>
                  <w:pPr>
                    <w:pStyle w:val="a13"/>
                    <w:spacing w:after="0"/>
                    <w:rPr>
                      <w:color w:val="auto"/>
                    </w:rPr>
                  </w:pPr>
                </w:p>
              </w:tc>
              <w:tc>
                <w:tcPr>
                  <w:tcW w:w="1248" w:type="pct"/>
                  <w:vMerge/>
                  <w:vAlign w:val="center"/>
                </w:tcPr>
                <w:p>
                  <w:pPr>
                    <w:pStyle w:val="a13"/>
                    <w:rPr>
                      <w:color w:val="auto"/>
                    </w:rPr>
                  </w:pPr>
                </w:p>
              </w:tc>
              <w:tc>
                <w:tcPr>
                  <w:tcW w:w="313" w:type="pct"/>
                  <w:vMerge/>
                  <w:vAlign w:val="center"/>
                </w:tcPr>
                <w:p>
                  <w:pPr>
                    <w:pStyle w:val="a13"/>
                    <w:rPr>
                      <w:color w:val="auto"/>
                    </w:rPr>
                  </w:pPr>
                </w:p>
              </w:tc>
            </w:tr>
          </w:tbl>
          <w:p/>
        </w:tc>
      </w:tr>
    </w:tbl>
    <w:p>
      <w:pPr>
        <w:sectPr>
          <w:footerReference w:type="default" r:id="rId12"/>
          <w:type w:val="nextPage"/>
          <w:pgSz w:w="11906" w:h="16838"/>
          <w:pgMar w:top="1701" w:right="1531" w:bottom="1701" w:left="1531" w:header="851" w:footer="1077" w:gutter="0"/>
          <w:pgNumType w:start="7"/>
          <w:cols w:num="1" w:space="720"/>
          <w:titlePg w:val="0"/>
          <w:docGrid w:linePitch="312" w:charSpace="0"/>
        </w:sectPr>
      </w:pPr>
    </w:p>
    <w:tbl>
      <w:tblPr>
        <w:tblStyle w:val="TableGrid6"/>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88"/>
        <w:gridCol w:w="8051"/>
      </w:tblGrid>
      <w:tr>
        <w:tblPrEx>
          <w:tblW w:w="90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10747"/>
          <w:jc w:val="center"/>
        </w:trPr>
        <w:tc>
          <w:tcPr>
            <w:tcW w:w="988" w:type="dxa"/>
          </w:tcPr>
          <w:p/>
        </w:tc>
        <w:tc>
          <w:tcPr>
            <w:tcW w:w="8051" w:type="dxa"/>
          </w:tcPr>
          <w:tbl>
            <w:tblPr>
              <w:tblStyle w:val="TableGrid6"/>
              <w:tblW w:w="5000"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
            <w:tblGrid>
              <w:gridCol w:w="493"/>
              <w:gridCol w:w="1282"/>
              <w:gridCol w:w="3614"/>
              <w:gridCol w:w="1956"/>
              <w:gridCol w:w="490"/>
            </w:tblGrid>
            <w:tr>
              <w:tblPrEx>
                <w:tblW w:w="5000" w:type="pct"/>
                <w:jc w:val="center"/>
                <w:tblBorders>
                  <w:top w:val="single" w:sz="12" w:space="0" w:color="auto"/>
                  <w:left w:val="none" w:sz="0" w:space="0" w:color="auto"/>
                  <w:bottom w:val="single" w:sz="12" w:space="0" w:color="auto"/>
                  <w:right w:val="none" w:sz="0" w:space="0" w:color="auto"/>
                  <w:insideH w:val="single" w:sz="4" w:space="0" w:color="auto"/>
                  <w:insideV w:val="single" w:sz="4" w:space="0" w:color="auto"/>
                </w:tblBorders>
                <w:tblCellMar>
                  <w:top w:w="0" w:type="dxa"/>
                  <w:left w:w="108" w:type="dxa"/>
                  <w:bottom w:w="0" w:type="dxa"/>
                  <w:right w:w="108" w:type="dxa"/>
                </w:tblCellMar>
              </w:tblPrEx>
              <w:trPr>
                <w:jc w:val="center"/>
              </w:trPr>
              <w:tc>
                <w:tcPr>
                  <w:tcW w:w="315" w:type="pct"/>
                  <w:vAlign w:val="center"/>
                </w:tcPr>
                <w:p/>
              </w:tc>
              <w:tc>
                <w:tcPr>
                  <w:tcW w:w="818" w:type="pct"/>
                  <w:vAlign w:val="center"/>
                </w:tcPr>
                <w:p/>
              </w:tc>
              <w:tc>
                <w:tcPr>
                  <w:tcW w:w="2306" w:type="pct"/>
                  <w:vAlign w:val="center"/>
                </w:tcPr>
                <w:p>
                  <w:pPr>
                    <w:pStyle w:val="a13"/>
                    <w:spacing w:before="0"/>
                    <w:rPr>
                      <w:color w:val="auto"/>
                    </w:rPr>
                  </w:pPr>
                  <w:r>
                    <w:rPr>
                      <w:rFonts w:hint="eastAsia"/>
                      <w:color w:val="auto"/>
                    </w:rPr>
                    <w:t>16．加严噪声敏感建筑物集中区域施工要求。噪声敏感建筑物集中区域的施工场地应优先使用低噪声施工工艺和设备，采取减振降噪措施，加强进出场地运输车辆管理；建设单位应根据国家规定设置噪声自动监测系统，与监督管理部门联网。推动地方完善噪声敏感建筑物集中区域夜间施工证明的申报、审核、时限以及施工管理等要求，严格规范夜间施工证明发放。夜间施工单位应依法进行公示公告。</w:t>
                  </w:r>
                </w:p>
              </w:tc>
              <w:tc>
                <w:tcPr>
                  <w:tcW w:w="1248" w:type="pct"/>
                  <w:vAlign w:val="center"/>
                </w:tcPr>
                <w:p/>
              </w:tc>
              <w:tc>
                <w:tcPr>
                  <w:tcW w:w="313" w:type="pct"/>
                  <w:vAlign w:val="center"/>
                </w:tcPr>
                <w:p/>
              </w:tc>
            </w:tr>
            <w:tr>
              <w:tblPrEx>
                <w:tblW w:w="5000" w:type="pct"/>
                <w:jc w:val="center"/>
                <w:tblCellMar>
                  <w:top w:w="0" w:type="dxa"/>
                  <w:left w:w="108" w:type="dxa"/>
                  <w:bottom w:w="0" w:type="dxa"/>
                  <w:right w:w="108" w:type="dxa"/>
                </w:tblCellMar>
              </w:tblPrEx>
              <w:trPr>
                <w:jc w:val="center"/>
              </w:trPr>
              <w:tc>
                <w:tcPr>
                  <w:tcW w:w="315" w:type="pct"/>
                  <w:vAlign w:val="center"/>
                </w:tcPr>
                <w:p>
                  <w:pPr>
                    <w:pStyle w:val="a13"/>
                    <w:rPr>
                      <w:color w:val="auto"/>
                    </w:rPr>
                  </w:pPr>
                  <w:r>
                    <w:rPr>
                      <w:rFonts w:hint="eastAsia"/>
                      <w:color w:val="auto"/>
                    </w:rPr>
                    <w:t>9</w:t>
                  </w:r>
                </w:p>
              </w:tc>
              <w:tc>
                <w:tcPr>
                  <w:tcW w:w="818" w:type="pct"/>
                  <w:vAlign w:val="center"/>
                </w:tcPr>
                <w:p>
                  <w:pPr>
                    <w:pStyle w:val="a13"/>
                    <w:rPr>
                      <w:color w:val="auto"/>
                    </w:rPr>
                  </w:pPr>
                  <w:r>
                    <w:rPr>
                      <w:rFonts w:hint="eastAsia"/>
                      <w:color w:val="auto"/>
                    </w:rPr>
                    <w:t>《陕西省大气污染治理专项行动方案（2</w:t>
                  </w:r>
                  <w:r>
                    <w:rPr>
                      <w:color w:val="auto"/>
                    </w:rPr>
                    <w:t>023-2027</w:t>
                  </w:r>
                  <w:r>
                    <w:rPr>
                      <w:rFonts w:hint="eastAsia"/>
                      <w:color w:val="auto"/>
                    </w:rPr>
                    <w:t>）》（陕发</w:t>
                  </w:r>
                  <w:r>
                    <w:rPr>
                      <w:rFonts w:ascii="宋体" w:hAnsi="宋体" w:hint="eastAsia"/>
                      <w:color w:val="auto"/>
                    </w:rPr>
                    <w:t>〔2</w:t>
                  </w:r>
                  <w:r>
                    <w:rPr>
                      <w:rFonts w:ascii="宋体" w:hAnsi="宋体"/>
                      <w:color w:val="auto"/>
                    </w:rPr>
                    <w:t>023</w:t>
                  </w:r>
                  <w:r>
                    <w:rPr>
                      <w:rFonts w:ascii="宋体" w:hAnsi="宋体" w:hint="eastAsia"/>
                      <w:color w:val="auto"/>
                    </w:rPr>
                    <w:t>〕4号</w:t>
                  </w:r>
                  <w:r>
                    <w:rPr>
                      <w:rFonts w:hint="eastAsia"/>
                      <w:color w:val="auto"/>
                    </w:rPr>
                    <w:t>）</w:t>
                  </w:r>
                </w:p>
              </w:tc>
              <w:tc>
                <w:tcPr>
                  <w:tcW w:w="2306" w:type="pct"/>
                  <w:vAlign w:val="center"/>
                </w:tcPr>
                <w:p>
                  <w:pPr>
                    <w:pStyle w:val="a13"/>
                    <w:rPr>
                      <w:color w:val="auto"/>
                    </w:rPr>
                  </w:pPr>
                  <w:r>
                    <w:rPr>
                      <w:rFonts w:hint="eastAsia"/>
                      <w:color w:val="auto"/>
                    </w:rPr>
                    <w:t>施工场地严格执行“六个百分</w:t>
                  </w:r>
                </w:p>
                <w:p>
                  <w:pPr>
                    <w:pStyle w:val="a13"/>
                    <w:rPr>
                      <w:color w:val="auto"/>
                    </w:rPr>
                  </w:pPr>
                  <w:r>
                    <w:rPr>
                      <w:rFonts w:hint="eastAsia"/>
                      <w:color w:val="auto"/>
                    </w:rPr>
                    <w:t>百”,施工工地扬尘排放超过《施工场界扬尘排放限值</w:t>
                  </w:r>
                </w:p>
                <w:p>
                  <w:pPr>
                    <w:pStyle w:val="a13"/>
                    <w:rPr>
                      <w:color w:val="auto"/>
                    </w:rPr>
                  </w:pPr>
                  <w:r>
                    <w:rPr>
                      <w:rFonts w:hint="eastAsia"/>
                      <w:color w:val="auto"/>
                    </w:rPr>
                    <w:t>(DB61/1078-2017)》的立即停工整改。</w:t>
                  </w:r>
                </w:p>
              </w:tc>
              <w:tc>
                <w:tcPr>
                  <w:tcW w:w="1248" w:type="pct"/>
                  <w:vAlign w:val="center"/>
                </w:tcPr>
                <w:p>
                  <w:pPr>
                    <w:pStyle w:val="a13"/>
                    <w:rPr>
                      <w:color w:val="auto"/>
                    </w:rPr>
                  </w:pPr>
                  <w:r>
                    <w:rPr>
                      <w:rFonts w:hint="eastAsia"/>
                      <w:color w:val="auto"/>
                    </w:rPr>
                    <w:t>本项目施工期严格执行“六个百分百”要求。做到周边围挡，物料堆放覆盖毡布，土方开挖湿法作业，严格要求运输车辆全封闭运输，经过城区时减速慢行，运输车辆必须全部安装定位系统，杜绝超高装载、抛洒泄漏行为。</w:t>
                  </w:r>
                </w:p>
              </w:tc>
              <w:tc>
                <w:tcPr>
                  <w:tcW w:w="313" w:type="pct"/>
                  <w:vAlign w:val="center"/>
                </w:tcPr>
                <w:p>
                  <w:pPr>
                    <w:pStyle w:val="a13"/>
                    <w:jc w:val="both"/>
                    <w:rPr>
                      <w:color w:val="auto"/>
                    </w:rPr>
                  </w:pPr>
                  <w:r>
                    <w:rPr>
                      <w:rFonts w:hint="eastAsia"/>
                      <w:color w:val="auto"/>
                    </w:rPr>
                    <w:t>符合</w:t>
                  </w:r>
                </w:p>
              </w:tc>
            </w:tr>
            <w:tr>
              <w:tblPrEx>
                <w:tblW w:w="5000" w:type="pct"/>
                <w:jc w:val="center"/>
                <w:tblCellMar>
                  <w:top w:w="0" w:type="dxa"/>
                  <w:left w:w="108" w:type="dxa"/>
                  <w:bottom w:w="0" w:type="dxa"/>
                  <w:right w:w="108" w:type="dxa"/>
                </w:tblCellMar>
              </w:tblPrEx>
              <w:trPr>
                <w:jc w:val="center"/>
              </w:trPr>
              <w:tc>
                <w:tcPr>
                  <w:tcW w:w="315" w:type="pct"/>
                  <w:vMerge w:val="restart"/>
                  <w:vAlign w:val="center"/>
                </w:tcPr>
                <w:p>
                  <w:pPr>
                    <w:pStyle w:val="a13"/>
                    <w:rPr>
                      <w:color w:val="auto"/>
                    </w:rPr>
                  </w:pPr>
                  <w:r>
                    <w:rPr>
                      <w:rFonts w:hint="eastAsia"/>
                      <w:color w:val="auto"/>
                    </w:rPr>
                    <w:t>10</w:t>
                  </w:r>
                </w:p>
              </w:tc>
              <w:tc>
                <w:tcPr>
                  <w:tcW w:w="818" w:type="pct"/>
                  <w:vMerge w:val="restart"/>
                  <w:vAlign w:val="center"/>
                </w:tcPr>
                <w:p>
                  <w:pPr>
                    <w:pStyle w:val="a13"/>
                    <w:rPr>
                      <w:color w:val="auto"/>
                    </w:rPr>
                  </w:pPr>
                  <w:r>
                    <w:rPr>
                      <w:rFonts w:hint="eastAsia"/>
                      <w:color w:val="auto"/>
                    </w:rPr>
                    <w:t>《延安市国民经济和社会发展第十四个五年规划和二〇三五年远景目标纲要》延政发〔2021〕4 号</w:t>
                  </w:r>
                </w:p>
              </w:tc>
              <w:tc>
                <w:tcPr>
                  <w:tcW w:w="2306" w:type="pct"/>
                  <w:vAlign w:val="center"/>
                </w:tcPr>
                <w:p>
                  <w:pPr>
                    <w:pStyle w:val="a13"/>
                    <w:rPr>
                      <w:color w:val="auto"/>
                    </w:rPr>
                  </w:pPr>
                  <w:r>
                    <w:rPr>
                      <w:rFonts w:hint="eastAsia"/>
                      <w:color w:val="auto"/>
                    </w:rPr>
                    <w:t>县城重点项目。重点实施城市“双修双改”、老旧小区改造、雨污分流排水防涝、城市绿化、城市主干道、过境道路、文化健身广场、智慧停车场、智能充电桩、客运站等项目。</w:t>
                  </w:r>
                </w:p>
              </w:tc>
              <w:tc>
                <w:tcPr>
                  <w:tcW w:w="1248" w:type="pct"/>
                  <w:vAlign w:val="center"/>
                </w:tcPr>
                <w:p>
                  <w:pPr>
                    <w:pStyle w:val="a13"/>
                    <w:rPr>
                      <w:color w:val="auto"/>
                    </w:rPr>
                  </w:pPr>
                  <w:r>
                    <w:rPr>
                      <w:rFonts w:hint="eastAsia"/>
                      <w:color w:val="auto"/>
                    </w:rPr>
                    <w:t>本项目属于雨污分流排水防涝工程。</w:t>
                  </w:r>
                </w:p>
              </w:tc>
              <w:tc>
                <w:tcPr>
                  <w:tcW w:w="313" w:type="pct"/>
                  <w:vAlign w:val="center"/>
                </w:tcPr>
                <w:p>
                  <w:pPr>
                    <w:pStyle w:val="a13"/>
                    <w:rPr>
                      <w:color w:val="auto"/>
                    </w:rPr>
                  </w:pPr>
                  <w:r>
                    <w:rPr>
                      <w:rFonts w:hint="eastAsia"/>
                      <w:color w:val="auto"/>
                    </w:rPr>
                    <w:t>符合</w:t>
                  </w:r>
                </w:p>
              </w:tc>
            </w:tr>
            <w:tr>
              <w:tblPrEx>
                <w:tblW w:w="5000" w:type="pct"/>
                <w:jc w:val="center"/>
                <w:tblCellMar>
                  <w:top w:w="0" w:type="dxa"/>
                  <w:left w:w="108" w:type="dxa"/>
                  <w:bottom w:w="0" w:type="dxa"/>
                  <w:right w:w="108" w:type="dxa"/>
                </w:tblCellMar>
              </w:tblPrEx>
              <w:trPr>
                <w:jc w:val="center"/>
              </w:trPr>
              <w:tc>
                <w:tcPr>
                  <w:tcW w:w="315" w:type="pct"/>
                  <w:vMerge/>
                  <w:vAlign w:val="center"/>
                </w:tcPr>
                <w:p>
                  <w:pPr>
                    <w:pStyle w:val="a13"/>
                    <w:rPr>
                      <w:color w:val="auto"/>
                    </w:rPr>
                  </w:pPr>
                </w:p>
              </w:tc>
              <w:tc>
                <w:tcPr>
                  <w:tcW w:w="818" w:type="pct"/>
                  <w:vMerge/>
                  <w:vAlign w:val="center"/>
                </w:tcPr>
                <w:p>
                  <w:pPr>
                    <w:pStyle w:val="a13"/>
                    <w:rPr>
                      <w:color w:val="auto"/>
                    </w:rPr>
                  </w:pPr>
                </w:p>
              </w:tc>
              <w:tc>
                <w:tcPr>
                  <w:tcW w:w="2306" w:type="pct"/>
                  <w:vAlign w:val="center"/>
                </w:tcPr>
                <w:p>
                  <w:pPr>
                    <w:pStyle w:val="a13"/>
                    <w:rPr>
                      <w:color w:val="auto"/>
                    </w:rPr>
                  </w:pPr>
                  <w:r>
                    <w:rPr>
                      <w:rFonts w:hint="eastAsia"/>
                      <w:color w:val="auto"/>
                    </w:rPr>
                    <w:t>保护生物多样性，全面加强华北豹、褐马鸡、原麝等珍稀野生动物栖息地和柴松、崖柏等珍稀野生植物保护。强化延河、北洛河、云岩河、秀延河等河流源头和水库保护区分级管理。</w:t>
                  </w:r>
                </w:p>
              </w:tc>
              <w:tc>
                <w:tcPr>
                  <w:tcW w:w="1248" w:type="pct"/>
                  <w:vAlign w:val="center"/>
                </w:tcPr>
                <w:p>
                  <w:pPr>
                    <w:pStyle w:val="a13"/>
                    <w:rPr>
                      <w:color w:val="auto"/>
                    </w:rPr>
                  </w:pPr>
                  <w:r>
                    <w:rPr>
                      <w:rFonts w:hint="eastAsia"/>
                      <w:color w:val="auto"/>
                    </w:rPr>
                    <w:t>本项目位于安塞城区，未见珍稀野生动植物。</w:t>
                  </w:r>
                </w:p>
              </w:tc>
              <w:tc>
                <w:tcPr>
                  <w:tcW w:w="313" w:type="pct"/>
                  <w:vAlign w:val="center"/>
                </w:tcPr>
                <w:p>
                  <w:pPr>
                    <w:pStyle w:val="a13"/>
                    <w:rPr>
                      <w:color w:val="auto"/>
                    </w:rPr>
                  </w:pPr>
                  <w:r>
                    <w:rPr>
                      <w:rFonts w:hint="eastAsia"/>
                      <w:color w:val="auto"/>
                    </w:rPr>
                    <w:t>符合</w:t>
                  </w:r>
                </w:p>
              </w:tc>
            </w:tr>
            <w:tr>
              <w:tblPrEx>
                <w:tblW w:w="5000" w:type="pct"/>
                <w:jc w:val="center"/>
                <w:tblCellMar>
                  <w:top w:w="0" w:type="dxa"/>
                  <w:left w:w="108" w:type="dxa"/>
                  <w:bottom w:w="0" w:type="dxa"/>
                  <w:right w:w="108" w:type="dxa"/>
                </w:tblCellMar>
              </w:tblPrEx>
              <w:trPr>
                <w:jc w:val="center"/>
              </w:trPr>
              <w:tc>
                <w:tcPr>
                  <w:tcW w:w="315" w:type="pct"/>
                  <w:vMerge w:val="restart"/>
                  <w:vAlign w:val="center"/>
                </w:tcPr>
                <w:p>
                  <w:pPr>
                    <w:pStyle w:val="a13"/>
                    <w:rPr>
                      <w:color w:val="auto"/>
                    </w:rPr>
                  </w:pPr>
                  <w:r>
                    <w:rPr>
                      <w:color w:val="auto"/>
                    </w:rPr>
                    <w:t>1</w:t>
                  </w:r>
                  <w:r>
                    <w:rPr>
                      <w:rFonts w:hint="eastAsia"/>
                      <w:color w:val="auto"/>
                    </w:rPr>
                    <w:t>1</w:t>
                  </w:r>
                </w:p>
              </w:tc>
              <w:tc>
                <w:tcPr>
                  <w:tcW w:w="818" w:type="pct"/>
                  <w:vMerge w:val="restart"/>
                  <w:vAlign w:val="center"/>
                </w:tcPr>
                <w:p>
                  <w:pPr>
                    <w:pStyle w:val="a13"/>
                    <w:rPr>
                      <w:color w:val="auto"/>
                    </w:rPr>
                  </w:pPr>
                  <w:r>
                    <w:rPr>
                      <w:rFonts w:hint="eastAsia"/>
                      <w:color w:val="auto"/>
                    </w:rPr>
                    <w:t>《延安市大气污染防治三年行动方案（2022-2024年）》</w:t>
                  </w:r>
                </w:p>
              </w:tc>
              <w:tc>
                <w:tcPr>
                  <w:tcW w:w="2306" w:type="pct"/>
                  <w:vAlign w:val="center"/>
                </w:tcPr>
                <w:p>
                  <w:pPr>
                    <w:pStyle w:val="a13"/>
                    <w:rPr>
                      <w:color w:val="auto"/>
                    </w:rPr>
                  </w:pPr>
                  <w:r>
                    <w:rPr>
                      <w:rFonts w:hint="eastAsia"/>
                      <w:color w:val="auto"/>
                    </w:rPr>
                    <w:t>4.强化施工扬尘治理。严格落实施工工地“六个百分之百”治理要求。推进“互联网+”扬尘监管模式，健全完善全市扬尘在线管控平台，全面消除扬尘治理工作盲区。</w:t>
                  </w:r>
                </w:p>
              </w:tc>
              <w:tc>
                <w:tcPr>
                  <w:tcW w:w="1248" w:type="pct"/>
                  <w:vMerge w:val="restart"/>
                  <w:vAlign w:val="center"/>
                </w:tcPr>
                <w:p>
                  <w:pPr>
                    <w:pStyle w:val="a13"/>
                    <w:rPr>
                      <w:color w:val="auto"/>
                    </w:rPr>
                  </w:pPr>
                  <w:r>
                    <w:rPr>
                      <w:rFonts w:hint="eastAsia"/>
                      <w:color w:val="auto"/>
                    </w:rPr>
                    <w:t>本项目施工期严格执行“六个百分百”要求。做到周边围挡，物料堆放覆盖毡布，土方开挖湿法作业，严格要求运输车辆全封闭运输，经过城区时减速慢行，运输车辆必须全部安装定位系统，杜绝超高装载、抛洒泄漏行为。</w:t>
                  </w:r>
                </w:p>
              </w:tc>
              <w:tc>
                <w:tcPr>
                  <w:tcW w:w="313" w:type="pct"/>
                  <w:vMerge w:val="restart"/>
                  <w:vAlign w:val="center"/>
                </w:tcPr>
                <w:p>
                  <w:pPr>
                    <w:pStyle w:val="a13"/>
                    <w:rPr>
                      <w:color w:val="auto"/>
                    </w:rPr>
                  </w:pPr>
                  <w:r>
                    <w:rPr>
                      <w:rFonts w:hint="eastAsia"/>
                      <w:color w:val="auto"/>
                    </w:rPr>
                    <w:t>符合</w:t>
                  </w:r>
                </w:p>
              </w:tc>
            </w:tr>
            <w:tr>
              <w:tblPrEx>
                <w:tblW w:w="5000" w:type="pct"/>
                <w:jc w:val="center"/>
                <w:tblCellMar>
                  <w:top w:w="0" w:type="dxa"/>
                  <w:left w:w="108" w:type="dxa"/>
                  <w:bottom w:w="0" w:type="dxa"/>
                  <w:right w:w="108" w:type="dxa"/>
                </w:tblCellMar>
              </w:tblPrEx>
              <w:trPr>
                <w:jc w:val="center"/>
              </w:trPr>
              <w:tc>
                <w:tcPr>
                  <w:tcW w:w="315" w:type="pct"/>
                  <w:vMerge/>
                  <w:vAlign w:val="center"/>
                </w:tcPr>
                <w:p>
                  <w:pPr>
                    <w:pStyle w:val="a13"/>
                    <w:rPr>
                      <w:color w:val="auto"/>
                    </w:rPr>
                  </w:pPr>
                </w:p>
              </w:tc>
              <w:tc>
                <w:tcPr>
                  <w:tcW w:w="818" w:type="pct"/>
                  <w:vMerge/>
                  <w:vAlign w:val="center"/>
                </w:tcPr>
                <w:p>
                  <w:pPr>
                    <w:pStyle w:val="a13"/>
                    <w:rPr>
                      <w:color w:val="auto"/>
                    </w:rPr>
                  </w:pPr>
                </w:p>
              </w:tc>
              <w:tc>
                <w:tcPr>
                  <w:tcW w:w="2306" w:type="pct"/>
                  <w:vAlign w:val="center"/>
                </w:tcPr>
                <w:p>
                  <w:pPr>
                    <w:pStyle w:val="a13"/>
                    <w:rPr>
                      <w:color w:val="auto"/>
                    </w:rPr>
                  </w:pPr>
                  <w:r>
                    <w:rPr>
                      <w:rFonts w:hint="eastAsia"/>
                      <w:color w:val="auto"/>
                    </w:rPr>
                    <w:t>5</w:t>
                  </w:r>
                  <w:r>
                    <w:rPr>
                      <w:color w:val="auto"/>
                    </w:rPr>
                    <w:t>.</w:t>
                  </w:r>
                  <w:r>
                    <w:rPr>
                      <w:rFonts w:hint="eastAsia"/>
                      <w:color w:val="auto"/>
                    </w:rPr>
                    <w:t>做好拆迁扬尘治理。严格按照“先喷淋后拆除，拆除过程持续喷淋全覆盖”的原则，进行拆迁作业。城郊拆迁作业采取四面雾炮喷淋降尘措施，主城区拆迁作业采取提前72小时渗透、四面雾炮喷淋降尘措施，人口密集区及主干道临街区域要设置全封闭围挡，围挡高度不低于2.5米，并覆盖防尘网。</w:t>
                  </w:r>
                </w:p>
              </w:tc>
              <w:tc>
                <w:tcPr>
                  <w:tcW w:w="1248" w:type="pct"/>
                  <w:vMerge/>
                  <w:vAlign w:val="center"/>
                </w:tcPr>
                <w:p>
                  <w:pPr>
                    <w:pStyle w:val="a13"/>
                    <w:rPr>
                      <w:color w:val="auto"/>
                    </w:rPr>
                  </w:pPr>
                </w:p>
              </w:tc>
              <w:tc>
                <w:tcPr>
                  <w:tcW w:w="313" w:type="pct"/>
                  <w:vMerge/>
                  <w:vAlign w:val="center"/>
                </w:tcPr>
                <w:p>
                  <w:pPr>
                    <w:pStyle w:val="a13"/>
                    <w:rPr>
                      <w:color w:val="auto"/>
                    </w:rPr>
                  </w:pPr>
                </w:p>
              </w:tc>
            </w:tr>
            <w:tr>
              <w:tblPrEx>
                <w:tblW w:w="5000" w:type="pct"/>
                <w:jc w:val="center"/>
                <w:tblCellMar>
                  <w:top w:w="0" w:type="dxa"/>
                  <w:left w:w="108" w:type="dxa"/>
                  <w:bottom w:w="0" w:type="dxa"/>
                  <w:right w:w="108" w:type="dxa"/>
                </w:tblCellMar>
              </w:tblPrEx>
              <w:trPr>
                <w:jc w:val="center"/>
              </w:trPr>
              <w:tc>
                <w:tcPr>
                  <w:tcW w:w="315" w:type="pct"/>
                  <w:vMerge/>
                  <w:vAlign w:val="center"/>
                </w:tcPr>
                <w:p>
                  <w:pPr>
                    <w:pStyle w:val="a13"/>
                    <w:rPr>
                      <w:color w:val="auto"/>
                    </w:rPr>
                  </w:pPr>
                </w:p>
              </w:tc>
              <w:tc>
                <w:tcPr>
                  <w:tcW w:w="818" w:type="pct"/>
                  <w:vMerge/>
                  <w:vAlign w:val="center"/>
                </w:tcPr>
                <w:p>
                  <w:pPr>
                    <w:pStyle w:val="a13"/>
                    <w:rPr>
                      <w:color w:val="auto"/>
                    </w:rPr>
                  </w:pPr>
                </w:p>
              </w:tc>
              <w:tc>
                <w:tcPr>
                  <w:tcW w:w="2306" w:type="pct"/>
                  <w:vAlign w:val="center"/>
                </w:tcPr>
                <w:p>
                  <w:pPr>
                    <w:pStyle w:val="a13"/>
                    <w:spacing w:after="0"/>
                    <w:rPr>
                      <w:color w:val="auto"/>
                    </w:rPr>
                  </w:pPr>
                </w:p>
              </w:tc>
              <w:tc>
                <w:tcPr>
                  <w:tcW w:w="1248" w:type="pct"/>
                  <w:vMerge/>
                  <w:vAlign w:val="center"/>
                </w:tcPr>
                <w:p>
                  <w:pPr>
                    <w:pStyle w:val="a13"/>
                    <w:rPr>
                      <w:color w:val="auto"/>
                    </w:rPr>
                  </w:pPr>
                </w:p>
              </w:tc>
              <w:tc>
                <w:tcPr>
                  <w:tcW w:w="313" w:type="pct"/>
                  <w:vMerge/>
                  <w:vAlign w:val="center"/>
                </w:tcPr>
                <w:p>
                  <w:pPr>
                    <w:pStyle w:val="a13"/>
                    <w:rPr>
                      <w:color w:val="auto"/>
                    </w:rPr>
                  </w:pPr>
                </w:p>
              </w:tc>
            </w:tr>
          </w:tbl>
          <w:p/>
        </w:tc>
      </w:tr>
    </w:tbl>
    <w:p>
      <w:r>
        <w:br/>
      </w:r>
      <w: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https://d.book118.com/966020210001010103</w:t>
        </w:r>
      </w:hyperlink>
    </w:p>
    <w:p/>
    <w:sectPr>
      <w:footerReference w:type="default" r:id="rId14"/>
      <w:type w:val="nextPage"/>
      <w:pgSz w:w="11906" w:h="16838"/>
      <w:pgMar w:top="1701" w:right="1531" w:bottom="1701" w:left="1531" w:header="851" w:footer="1077" w:gutter="0"/>
      <w:pgNumType w:start="8"/>
      <w:cols w:num="1" w:space="720"/>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1"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ind w:firstLine="560"/>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szCs w:val="20"/>
      </w:rPr>
      <w:t xml:space="preserve">  </w:t>
    </w:r>
    <w:r>
      <w:rPr>
        <w:rStyle w:val="PageNumber"/>
        <w:rFonts w:ascii="宋体" w:hAnsi="宋体"/>
        <w:sz w:val="26"/>
        <w:szCs w:val="26"/>
      </w:rPr>
      <w:fldChar w:fldCharType="begin"/>
    </w:r>
    <w:r>
      <w:rPr>
        <w:rStyle w:val="PageNumber"/>
        <w:rFonts w:ascii="宋体" w:hAnsi="宋体"/>
        <w:sz w:val="26"/>
        <w:szCs w:val="26"/>
      </w:rPr>
      <w:instrText xml:space="preserve">PAGE  </w:instrText>
    </w:r>
    <w:r>
      <w:rPr>
        <w:rStyle w:val="PageNumber"/>
        <w:rFonts w:ascii="宋体" w:hAnsi="宋体"/>
        <w:sz w:val="26"/>
        <w:szCs w:val="26"/>
      </w:rPr>
      <w:fldChar w:fldCharType="separate"/>
    </w:r>
    <w:r>
      <w:rPr>
        <w:rStyle w:val="PageNumber"/>
        <w:rFonts w:ascii="宋体" w:hAnsi="宋体"/>
        <w:sz w:val="26"/>
        <w:szCs w:val="26"/>
      </w:rPr>
      <w:t>1</w:t>
    </w:r>
    <w:r>
      <w:rPr>
        <w:rStyle w:val="PageNumber"/>
        <w:rFonts w:ascii="宋体" w:hAnsi="宋体"/>
        <w:sz w:val="26"/>
        <w:szCs w:val="26"/>
      </w:rPr>
      <w:fldChar w:fldCharType="end"/>
    </w:r>
    <w:r>
      <w:rPr>
        <w:rStyle w:val="PageNumber"/>
        <w:rFonts w:ascii="宋体" w:hAnsi="宋体" w:hint="eastAsia"/>
        <w:sz w:val="20"/>
        <w:szCs w:val="20"/>
      </w:rPr>
      <w:t xml:space="preserve">  </w:t>
    </w:r>
    <w:r>
      <w:rPr>
        <w:rStyle w:val="PageNumber"/>
        <w:rFonts w:ascii="宋体" w:hAnsi="宋体" w:hint="eastAsia"/>
        <w:sz w:val="28"/>
        <w:szCs w:val="28"/>
      </w:rPr>
      <w:t>—</w:t>
    </w:r>
  </w:p>
  <w:p>
    <w:pPr>
      <w:pStyle w:val="Footer"/>
      <w:ind w:right="360" w:firstLine="360"/>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ind w:firstLine="560"/>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szCs w:val="20"/>
      </w:rPr>
      <w:t xml:space="preserve">  </w:t>
    </w:r>
    <w:r>
      <w:rPr>
        <w:rStyle w:val="PageNumber"/>
        <w:rFonts w:ascii="宋体" w:hAnsi="宋体"/>
        <w:sz w:val="26"/>
        <w:szCs w:val="26"/>
      </w:rPr>
      <w:fldChar w:fldCharType="begin"/>
    </w:r>
    <w:r>
      <w:rPr>
        <w:rStyle w:val="PageNumber"/>
        <w:rFonts w:ascii="宋体" w:hAnsi="宋体"/>
        <w:sz w:val="26"/>
        <w:szCs w:val="26"/>
      </w:rPr>
      <w:instrText xml:space="preserve">PAGE  </w:instrText>
    </w:r>
    <w:r>
      <w:rPr>
        <w:rStyle w:val="PageNumber"/>
        <w:rFonts w:ascii="宋体" w:hAnsi="宋体"/>
        <w:sz w:val="26"/>
        <w:szCs w:val="26"/>
      </w:rPr>
      <w:fldChar w:fldCharType="separate"/>
    </w:r>
    <w:r>
      <w:rPr>
        <w:rStyle w:val="PageNumber"/>
        <w:rFonts w:ascii="宋体" w:hAnsi="宋体"/>
        <w:sz w:val="26"/>
        <w:szCs w:val="26"/>
      </w:rPr>
      <w:t>2</w:t>
    </w:r>
    <w:r>
      <w:rPr>
        <w:rStyle w:val="PageNumber"/>
        <w:rFonts w:ascii="宋体" w:hAnsi="宋体"/>
        <w:sz w:val="26"/>
        <w:szCs w:val="26"/>
      </w:rPr>
      <w:fldChar w:fldCharType="end"/>
    </w:r>
    <w:r>
      <w:rPr>
        <w:rStyle w:val="PageNumber"/>
        <w:rFonts w:ascii="宋体" w:hAnsi="宋体" w:hint="eastAsia"/>
        <w:sz w:val="20"/>
        <w:szCs w:val="20"/>
      </w:rPr>
      <w:t xml:space="preserve">  </w:t>
    </w:r>
    <w:r>
      <w:rPr>
        <w:rStyle w:val="PageNumber"/>
        <w:rFonts w:ascii="宋体" w:hAnsi="宋体" w:hint="eastAsia"/>
        <w:sz w:val="28"/>
        <w:szCs w:val="28"/>
      </w:rPr>
      <w:t>—</w:t>
    </w:r>
  </w:p>
  <w:p>
    <w:pPr>
      <w:pStyle w:val="Footer"/>
      <w:ind w:right="360" w:firstLine="360"/>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ind w:firstLine="560"/>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szCs w:val="20"/>
      </w:rPr>
      <w:t xml:space="preserve">  </w:t>
    </w:r>
    <w:r>
      <w:rPr>
        <w:rStyle w:val="PageNumber"/>
        <w:rFonts w:ascii="宋体" w:hAnsi="宋体"/>
        <w:sz w:val="26"/>
        <w:szCs w:val="26"/>
      </w:rPr>
      <w:fldChar w:fldCharType="begin"/>
    </w:r>
    <w:r>
      <w:rPr>
        <w:rStyle w:val="PageNumber"/>
        <w:rFonts w:ascii="宋体" w:hAnsi="宋体"/>
        <w:sz w:val="26"/>
        <w:szCs w:val="26"/>
      </w:rPr>
      <w:instrText xml:space="preserve">PAGE  </w:instrText>
    </w:r>
    <w:r>
      <w:rPr>
        <w:rStyle w:val="PageNumber"/>
        <w:rFonts w:ascii="宋体" w:hAnsi="宋体"/>
        <w:sz w:val="26"/>
        <w:szCs w:val="26"/>
      </w:rPr>
      <w:fldChar w:fldCharType="separate"/>
    </w:r>
    <w:r>
      <w:rPr>
        <w:rStyle w:val="PageNumber"/>
        <w:rFonts w:ascii="宋体" w:hAnsi="宋体"/>
        <w:sz w:val="26"/>
        <w:szCs w:val="26"/>
      </w:rPr>
      <w:t>4</w:t>
    </w:r>
    <w:r>
      <w:rPr>
        <w:rStyle w:val="PageNumber"/>
        <w:rFonts w:ascii="宋体" w:hAnsi="宋体"/>
        <w:sz w:val="26"/>
        <w:szCs w:val="26"/>
      </w:rPr>
      <w:fldChar w:fldCharType="end"/>
    </w:r>
    <w:r>
      <w:rPr>
        <w:rStyle w:val="PageNumber"/>
        <w:rFonts w:ascii="宋体" w:hAnsi="宋体" w:hint="eastAsia"/>
        <w:sz w:val="20"/>
        <w:szCs w:val="20"/>
      </w:rPr>
      <w:t xml:space="preserve">  </w:t>
    </w:r>
    <w:r>
      <w:rPr>
        <w:rStyle w:val="PageNumber"/>
        <w:rFonts w:ascii="宋体" w:hAnsi="宋体" w:hint="eastAsia"/>
        <w:sz w:val="28"/>
        <w:szCs w:val="28"/>
      </w:rPr>
      <w:t>—</w:t>
    </w:r>
  </w:p>
  <w:p>
    <w:pPr>
      <w:pStyle w:val="Footer"/>
      <w:ind w:right="360" w:firstLine="360"/>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ind w:firstLine="560"/>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szCs w:val="20"/>
      </w:rPr>
      <w:t xml:space="preserve">  </w:t>
    </w:r>
    <w:r>
      <w:rPr>
        <w:rStyle w:val="PageNumber"/>
        <w:rFonts w:ascii="宋体" w:hAnsi="宋体"/>
        <w:sz w:val="26"/>
        <w:szCs w:val="26"/>
      </w:rPr>
      <w:fldChar w:fldCharType="begin"/>
    </w:r>
    <w:r>
      <w:rPr>
        <w:rStyle w:val="PageNumber"/>
        <w:rFonts w:ascii="宋体" w:hAnsi="宋体"/>
        <w:sz w:val="26"/>
        <w:szCs w:val="26"/>
      </w:rPr>
      <w:instrText xml:space="preserve">PAGE  </w:instrText>
    </w:r>
    <w:r>
      <w:rPr>
        <w:rStyle w:val="PageNumber"/>
        <w:rFonts w:ascii="宋体" w:hAnsi="宋体"/>
        <w:sz w:val="26"/>
        <w:szCs w:val="26"/>
      </w:rPr>
      <w:fldChar w:fldCharType="separate"/>
    </w:r>
    <w:r>
      <w:rPr>
        <w:rStyle w:val="PageNumber"/>
        <w:rFonts w:ascii="宋体" w:hAnsi="宋体"/>
        <w:sz w:val="26"/>
        <w:szCs w:val="26"/>
      </w:rPr>
      <w:t>4</w:t>
    </w:r>
    <w:r>
      <w:rPr>
        <w:rStyle w:val="PageNumber"/>
        <w:rFonts w:ascii="宋体" w:hAnsi="宋体"/>
        <w:sz w:val="26"/>
        <w:szCs w:val="26"/>
      </w:rPr>
      <w:fldChar w:fldCharType="end"/>
    </w:r>
    <w:r>
      <w:rPr>
        <w:rStyle w:val="PageNumber"/>
        <w:rFonts w:ascii="宋体" w:hAnsi="宋体" w:hint="eastAsia"/>
        <w:sz w:val="20"/>
        <w:szCs w:val="20"/>
      </w:rPr>
      <w:t xml:space="preserve">  </w:t>
    </w:r>
    <w:r>
      <w:rPr>
        <w:rStyle w:val="PageNumber"/>
        <w:rFonts w:ascii="宋体" w:hAnsi="宋体" w:hint="eastAsia"/>
        <w:sz w:val="28"/>
        <w:szCs w:val="28"/>
      </w:rPr>
      <w:t>—</w:t>
    </w:r>
  </w:p>
  <w:p>
    <w:pPr>
      <w:pStyle w:val="Footer"/>
      <w:ind w:right="360" w:firstLine="36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ind w:firstLine="560"/>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szCs w:val="20"/>
      </w:rPr>
      <w:t xml:space="preserve">  </w:t>
    </w:r>
    <w:r>
      <w:rPr>
        <w:rStyle w:val="PageNumber"/>
        <w:rFonts w:ascii="宋体" w:hAnsi="宋体"/>
        <w:sz w:val="26"/>
        <w:szCs w:val="26"/>
      </w:rPr>
      <w:fldChar w:fldCharType="begin"/>
    </w:r>
    <w:r>
      <w:rPr>
        <w:rStyle w:val="PageNumber"/>
        <w:rFonts w:ascii="宋体" w:hAnsi="宋体"/>
        <w:sz w:val="26"/>
        <w:szCs w:val="26"/>
      </w:rPr>
      <w:instrText xml:space="preserve">PAGE  </w:instrText>
    </w:r>
    <w:r>
      <w:rPr>
        <w:rStyle w:val="PageNumber"/>
        <w:rFonts w:ascii="宋体" w:hAnsi="宋体"/>
        <w:sz w:val="26"/>
        <w:szCs w:val="26"/>
      </w:rPr>
      <w:fldChar w:fldCharType="separate"/>
    </w:r>
    <w:r>
      <w:rPr>
        <w:rStyle w:val="PageNumber"/>
        <w:rFonts w:ascii="宋体" w:hAnsi="宋体"/>
        <w:sz w:val="26"/>
        <w:szCs w:val="26"/>
      </w:rPr>
      <w:t>5</w:t>
    </w:r>
    <w:r>
      <w:rPr>
        <w:rStyle w:val="PageNumber"/>
        <w:rFonts w:ascii="宋体" w:hAnsi="宋体"/>
        <w:sz w:val="26"/>
        <w:szCs w:val="26"/>
      </w:rPr>
      <w:fldChar w:fldCharType="end"/>
    </w:r>
    <w:r>
      <w:rPr>
        <w:rStyle w:val="PageNumber"/>
        <w:rFonts w:ascii="宋体" w:hAnsi="宋体" w:hint="eastAsia"/>
        <w:sz w:val="20"/>
        <w:szCs w:val="20"/>
      </w:rPr>
      <w:t xml:space="preserve">  </w:t>
    </w:r>
    <w:r>
      <w:rPr>
        <w:rStyle w:val="PageNumber"/>
        <w:rFonts w:ascii="宋体" w:hAnsi="宋体" w:hint="eastAsia"/>
        <w:sz w:val="28"/>
        <w:szCs w:val="28"/>
      </w:rPr>
      <w:t>—</w:t>
    </w:r>
  </w:p>
  <w:p>
    <w:pPr>
      <w:pStyle w:val="Footer"/>
      <w:ind w:right="360" w:firstLine="360"/>
      <w:jc w:val="cen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ind w:firstLine="560"/>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szCs w:val="20"/>
      </w:rPr>
      <w:t xml:space="preserve">  </w:t>
    </w:r>
    <w:r>
      <w:rPr>
        <w:rStyle w:val="PageNumber"/>
        <w:rFonts w:ascii="宋体" w:hAnsi="宋体"/>
        <w:sz w:val="26"/>
        <w:szCs w:val="26"/>
      </w:rPr>
      <w:fldChar w:fldCharType="begin"/>
    </w:r>
    <w:r>
      <w:rPr>
        <w:rStyle w:val="PageNumber"/>
        <w:rFonts w:ascii="宋体" w:hAnsi="宋体"/>
        <w:sz w:val="26"/>
        <w:szCs w:val="26"/>
      </w:rPr>
      <w:instrText xml:space="preserve">PAGE  </w:instrText>
    </w:r>
    <w:r>
      <w:rPr>
        <w:rStyle w:val="PageNumber"/>
        <w:rFonts w:ascii="宋体" w:hAnsi="宋体"/>
        <w:sz w:val="26"/>
        <w:szCs w:val="26"/>
      </w:rPr>
      <w:fldChar w:fldCharType="separate"/>
    </w:r>
    <w:r>
      <w:rPr>
        <w:rStyle w:val="PageNumber"/>
        <w:rFonts w:ascii="宋体" w:hAnsi="宋体"/>
        <w:sz w:val="26"/>
        <w:szCs w:val="26"/>
      </w:rPr>
      <w:t>6</w:t>
    </w:r>
    <w:r>
      <w:rPr>
        <w:rStyle w:val="PageNumber"/>
        <w:rFonts w:ascii="宋体" w:hAnsi="宋体"/>
        <w:sz w:val="26"/>
        <w:szCs w:val="26"/>
      </w:rPr>
      <w:fldChar w:fldCharType="end"/>
    </w:r>
    <w:r>
      <w:rPr>
        <w:rStyle w:val="PageNumber"/>
        <w:rFonts w:ascii="宋体" w:hAnsi="宋体" w:hint="eastAsia"/>
        <w:sz w:val="20"/>
        <w:szCs w:val="20"/>
      </w:rPr>
      <w:t xml:space="preserve">  </w:t>
    </w:r>
    <w:r>
      <w:rPr>
        <w:rStyle w:val="PageNumber"/>
        <w:rFonts w:ascii="宋体" w:hAnsi="宋体" w:hint="eastAsia"/>
        <w:sz w:val="28"/>
        <w:szCs w:val="28"/>
      </w:rPr>
      <w:t>—</w:t>
    </w:r>
  </w:p>
  <w:p>
    <w:pPr>
      <w:pStyle w:val="Footer"/>
      <w:ind w:right="360" w:firstLine="360"/>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ind w:firstLine="560"/>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szCs w:val="20"/>
      </w:rPr>
      <w:t xml:space="preserve">  </w:t>
    </w:r>
    <w:r>
      <w:rPr>
        <w:rStyle w:val="PageNumber"/>
        <w:rFonts w:ascii="宋体" w:hAnsi="宋体"/>
        <w:sz w:val="26"/>
        <w:szCs w:val="26"/>
      </w:rPr>
      <w:fldChar w:fldCharType="begin"/>
    </w:r>
    <w:r>
      <w:rPr>
        <w:rStyle w:val="PageNumber"/>
        <w:rFonts w:ascii="宋体" w:hAnsi="宋体"/>
        <w:sz w:val="26"/>
        <w:szCs w:val="26"/>
      </w:rPr>
      <w:instrText xml:space="preserve">PAGE  </w:instrText>
    </w:r>
    <w:r>
      <w:rPr>
        <w:rStyle w:val="PageNumber"/>
        <w:rFonts w:ascii="宋体" w:hAnsi="宋体"/>
        <w:sz w:val="26"/>
        <w:szCs w:val="26"/>
      </w:rPr>
      <w:fldChar w:fldCharType="separate"/>
    </w:r>
    <w:r>
      <w:rPr>
        <w:rStyle w:val="PageNumber"/>
        <w:rFonts w:ascii="宋体" w:hAnsi="宋体"/>
        <w:sz w:val="26"/>
        <w:szCs w:val="26"/>
      </w:rPr>
      <w:t>8</w:t>
    </w:r>
    <w:r>
      <w:rPr>
        <w:rStyle w:val="PageNumber"/>
        <w:rFonts w:ascii="宋体" w:hAnsi="宋体"/>
        <w:sz w:val="26"/>
        <w:szCs w:val="26"/>
      </w:rPr>
      <w:fldChar w:fldCharType="end"/>
    </w:r>
    <w:r>
      <w:rPr>
        <w:rStyle w:val="PageNumber"/>
        <w:rFonts w:ascii="宋体" w:hAnsi="宋体" w:hint="eastAsia"/>
        <w:sz w:val="20"/>
        <w:szCs w:val="20"/>
      </w:rPr>
      <w:t xml:space="preserve">  </w:t>
    </w:r>
    <w:r>
      <w:rPr>
        <w:rStyle w:val="PageNumber"/>
        <w:rFonts w:ascii="宋体" w:hAnsi="宋体" w:hint="eastAsia"/>
        <w:sz w:val="28"/>
        <w:szCs w:val="28"/>
      </w:rPr>
      <w:t>—</w:t>
    </w:r>
  </w:p>
  <w:p>
    <w:pPr>
      <w:pStyle w:val="Footer"/>
      <w:ind w:right="360" w:firstLine="360"/>
      <w:jc w:val="cen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outside" w:y="1"/>
      <w:ind w:firstLine="560"/>
      <w:rPr>
        <w:rStyle w:val="PageNumber"/>
        <w:rFonts w:ascii="宋体" w:hAnsi="宋体"/>
        <w:sz w:val="28"/>
        <w:szCs w:val="28"/>
      </w:rPr>
    </w:pPr>
    <w:r>
      <w:rPr>
        <w:rStyle w:val="PageNumber"/>
        <w:rFonts w:ascii="宋体" w:hAnsi="宋体" w:hint="eastAsia"/>
        <w:sz w:val="28"/>
        <w:szCs w:val="28"/>
      </w:rPr>
      <w:t>—</w:t>
    </w:r>
    <w:r>
      <w:rPr>
        <w:rStyle w:val="PageNumber"/>
        <w:rFonts w:ascii="宋体" w:hAnsi="宋体" w:hint="eastAsia"/>
        <w:sz w:val="20"/>
        <w:szCs w:val="20"/>
      </w:rPr>
      <w:t xml:space="preserve">  </w:t>
    </w:r>
    <w:r>
      <w:rPr>
        <w:rStyle w:val="PageNumber"/>
        <w:rFonts w:ascii="宋体" w:hAnsi="宋体"/>
        <w:sz w:val="26"/>
        <w:szCs w:val="26"/>
      </w:rPr>
      <w:fldChar w:fldCharType="begin"/>
    </w:r>
    <w:r>
      <w:rPr>
        <w:rStyle w:val="PageNumber"/>
        <w:rFonts w:ascii="宋体" w:hAnsi="宋体"/>
        <w:sz w:val="26"/>
        <w:szCs w:val="26"/>
      </w:rPr>
      <w:instrText xml:space="preserve">PAGE  </w:instrText>
    </w:r>
    <w:r>
      <w:rPr>
        <w:rStyle w:val="PageNumber"/>
        <w:rFonts w:ascii="宋体" w:hAnsi="宋体"/>
        <w:sz w:val="26"/>
        <w:szCs w:val="26"/>
      </w:rPr>
      <w:fldChar w:fldCharType="separate"/>
    </w:r>
    <w:r>
      <w:rPr>
        <w:rStyle w:val="PageNumber"/>
        <w:rFonts w:ascii="宋体" w:hAnsi="宋体"/>
        <w:sz w:val="26"/>
        <w:szCs w:val="26"/>
      </w:rPr>
      <w:t>8</w:t>
    </w:r>
    <w:r>
      <w:rPr>
        <w:rStyle w:val="PageNumber"/>
        <w:rFonts w:ascii="宋体" w:hAnsi="宋体"/>
        <w:sz w:val="26"/>
        <w:szCs w:val="26"/>
      </w:rPr>
      <w:fldChar w:fldCharType="end"/>
    </w:r>
    <w:r>
      <w:rPr>
        <w:rStyle w:val="PageNumber"/>
        <w:rFonts w:ascii="宋体" w:hAnsi="宋体" w:hint="eastAsia"/>
        <w:sz w:val="20"/>
        <w:szCs w:val="20"/>
      </w:rPr>
      <w:t xml:space="preserve">  </w:t>
    </w:r>
    <w:r>
      <w:rPr>
        <w:rStyle w:val="PageNumber"/>
        <w:rFonts w:ascii="宋体" w:hAnsi="宋体" w:hint="eastAsia"/>
        <w:sz w:val="28"/>
        <w:szCs w:val="28"/>
      </w:rPr>
      <w:t>—</w:t>
    </w:r>
  </w:p>
  <w:p>
    <w:pPr>
      <w:pStyle w:val="Footer"/>
      <w:ind w:right="360" w:firstLine="360"/>
      <w:jc w:val="cen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E7C25D8"/>
    <w:multiLevelType w:val="singleLevel"/>
    <w:tmpl w:val="FE7C25D8"/>
    <w:lvl w:ilvl="0">
      <w:start w:val="3"/>
      <w:numFmt w:val="decimal"/>
      <w:suff w:val="nothing"/>
      <w:lvlText w:val="%1）"/>
      <w:lvlJc w:val="left"/>
    </w:lvl>
  </w:abstractNum>
  <w:abstractNum w:abstractNumId="1">
    <w:nsid w:val="7422813E"/>
    <w:multiLevelType w:val="singleLevel"/>
    <w:tmpl w:val="7422813E"/>
    <w:lvl w:ilvl="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5"/>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ocumentProtection w:edit="trackedChanges" w:enforcement="0"/>
  <w:defaultTabStop w:val="420"/>
  <w:noPunctuationKerning/>
  <w:characterSpacingControl w:val="doNotCompress"/>
  <w:doNotEmbedSmartTags/>
  <w:compat>
    <w:balanceSingleByteDoubleByteWidth/>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4947"/>
    <w:rsid w:val="00001CED"/>
    <w:rsid w:val="00001E67"/>
    <w:rsid w:val="00003CD8"/>
    <w:rsid w:val="00004042"/>
    <w:rsid w:val="00014965"/>
    <w:rsid w:val="0001523A"/>
    <w:rsid w:val="00016ECB"/>
    <w:rsid w:val="000221AE"/>
    <w:rsid w:val="000225CA"/>
    <w:rsid w:val="0002300F"/>
    <w:rsid w:val="000269F6"/>
    <w:rsid w:val="00031939"/>
    <w:rsid w:val="00032D25"/>
    <w:rsid w:val="0003676B"/>
    <w:rsid w:val="0004080F"/>
    <w:rsid w:val="000504A5"/>
    <w:rsid w:val="0005219D"/>
    <w:rsid w:val="00052946"/>
    <w:rsid w:val="00054033"/>
    <w:rsid w:val="0005568F"/>
    <w:rsid w:val="0006153D"/>
    <w:rsid w:val="00061B1F"/>
    <w:rsid w:val="00064B43"/>
    <w:rsid w:val="000664DB"/>
    <w:rsid w:val="0007127D"/>
    <w:rsid w:val="00071AE5"/>
    <w:rsid w:val="00074783"/>
    <w:rsid w:val="00076793"/>
    <w:rsid w:val="000801E0"/>
    <w:rsid w:val="000817B1"/>
    <w:rsid w:val="00082A29"/>
    <w:rsid w:val="00082DD4"/>
    <w:rsid w:val="0008331D"/>
    <w:rsid w:val="00083C18"/>
    <w:rsid w:val="00091537"/>
    <w:rsid w:val="00092899"/>
    <w:rsid w:val="000948BE"/>
    <w:rsid w:val="00096E50"/>
    <w:rsid w:val="000971E3"/>
    <w:rsid w:val="00097FF3"/>
    <w:rsid w:val="000A178E"/>
    <w:rsid w:val="000A2D1F"/>
    <w:rsid w:val="000A557E"/>
    <w:rsid w:val="000B058F"/>
    <w:rsid w:val="000B36D2"/>
    <w:rsid w:val="000B693F"/>
    <w:rsid w:val="000B7B0B"/>
    <w:rsid w:val="000C09AC"/>
    <w:rsid w:val="000C0A63"/>
    <w:rsid w:val="000C150A"/>
    <w:rsid w:val="000C1A5E"/>
    <w:rsid w:val="000C28A9"/>
    <w:rsid w:val="000C437E"/>
    <w:rsid w:val="000C605F"/>
    <w:rsid w:val="000D45E3"/>
    <w:rsid w:val="000E5F16"/>
    <w:rsid w:val="000F01AC"/>
    <w:rsid w:val="000F4452"/>
    <w:rsid w:val="000F6DA1"/>
    <w:rsid w:val="000F701B"/>
    <w:rsid w:val="00102C67"/>
    <w:rsid w:val="001056A0"/>
    <w:rsid w:val="00106CF9"/>
    <w:rsid w:val="00115279"/>
    <w:rsid w:val="00117459"/>
    <w:rsid w:val="0011749A"/>
    <w:rsid w:val="00127A68"/>
    <w:rsid w:val="00140B13"/>
    <w:rsid w:val="00141B68"/>
    <w:rsid w:val="00142266"/>
    <w:rsid w:val="00144EF9"/>
    <w:rsid w:val="001466DA"/>
    <w:rsid w:val="00154DE1"/>
    <w:rsid w:val="00155B40"/>
    <w:rsid w:val="00157435"/>
    <w:rsid w:val="00163EEA"/>
    <w:rsid w:val="00167A07"/>
    <w:rsid w:val="0017046A"/>
    <w:rsid w:val="001704A3"/>
    <w:rsid w:val="00173CA9"/>
    <w:rsid w:val="0017504D"/>
    <w:rsid w:val="00177422"/>
    <w:rsid w:val="00184F10"/>
    <w:rsid w:val="00185546"/>
    <w:rsid w:val="0019146B"/>
    <w:rsid w:val="0019254D"/>
    <w:rsid w:val="00193976"/>
    <w:rsid w:val="00194398"/>
    <w:rsid w:val="00195D04"/>
    <w:rsid w:val="001A2DF3"/>
    <w:rsid w:val="001A45EE"/>
    <w:rsid w:val="001A5564"/>
    <w:rsid w:val="001A7D2A"/>
    <w:rsid w:val="001B3647"/>
    <w:rsid w:val="001B574C"/>
    <w:rsid w:val="001B5DC0"/>
    <w:rsid w:val="001C0AF9"/>
    <w:rsid w:val="001C155A"/>
    <w:rsid w:val="001C48C0"/>
    <w:rsid w:val="001C7A11"/>
    <w:rsid w:val="001D141C"/>
    <w:rsid w:val="001D3AB4"/>
    <w:rsid w:val="001D6726"/>
    <w:rsid w:val="001D6982"/>
    <w:rsid w:val="001E009F"/>
    <w:rsid w:val="001E55CA"/>
    <w:rsid w:val="001F3347"/>
    <w:rsid w:val="001F4440"/>
    <w:rsid w:val="001F69E4"/>
    <w:rsid w:val="00206A65"/>
    <w:rsid w:val="00210EE8"/>
    <w:rsid w:val="00212D31"/>
    <w:rsid w:val="002130C7"/>
    <w:rsid w:val="002218A8"/>
    <w:rsid w:val="0022306D"/>
    <w:rsid w:val="00226574"/>
    <w:rsid w:val="002278EC"/>
    <w:rsid w:val="00227EC7"/>
    <w:rsid w:val="002357C7"/>
    <w:rsid w:val="002367C4"/>
    <w:rsid w:val="00236F88"/>
    <w:rsid w:val="0023766D"/>
    <w:rsid w:val="00243A10"/>
    <w:rsid w:val="00243E2A"/>
    <w:rsid w:val="00250586"/>
    <w:rsid w:val="002512E4"/>
    <w:rsid w:val="00255B16"/>
    <w:rsid w:val="0025679E"/>
    <w:rsid w:val="00260C68"/>
    <w:rsid w:val="00261DAE"/>
    <w:rsid w:val="002630AD"/>
    <w:rsid w:val="00263C9C"/>
    <w:rsid w:val="002648B0"/>
    <w:rsid w:val="00265A23"/>
    <w:rsid w:val="00266BD5"/>
    <w:rsid w:val="00271D94"/>
    <w:rsid w:val="00272597"/>
    <w:rsid w:val="00274B61"/>
    <w:rsid w:val="00275271"/>
    <w:rsid w:val="0027535E"/>
    <w:rsid w:val="00275AA6"/>
    <w:rsid w:val="002807D5"/>
    <w:rsid w:val="00280AE2"/>
    <w:rsid w:val="00281280"/>
    <w:rsid w:val="00282CCD"/>
    <w:rsid w:val="00291261"/>
    <w:rsid w:val="00291FFF"/>
    <w:rsid w:val="0029736B"/>
    <w:rsid w:val="00297452"/>
    <w:rsid w:val="002A0EA5"/>
    <w:rsid w:val="002A168C"/>
    <w:rsid w:val="002A2C48"/>
    <w:rsid w:val="002A3EED"/>
    <w:rsid w:val="002A43CC"/>
    <w:rsid w:val="002A4A39"/>
    <w:rsid w:val="002A4C2B"/>
    <w:rsid w:val="002A4D30"/>
    <w:rsid w:val="002A5A17"/>
    <w:rsid w:val="002A6425"/>
    <w:rsid w:val="002A7744"/>
    <w:rsid w:val="002B27D9"/>
    <w:rsid w:val="002B49E2"/>
    <w:rsid w:val="002B5D4B"/>
    <w:rsid w:val="002B7B00"/>
    <w:rsid w:val="002B7C44"/>
    <w:rsid w:val="002C1175"/>
    <w:rsid w:val="002C1388"/>
    <w:rsid w:val="002C3C6A"/>
    <w:rsid w:val="002D42DB"/>
    <w:rsid w:val="002D473C"/>
    <w:rsid w:val="002E1F3A"/>
    <w:rsid w:val="002E298A"/>
    <w:rsid w:val="002F02A4"/>
    <w:rsid w:val="002F13C0"/>
    <w:rsid w:val="002F272B"/>
    <w:rsid w:val="002F7C6D"/>
    <w:rsid w:val="00300ECF"/>
    <w:rsid w:val="003027E4"/>
    <w:rsid w:val="0030332C"/>
    <w:rsid w:val="00312296"/>
    <w:rsid w:val="0031340E"/>
    <w:rsid w:val="0031483E"/>
    <w:rsid w:val="00316464"/>
    <w:rsid w:val="0032073A"/>
    <w:rsid w:val="00321D8E"/>
    <w:rsid w:val="00324D2D"/>
    <w:rsid w:val="003272E9"/>
    <w:rsid w:val="00327745"/>
    <w:rsid w:val="00333A22"/>
    <w:rsid w:val="00334996"/>
    <w:rsid w:val="00336969"/>
    <w:rsid w:val="00336C52"/>
    <w:rsid w:val="00341B3E"/>
    <w:rsid w:val="00341B42"/>
    <w:rsid w:val="00342E4C"/>
    <w:rsid w:val="00345154"/>
    <w:rsid w:val="0034560E"/>
    <w:rsid w:val="00350523"/>
    <w:rsid w:val="00350B24"/>
    <w:rsid w:val="00352975"/>
    <w:rsid w:val="00352D60"/>
    <w:rsid w:val="00356868"/>
    <w:rsid w:val="0036485B"/>
    <w:rsid w:val="003700A9"/>
    <w:rsid w:val="00370A15"/>
    <w:rsid w:val="00371DCC"/>
    <w:rsid w:val="00373B0D"/>
    <w:rsid w:val="00376988"/>
    <w:rsid w:val="00381A72"/>
    <w:rsid w:val="00384A80"/>
    <w:rsid w:val="00386725"/>
    <w:rsid w:val="00390711"/>
    <w:rsid w:val="00391D0F"/>
    <w:rsid w:val="003924C1"/>
    <w:rsid w:val="00395184"/>
    <w:rsid w:val="00397859"/>
    <w:rsid w:val="003A1948"/>
    <w:rsid w:val="003A2CF9"/>
    <w:rsid w:val="003A605D"/>
    <w:rsid w:val="003A6DCA"/>
    <w:rsid w:val="003B0019"/>
    <w:rsid w:val="003B152A"/>
    <w:rsid w:val="003B545B"/>
    <w:rsid w:val="003C6868"/>
    <w:rsid w:val="003D0AC0"/>
    <w:rsid w:val="003D2CCE"/>
    <w:rsid w:val="003D3EE9"/>
    <w:rsid w:val="003D7828"/>
    <w:rsid w:val="003E37A3"/>
    <w:rsid w:val="003E5BBE"/>
    <w:rsid w:val="003E7681"/>
    <w:rsid w:val="003F0809"/>
    <w:rsid w:val="003F3416"/>
    <w:rsid w:val="003F57BB"/>
    <w:rsid w:val="003F611C"/>
    <w:rsid w:val="003F755C"/>
    <w:rsid w:val="00406F01"/>
    <w:rsid w:val="00407606"/>
    <w:rsid w:val="00411B36"/>
    <w:rsid w:val="004121D7"/>
    <w:rsid w:val="00416D50"/>
    <w:rsid w:val="00417772"/>
    <w:rsid w:val="00420E6A"/>
    <w:rsid w:val="00433C1D"/>
    <w:rsid w:val="00433CA9"/>
    <w:rsid w:val="0043521D"/>
    <w:rsid w:val="00436F3D"/>
    <w:rsid w:val="00442024"/>
    <w:rsid w:val="0044254C"/>
    <w:rsid w:val="00443F6A"/>
    <w:rsid w:val="00450776"/>
    <w:rsid w:val="00450A17"/>
    <w:rsid w:val="00457869"/>
    <w:rsid w:val="004662A7"/>
    <w:rsid w:val="00466321"/>
    <w:rsid w:val="004672AF"/>
    <w:rsid w:val="004704FA"/>
    <w:rsid w:val="004727B0"/>
    <w:rsid w:val="004734E2"/>
    <w:rsid w:val="00480247"/>
    <w:rsid w:val="0048081D"/>
    <w:rsid w:val="004810B8"/>
    <w:rsid w:val="0048117E"/>
    <w:rsid w:val="004855F6"/>
    <w:rsid w:val="00486F0C"/>
    <w:rsid w:val="00494670"/>
    <w:rsid w:val="004A0EB4"/>
    <w:rsid w:val="004A3823"/>
    <w:rsid w:val="004A59BB"/>
    <w:rsid w:val="004A6D4E"/>
    <w:rsid w:val="004B08FB"/>
    <w:rsid w:val="004B0FD6"/>
    <w:rsid w:val="004B1806"/>
    <w:rsid w:val="004B214B"/>
    <w:rsid w:val="004B43A3"/>
    <w:rsid w:val="004B44A3"/>
    <w:rsid w:val="004B4C49"/>
    <w:rsid w:val="004B58A5"/>
    <w:rsid w:val="004B63D9"/>
    <w:rsid w:val="004C0882"/>
    <w:rsid w:val="004C0AD3"/>
    <w:rsid w:val="004C3A58"/>
    <w:rsid w:val="004C55BE"/>
    <w:rsid w:val="004D5BC7"/>
    <w:rsid w:val="004D5CFD"/>
    <w:rsid w:val="004E0C54"/>
    <w:rsid w:val="004E2344"/>
    <w:rsid w:val="004E5B30"/>
    <w:rsid w:val="004F0779"/>
    <w:rsid w:val="004F1230"/>
    <w:rsid w:val="004F173F"/>
    <w:rsid w:val="004F177C"/>
    <w:rsid w:val="004F2DCE"/>
    <w:rsid w:val="004F6AF6"/>
    <w:rsid w:val="005039CB"/>
    <w:rsid w:val="0050558F"/>
    <w:rsid w:val="005057E0"/>
    <w:rsid w:val="00505AC2"/>
    <w:rsid w:val="00506286"/>
    <w:rsid w:val="00510813"/>
    <w:rsid w:val="0051115E"/>
    <w:rsid w:val="00511DE0"/>
    <w:rsid w:val="0051554D"/>
    <w:rsid w:val="00517F02"/>
    <w:rsid w:val="00524547"/>
    <w:rsid w:val="00524DA4"/>
    <w:rsid w:val="005258A2"/>
    <w:rsid w:val="00530F7C"/>
    <w:rsid w:val="00534567"/>
    <w:rsid w:val="00534F43"/>
    <w:rsid w:val="00535393"/>
    <w:rsid w:val="0053574E"/>
    <w:rsid w:val="00535A84"/>
    <w:rsid w:val="00535FA3"/>
    <w:rsid w:val="00536889"/>
    <w:rsid w:val="00542E07"/>
    <w:rsid w:val="005455A0"/>
    <w:rsid w:val="00545A0F"/>
    <w:rsid w:val="0054634A"/>
    <w:rsid w:val="00552D88"/>
    <w:rsid w:val="00553BEC"/>
    <w:rsid w:val="005543D9"/>
    <w:rsid w:val="00554A7B"/>
    <w:rsid w:val="0055572C"/>
    <w:rsid w:val="0056064F"/>
    <w:rsid w:val="005615F9"/>
    <w:rsid w:val="00561B84"/>
    <w:rsid w:val="005719B0"/>
    <w:rsid w:val="00571D98"/>
    <w:rsid w:val="005720AE"/>
    <w:rsid w:val="0058030D"/>
    <w:rsid w:val="00582045"/>
    <w:rsid w:val="00584AE8"/>
    <w:rsid w:val="00590AE3"/>
    <w:rsid w:val="0059123A"/>
    <w:rsid w:val="005917E4"/>
    <w:rsid w:val="005918F1"/>
    <w:rsid w:val="005924A8"/>
    <w:rsid w:val="005946EF"/>
    <w:rsid w:val="005A06B7"/>
    <w:rsid w:val="005A1759"/>
    <w:rsid w:val="005A186C"/>
    <w:rsid w:val="005A25D5"/>
    <w:rsid w:val="005B0984"/>
    <w:rsid w:val="005B1F21"/>
    <w:rsid w:val="005B789C"/>
    <w:rsid w:val="005C5DDE"/>
    <w:rsid w:val="005D0369"/>
    <w:rsid w:val="005D34C1"/>
    <w:rsid w:val="005D4E6D"/>
    <w:rsid w:val="005D53FE"/>
    <w:rsid w:val="005D7A0F"/>
    <w:rsid w:val="005E0438"/>
    <w:rsid w:val="005E1791"/>
    <w:rsid w:val="005E2CE6"/>
    <w:rsid w:val="005E6324"/>
    <w:rsid w:val="005F1E67"/>
    <w:rsid w:val="005F228B"/>
    <w:rsid w:val="005F29CD"/>
    <w:rsid w:val="005F4DFB"/>
    <w:rsid w:val="005F67D8"/>
    <w:rsid w:val="005F6C1F"/>
    <w:rsid w:val="005F6CC0"/>
    <w:rsid w:val="00603863"/>
    <w:rsid w:val="00603E5B"/>
    <w:rsid w:val="00604BC8"/>
    <w:rsid w:val="0060587D"/>
    <w:rsid w:val="00606B68"/>
    <w:rsid w:val="00607190"/>
    <w:rsid w:val="006154E6"/>
    <w:rsid w:val="00615B4C"/>
    <w:rsid w:val="00615B5D"/>
    <w:rsid w:val="0062146F"/>
    <w:rsid w:val="00624299"/>
    <w:rsid w:val="006309AB"/>
    <w:rsid w:val="00633858"/>
    <w:rsid w:val="006343AF"/>
    <w:rsid w:val="0063634A"/>
    <w:rsid w:val="00637509"/>
    <w:rsid w:val="0064250D"/>
    <w:rsid w:val="0064539D"/>
    <w:rsid w:val="006535EB"/>
    <w:rsid w:val="006544D1"/>
    <w:rsid w:val="006560FB"/>
    <w:rsid w:val="00663016"/>
    <w:rsid w:val="00666F38"/>
    <w:rsid w:val="006710C1"/>
    <w:rsid w:val="00674605"/>
    <w:rsid w:val="00674763"/>
    <w:rsid w:val="006748B8"/>
    <w:rsid w:val="00675025"/>
    <w:rsid w:val="00676E19"/>
    <w:rsid w:val="0068535B"/>
    <w:rsid w:val="0068736E"/>
    <w:rsid w:val="0069290A"/>
    <w:rsid w:val="00692D1D"/>
    <w:rsid w:val="00694A36"/>
    <w:rsid w:val="00697032"/>
    <w:rsid w:val="006975AC"/>
    <w:rsid w:val="006A15FB"/>
    <w:rsid w:val="006A2123"/>
    <w:rsid w:val="006A4D1C"/>
    <w:rsid w:val="006A72BF"/>
    <w:rsid w:val="006B0ECB"/>
    <w:rsid w:val="006B332A"/>
    <w:rsid w:val="006B33BD"/>
    <w:rsid w:val="006C108E"/>
    <w:rsid w:val="006C3F75"/>
    <w:rsid w:val="006D0B23"/>
    <w:rsid w:val="006D11A2"/>
    <w:rsid w:val="006D170E"/>
    <w:rsid w:val="006D23FD"/>
    <w:rsid w:val="006D41F7"/>
    <w:rsid w:val="006D4B5E"/>
    <w:rsid w:val="006E06AF"/>
    <w:rsid w:val="006E0BCB"/>
    <w:rsid w:val="006E6C13"/>
    <w:rsid w:val="006F1789"/>
    <w:rsid w:val="00706C5D"/>
    <w:rsid w:val="007118E6"/>
    <w:rsid w:val="007212B7"/>
    <w:rsid w:val="00721E6A"/>
    <w:rsid w:val="007225C9"/>
    <w:rsid w:val="007233D6"/>
    <w:rsid w:val="00730D21"/>
    <w:rsid w:val="007356A8"/>
    <w:rsid w:val="00735CD7"/>
    <w:rsid w:val="00744FD8"/>
    <w:rsid w:val="00754034"/>
    <w:rsid w:val="00754BF1"/>
    <w:rsid w:val="00755A30"/>
    <w:rsid w:val="00755E1C"/>
    <w:rsid w:val="00756556"/>
    <w:rsid w:val="0076132B"/>
    <w:rsid w:val="007623AE"/>
    <w:rsid w:val="00762618"/>
    <w:rsid w:val="00764422"/>
    <w:rsid w:val="007665F3"/>
    <w:rsid w:val="00767EE6"/>
    <w:rsid w:val="00770B19"/>
    <w:rsid w:val="00774FA0"/>
    <w:rsid w:val="00776620"/>
    <w:rsid w:val="00777B6D"/>
    <w:rsid w:val="007844A1"/>
    <w:rsid w:val="00784855"/>
    <w:rsid w:val="00784F39"/>
    <w:rsid w:val="0078545C"/>
    <w:rsid w:val="0078662A"/>
    <w:rsid w:val="007906C4"/>
    <w:rsid w:val="0079258E"/>
    <w:rsid w:val="007940EA"/>
    <w:rsid w:val="007967E8"/>
    <w:rsid w:val="007A54C8"/>
    <w:rsid w:val="007A63F2"/>
    <w:rsid w:val="007B1D06"/>
    <w:rsid w:val="007B4976"/>
    <w:rsid w:val="007B68DE"/>
    <w:rsid w:val="007C0032"/>
    <w:rsid w:val="007C1857"/>
    <w:rsid w:val="007C4B5A"/>
    <w:rsid w:val="007C514F"/>
    <w:rsid w:val="007C7316"/>
    <w:rsid w:val="007D0F95"/>
    <w:rsid w:val="007D2F02"/>
    <w:rsid w:val="007D337E"/>
    <w:rsid w:val="007D33F4"/>
    <w:rsid w:val="007D6244"/>
    <w:rsid w:val="007D7ECB"/>
    <w:rsid w:val="007E25A1"/>
    <w:rsid w:val="007E4BD2"/>
    <w:rsid w:val="007E63F7"/>
    <w:rsid w:val="007E692A"/>
    <w:rsid w:val="007E7145"/>
    <w:rsid w:val="007E7439"/>
    <w:rsid w:val="007F3916"/>
    <w:rsid w:val="00800268"/>
    <w:rsid w:val="00801179"/>
    <w:rsid w:val="00802479"/>
    <w:rsid w:val="00803AED"/>
    <w:rsid w:val="00805372"/>
    <w:rsid w:val="00805B7B"/>
    <w:rsid w:val="0081293E"/>
    <w:rsid w:val="00813F93"/>
    <w:rsid w:val="00814FFB"/>
    <w:rsid w:val="008169CD"/>
    <w:rsid w:val="00820568"/>
    <w:rsid w:val="00824E90"/>
    <w:rsid w:val="00831A80"/>
    <w:rsid w:val="008332C8"/>
    <w:rsid w:val="00833743"/>
    <w:rsid w:val="008340A4"/>
    <w:rsid w:val="00836799"/>
    <w:rsid w:val="00837028"/>
    <w:rsid w:val="00837131"/>
    <w:rsid w:val="00841635"/>
    <w:rsid w:val="008441BF"/>
    <w:rsid w:val="00845F57"/>
    <w:rsid w:val="008511ED"/>
    <w:rsid w:val="008521E0"/>
    <w:rsid w:val="008525B0"/>
    <w:rsid w:val="00855A0E"/>
    <w:rsid w:val="008607AA"/>
    <w:rsid w:val="00867CBC"/>
    <w:rsid w:val="00870A60"/>
    <w:rsid w:val="00876C30"/>
    <w:rsid w:val="00877017"/>
    <w:rsid w:val="008773AE"/>
    <w:rsid w:val="008773C0"/>
    <w:rsid w:val="00880364"/>
    <w:rsid w:val="00886C4C"/>
    <w:rsid w:val="0088711C"/>
    <w:rsid w:val="0089242E"/>
    <w:rsid w:val="00892ECF"/>
    <w:rsid w:val="00892F06"/>
    <w:rsid w:val="00894285"/>
    <w:rsid w:val="008A1A2C"/>
    <w:rsid w:val="008A40AE"/>
    <w:rsid w:val="008A4E19"/>
    <w:rsid w:val="008A5341"/>
    <w:rsid w:val="008A67C5"/>
    <w:rsid w:val="008A68C8"/>
    <w:rsid w:val="008A6E39"/>
    <w:rsid w:val="008B048A"/>
    <w:rsid w:val="008B22E1"/>
    <w:rsid w:val="008B3C54"/>
    <w:rsid w:val="008B3C78"/>
    <w:rsid w:val="008B4AE9"/>
    <w:rsid w:val="008C2170"/>
    <w:rsid w:val="008C30AD"/>
    <w:rsid w:val="008C350C"/>
    <w:rsid w:val="008C5D79"/>
    <w:rsid w:val="008C7969"/>
    <w:rsid w:val="008D068E"/>
    <w:rsid w:val="008D0F7A"/>
    <w:rsid w:val="008D63BE"/>
    <w:rsid w:val="008E066D"/>
    <w:rsid w:val="008E0CFF"/>
    <w:rsid w:val="008E33CD"/>
    <w:rsid w:val="008E535C"/>
    <w:rsid w:val="008E5D6B"/>
    <w:rsid w:val="008E689B"/>
    <w:rsid w:val="008E76F0"/>
    <w:rsid w:val="008F0CC9"/>
    <w:rsid w:val="008F15FE"/>
    <w:rsid w:val="008F2A94"/>
    <w:rsid w:val="008F5187"/>
    <w:rsid w:val="008F709C"/>
    <w:rsid w:val="0090312B"/>
    <w:rsid w:val="00904961"/>
    <w:rsid w:val="00906503"/>
    <w:rsid w:val="0091736D"/>
    <w:rsid w:val="009263E4"/>
    <w:rsid w:val="00931001"/>
    <w:rsid w:val="00931863"/>
    <w:rsid w:val="00933524"/>
    <w:rsid w:val="0093440D"/>
    <w:rsid w:val="00934B65"/>
    <w:rsid w:val="00936C0D"/>
    <w:rsid w:val="0094278D"/>
    <w:rsid w:val="009434F7"/>
    <w:rsid w:val="00950AD6"/>
    <w:rsid w:val="00952442"/>
    <w:rsid w:val="0095308A"/>
    <w:rsid w:val="00955AEE"/>
    <w:rsid w:val="009569A0"/>
    <w:rsid w:val="00956F14"/>
    <w:rsid w:val="0095716B"/>
    <w:rsid w:val="00960EC3"/>
    <w:rsid w:val="009620FD"/>
    <w:rsid w:val="0096247A"/>
    <w:rsid w:val="00965F4B"/>
    <w:rsid w:val="0097048D"/>
    <w:rsid w:val="00970F8A"/>
    <w:rsid w:val="0097103C"/>
    <w:rsid w:val="00971FB5"/>
    <w:rsid w:val="0097231C"/>
    <w:rsid w:val="00972D2A"/>
    <w:rsid w:val="00973514"/>
    <w:rsid w:val="00974EAD"/>
    <w:rsid w:val="00975CC5"/>
    <w:rsid w:val="00976328"/>
    <w:rsid w:val="00976B4E"/>
    <w:rsid w:val="009779ED"/>
    <w:rsid w:val="00977A75"/>
    <w:rsid w:val="00981366"/>
    <w:rsid w:val="0098216A"/>
    <w:rsid w:val="009837A8"/>
    <w:rsid w:val="00984458"/>
    <w:rsid w:val="00985283"/>
    <w:rsid w:val="00987322"/>
    <w:rsid w:val="009A0F3B"/>
    <w:rsid w:val="009A6E15"/>
    <w:rsid w:val="009A72C7"/>
    <w:rsid w:val="009B0897"/>
    <w:rsid w:val="009B41A5"/>
    <w:rsid w:val="009B56D2"/>
    <w:rsid w:val="009C06F5"/>
    <w:rsid w:val="009C5496"/>
    <w:rsid w:val="009D0852"/>
    <w:rsid w:val="009D1FBF"/>
    <w:rsid w:val="009D27CB"/>
    <w:rsid w:val="009E399C"/>
    <w:rsid w:val="009E43C1"/>
    <w:rsid w:val="009E7E95"/>
    <w:rsid w:val="009F116F"/>
    <w:rsid w:val="009F329E"/>
    <w:rsid w:val="009F584E"/>
    <w:rsid w:val="009F7AD1"/>
    <w:rsid w:val="009F7ED3"/>
    <w:rsid w:val="00A0077F"/>
    <w:rsid w:val="00A029CA"/>
    <w:rsid w:val="00A03607"/>
    <w:rsid w:val="00A047FF"/>
    <w:rsid w:val="00A04FEF"/>
    <w:rsid w:val="00A05A4E"/>
    <w:rsid w:val="00A06388"/>
    <w:rsid w:val="00A122CD"/>
    <w:rsid w:val="00A12A32"/>
    <w:rsid w:val="00A14248"/>
    <w:rsid w:val="00A14947"/>
    <w:rsid w:val="00A1643F"/>
    <w:rsid w:val="00A23DC5"/>
    <w:rsid w:val="00A25B47"/>
    <w:rsid w:val="00A3240C"/>
    <w:rsid w:val="00A3270A"/>
    <w:rsid w:val="00A34028"/>
    <w:rsid w:val="00A35568"/>
    <w:rsid w:val="00A36280"/>
    <w:rsid w:val="00A37056"/>
    <w:rsid w:val="00A37A87"/>
    <w:rsid w:val="00A4358F"/>
    <w:rsid w:val="00A46F67"/>
    <w:rsid w:val="00A50F10"/>
    <w:rsid w:val="00A54AA1"/>
    <w:rsid w:val="00A568FF"/>
    <w:rsid w:val="00A61496"/>
    <w:rsid w:val="00A61833"/>
    <w:rsid w:val="00A624C6"/>
    <w:rsid w:val="00A62DB4"/>
    <w:rsid w:val="00A6370C"/>
    <w:rsid w:val="00A63CEC"/>
    <w:rsid w:val="00A7031E"/>
    <w:rsid w:val="00A728B1"/>
    <w:rsid w:val="00A72AC0"/>
    <w:rsid w:val="00A763DE"/>
    <w:rsid w:val="00A803D6"/>
    <w:rsid w:val="00A81282"/>
    <w:rsid w:val="00A823F6"/>
    <w:rsid w:val="00A869EC"/>
    <w:rsid w:val="00A8713F"/>
    <w:rsid w:val="00A91167"/>
    <w:rsid w:val="00A9171C"/>
    <w:rsid w:val="00A91DA7"/>
    <w:rsid w:val="00A92FFD"/>
    <w:rsid w:val="00A95975"/>
    <w:rsid w:val="00A9602A"/>
    <w:rsid w:val="00A9708D"/>
    <w:rsid w:val="00AA2C17"/>
    <w:rsid w:val="00AA4172"/>
    <w:rsid w:val="00AA7536"/>
    <w:rsid w:val="00AB0762"/>
    <w:rsid w:val="00AB1407"/>
    <w:rsid w:val="00AB1914"/>
    <w:rsid w:val="00AB5330"/>
    <w:rsid w:val="00AB7747"/>
    <w:rsid w:val="00AC2532"/>
    <w:rsid w:val="00AC33B8"/>
    <w:rsid w:val="00AC6A08"/>
    <w:rsid w:val="00AD0AE3"/>
    <w:rsid w:val="00AD1507"/>
    <w:rsid w:val="00AD5A70"/>
    <w:rsid w:val="00AD738B"/>
    <w:rsid w:val="00AD7BAF"/>
    <w:rsid w:val="00AE1BF4"/>
    <w:rsid w:val="00AE5D97"/>
    <w:rsid w:val="00AE6794"/>
    <w:rsid w:val="00AF066F"/>
    <w:rsid w:val="00AF1586"/>
    <w:rsid w:val="00AF1AE2"/>
    <w:rsid w:val="00AF3728"/>
    <w:rsid w:val="00B01110"/>
    <w:rsid w:val="00B02262"/>
    <w:rsid w:val="00B03CEC"/>
    <w:rsid w:val="00B1209F"/>
    <w:rsid w:val="00B12AD0"/>
    <w:rsid w:val="00B20C90"/>
    <w:rsid w:val="00B24F30"/>
    <w:rsid w:val="00B25BDC"/>
    <w:rsid w:val="00B31ABF"/>
    <w:rsid w:val="00B3354D"/>
    <w:rsid w:val="00B335AE"/>
    <w:rsid w:val="00B3752F"/>
    <w:rsid w:val="00B37906"/>
    <w:rsid w:val="00B37CE1"/>
    <w:rsid w:val="00B40ACF"/>
    <w:rsid w:val="00B410DD"/>
    <w:rsid w:val="00B4249A"/>
    <w:rsid w:val="00B42A5F"/>
    <w:rsid w:val="00B42BDD"/>
    <w:rsid w:val="00B443FE"/>
    <w:rsid w:val="00B45535"/>
    <w:rsid w:val="00B46BAA"/>
    <w:rsid w:val="00B508BB"/>
    <w:rsid w:val="00B50B5F"/>
    <w:rsid w:val="00B5174B"/>
    <w:rsid w:val="00B540AA"/>
    <w:rsid w:val="00B54128"/>
    <w:rsid w:val="00B55826"/>
    <w:rsid w:val="00B60426"/>
    <w:rsid w:val="00B622DD"/>
    <w:rsid w:val="00B63522"/>
    <w:rsid w:val="00B65B85"/>
    <w:rsid w:val="00B67450"/>
    <w:rsid w:val="00B67D68"/>
    <w:rsid w:val="00B74A30"/>
    <w:rsid w:val="00B76F1D"/>
    <w:rsid w:val="00B82B62"/>
    <w:rsid w:val="00B83B8F"/>
    <w:rsid w:val="00B8578F"/>
    <w:rsid w:val="00B87729"/>
    <w:rsid w:val="00B92A19"/>
    <w:rsid w:val="00B9544C"/>
    <w:rsid w:val="00B95718"/>
    <w:rsid w:val="00BA29E9"/>
    <w:rsid w:val="00BA51D0"/>
    <w:rsid w:val="00BA59EA"/>
    <w:rsid w:val="00BA6489"/>
    <w:rsid w:val="00BB3618"/>
    <w:rsid w:val="00BB494F"/>
    <w:rsid w:val="00BC07ED"/>
    <w:rsid w:val="00BC0C9E"/>
    <w:rsid w:val="00BC32DC"/>
    <w:rsid w:val="00BD12BE"/>
    <w:rsid w:val="00BD1B51"/>
    <w:rsid w:val="00BD47F6"/>
    <w:rsid w:val="00BE0785"/>
    <w:rsid w:val="00BE312D"/>
    <w:rsid w:val="00BE3FCA"/>
    <w:rsid w:val="00BE5C96"/>
    <w:rsid w:val="00BE5F77"/>
    <w:rsid w:val="00BE6E9D"/>
    <w:rsid w:val="00BF29D7"/>
    <w:rsid w:val="00BF612C"/>
    <w:rsid w:val="00C05719"/>
    <w:rsid w:val="00C10578"/>
    <w:rsid w:val="00C15BC5"/>
    <w:rsid w:val="00C17D62"/>
    <w:rsid w:val="00C20A69"/>
    <w:rsid w:val="00C21FDC"/>
    <w:rsid w:val="00C24EE7"/>
    <w:rsid w:val="00C2596A"/>
    <w:rsid w:val="00C26E73"/>
    <w:rsid w:val="00C271BE"/>
    <w:rsid w:val="00C27425"/>
    <w:rsid w:val="00C305A9"/>
    <w:rsid w:val="00C328FE"/>
    <w:rsid w:val="00C32CF1"/>
    <w:rsid w:val="00C33A05"/>
    <w:rsid w:val="00C40D16"/>
    <w:rsid w:val="00C42500"/>
    <w:rsid w:val="00C4409D"/>
    <w:rsid w:val="00C455BE"/>
    <w:rsid w:val="00C465B0"/>
    <w:rsid w:val="00C51E5F"/>
    <w:rsid w:val="00C53317"/>
    <w:rsid w:val="00C542CD"/>
    <w:rsid w:val="00C61E4B"/>
    <w:rsid w:val="00C62E3A"/>
    <w:rsid w:val="00C64503"/>
    <w:rsid w:val="00C6498D"/>
    <w:rsid w:val="00C64A1F"/>
    <w:rsid w:val="00C64B83"/>
    <w:rsid w:val="00C64BFF"/>
    <w:rsid w:val="00C65360"/>
    <w:rsid w:val="00C65606"/>
    <w:rsid w:val="00C763C9"/>
    <w:rsid w:val="00C80057"/>
    <w:rsid w:val="00C82C79"/>
    <w:rsid w:val="00C84753"/>
    <w:rsid w:val="00C86D18"/>
    <w:rsid w:val="00C91611"/>
    <w:rsid w:val="00CA1607"/>
    <w:rsid w:val="00CA311E"/>
    <w:rsid w:val="00CA3585"/>
    <w:rsid w:val="00CA3D5A"/>
    <w:rsid w:val="00CA3D84"/>
    <w:rsid w:val="00CA4AD9"/>
    <w:rsid w:val="00CA4C7C"/>
    <w:rsid w:val="00CB00C3"/>
    <w:rsid w:val="00CB0183"/>
    <w:rsid w:val="00CB0B3E"/>
    <w:rsid w:val="00CB1EA3"/>
    <w:rsid w:val="00CB358C"/>
    <w:rsid w:val="00CB552C"/>
    <w:rsid w:val="00CB6A9E"/>
    <w:rsid w:val="00CC4651"/>
    <w:rsid w:val="00CC6181"/>
    <w:rsid w:val="00CD2BCD"/>
    <w:rsid w:val="00CD36AA"/>
    <w:rsid w:val="00CD3791"/>
    <w:rsid w:val="00CD65B0"/>
    <w:rsid w:val="00CE02CD"/>
    <w:rsid w:val="00CE10E9"/>
    <w:rsid w:val="00CF601E"/>
    <w:rsid w:val="00D0072E"/>
    <w:rsid w:val="00D01EC7"/>
    <w:rsid w:val="00D07744"/>
    <w:rsid w:val="00D15727"/>
    <w:rsid w:val="00D16332"/>
    <w:rsid w:val="00D2402D"/>
    <w:rsid w:val="00D24972"/>
    <w:rsid w:val="00D2515E"/>
    <w:rsid w:val="00D308ED"/>
    <w:rsid w:val="00D34D0E"/>
    <w:rsid w:val="00D50A16"/>
    <w:rsid w:val="00D50AFE"/>
    <w:rsid w:val="00D56178"/>
    <w:rsid w:val="00D56CF0"/>
    <w:rsid w:val="00D56F5C"/>
    <w:rsid w:val="00D704B1"/>
    <w:rsid w:val="00D70B63"/>
    <w:rsid w:val="00D72B92"/>
    <w:rsid w:val="00D72ED4"/>
    <w:rsid w:val="00D73F61"/>
    <w:rsid w:val="00D754C0"/>
    <w:rsid w:val="00D75BD1"/>
    <w:rsid w:val="00D776A2"/>
    <w:rsid w:val="00D801C4"/>
    <w:rsid w:val="00D84380"/>
    <w:rsid w:val="00D90836"/>
    <w:rsid w:val="00D95896"/>
    <w:rsid w:val="00D95CC6"/>
    <w:rsid w:val="00DA2DA3"/>
    <w:rsid w:val="00DA466B"/>
    <w:rsid w:val="00DA6615"/>
    <w:rsid w:val="00DA6833"/>
    <w:rsid w:val="00DA76AE"/>
    <w:rsid w:val="00DA79B7"/>
    <w:rsid w:val="00DA7CF7"/>
    <w:rsid w:val="00DB181E"/>
    <w:rsid w:val="00DB1C7A"/>
    <w:rsid w:val="00DB2983"/>
    <w:rsid w:val="00DB343D"/>
    <w:rsid w:val="00DB5579"/>
    <w:rsid w:val="00DB5CFE"/>
    <w:rsid w:val="00DC16FE"/>
    <w:rsid w:val="00DC5765"/>
    <w:rsid w:val="00DC72A6"/>
    <w:rsid w:val="00DD2113"/>
    <w:rsid w:val="00DD265E"/>
    <w:rsid w:val="00DF1930"/>
    <w:rsid w:val="00DF514A"/>
    <w:rsid w:val="00DF6534"/>
    <w:rsid w:val="00DF74A2"/>
    <w:rsid w:val="00E0358D"/>
    <w:rsid w:val="00E0617E"/>
    <w:rsid w:val="00E06327"/>
    <w:rsid w:val="00E12970"/>
    <w:rsid w:val="00E2064B"/>
    <w:rsid w:val="00E22855"/>
    <w:rsid w:val="00E25239"/>
    <w:rsid w:val="00E265B1"/>
    <w:rsid w:val="00E275B0"/>
    <w:rsid w:val="00E301AA"/>
    <w:rsid w:val="00E412D0"/>
    <w:rsid w:val="00E47CDB"/>
    <w:rsid w:val="00E524C6"/>
    <w:rsid w:val="00E56472"/>
    <w:rsid w:val="00E566BC"/>
    <w:rsid w:val="00E60982"/>
    <w:rsid w:val="00E60C8D"/>
    <w:rsid w:val="00E6162F"/>
    <w:rsid w:val="00E6311B"/>
    <w:rsid w:val="00E65D97"/>
    <w:rsid w:val="00E67EFD"/>
    <w:rsid w:val="00E702DC"/>
    <w:rsid w:val="00E71F7F"/>
    <w:rsid w:val="00E71FFB"/>
    <w:rsid w:val="00E75708"/>
    <w:rsid w:val="00E76D1D"/>
    <w:rsid w:val="00E806F8"/>
    <w:rsid w:val="00E84068"/>
    <w:rsid w:val="00E87752"/>
    <w:rsid w:val="00E8793B"/>
    <w:rsid w:val="00E90F81"/>
    <w:rsid w:val="00E91A6D"/>
    <w:rsid w:val="00E9242D"/>
    <w:rsid w:val="00EA5157"/>
    <w:rsid w:val="00EA6A07"/>
    <w:rsid w:val="00EB041C"/>
    <w:rsid w:val="00EB17DF"/>
    <w:rsid w:val="00EB31BE"/>
    <w:rsid w:val="00EB60AD"/>
    <w:rsid w:val="00EC5874"/>
    <w:rsid w:val="00ED192D"/>
    <w:rsid w:val="00ED21D7"/>
    <w:rsid w:val="00ED30B4"/>
    <w:rsid w:val="00ED31F5"/>
    <w:rsid w:val="00EE1752"/>
    <w:rsid w:val="00EE5727"/>
    <w:rsid w:val="00EF2759"/>
    <w:rsid w:val="00EF45EB"/>
    <w:rsid w:val="00EF5099"/>
    <w:rsid w:val="00EF5E33"/>
    <w:rsid w:val="00EF6E5D"/>
    <w:rsid w:val="00F00075"/>
    <w:rsid w:val="00F03C4F"/>
    <w:rsid w:val="00F07822"/>
    <w:rsid w:val="00F07FAC"/>
    <w:rsid w:val="00F15C95"/>
    <w:rsid w:val="00F22985"/>
    <w:rsid w:val="00F241AB"/>
    <w:rsid w:val="00F31382"/>
    <w:rsid w:val="00F35829"/>
    <w:rsid w:val="00F42868"/>
    <w:rsid w:val="00F465A7"/>
    <w:rsid w:val="00F50B7C"/>
    <w:rsid w:val="00F5202D"/>
    <w:rsid w:val="00F52CF6"/>
    <w:rsid w:val="00F54496"/>
    <w:rsid w:val="00F57493"/>
    <w:rsid w:val="00F61097"/>
    <w:rsid w:val="00F62AAC"/>
    <w:rsid w:val="00F63077"/>
    <w:rsid w:val="00F720CB"/>
    <w:rsid w:val="00F735E2"/>
    <w:rsid w:val="00F74345"/>
    <w:rsid w:val="00F74441"/>
    <w:rsid w:val="00F767E4"/>
    <w:rsid w:val="00F76E3E"/>
    <w:rsid w:val="00F77F30"/>
    <w:rsid w:val="00F80790"/>
    <w:rsid w:val="00F82589"/>
    <w:rsid w:val="00F82B19"/>
    <w:rsid w:val="00F877BB"/>
    <w:rsid w:val="00F90AA7"/>
    <w:rsid w:val="00F9212D"/>
    <w:rsid w:val="00FA1E8B"/>
    <w:rsid w:val="00FA2B8C"/>
    <w:rsid w:val="00FA301A"/>
    <w:rsid w:val="00FA406A"/>
    <w:rsid w:val="00FA5CB6"/>
    <w:rsid w:val="00FB2C97"/>
    <w:rsid w:val="00FC66AC"/>
    <w:rsid w:val="00FD18F4"/>
    <w:rsid w:val="00FD67FB"/>
    <w:rsid w:val="00FD6C57"/>
    <w:rsid w:val="00FD74B4"/>
    <w:rsid w:val="00FE2E8F"/>
    <w:rsid w:val="00FE448B"/>
    <w:rsid w:val="00FF477E"/>
    <w:rsid w:val="00FF5B10"/>
    <w:rsid w:val="00FF5B84"/>
    <w:rsid w:val="00FF6FCE"/>
    <w:rsid w:val="00FF7518"/>
    <w:rsid w:val="00FF7FD8"/>
    <w:rsid w:val="0364477A"/>
    <w:rsid w:val="05742AC8"/>
    <w:rsid w:val="06352F05"/>
    <w:rsid w:val="063E7D85"/>
    <w:rsid w:val="070875E0"/>
    <w:rsid w:val="07293586"/>
    <w:rsid w:val="07295285"/>
    <w:rsid w:val="07770C56"/>
    <w:rsid w:val="092217DD"/>
    <w:rsid w:val="093A7294"/>
    <w:rsid w:val="0BD27BF6"/>
    <w:rsid w:val="0E110D06"/>
    <w:rsid w:val="0F13775A"/>
    <w:rsid w:val="0F9A112B"/>
    <w:rsid w:val="106D2F64"/>
    <w:rsid w:val="10B63710"/>
    <w:rsid w:val="111C2F7A"/>
    <w:rsid w:val="113013DE"/>
    <w:rsid w:val="122B06C2"/>
    <w:rsid w:val="13951726"/>
    <w:rsid w:val="14396509"/>
    <w:rsid w:val="1447165C"/>
    <w:rsid w:val="17735226"/>
    <w:rsid w:val="1A1C66C0"/>
    <w:rsid w:val="1A42393B"/>
    <w:rsid w:val="1B046F80"/>
    <w:rsid w:val="1B3267B5"/>
    <w:rsid w:val="1BC25DC8"/>
    <w:rsid w:val="1C5E7925"/>
    <w:rsid w:val="1C887FC8"/>
    <w:rsid w:val="1D2E6736"/>
    <w:rsid w:val="1D5F6196"/>
    <w:rsid w:val="1D6132A5"/>
    <w:rsid w:val="1D8E56D5"/>
    <w:rsid w:val="1E7A43DA"/>
    <w:rsid w:val="1EB277FE"/>
    <w:rsid w:val="1FE7539E"/>
    <w:rsid w:val="20963CB8"/>
    <w:rsid w:val="20B07FB6"/>
    <w:rsid w:val="213B74B1"/>
    <w:rsid w:val="215A2310"/>
    <w:rsid w:val="21DE318A"/>
    <w:rsid w:val="21EF5B80"/>
    <w:rsid w:val="22576990"/>
    <w:rsid w:val="229C4EAB"/>
    <w:rsid w:val="252D53FE"/>
    <w:rsid w:val="25EC2D81"/>
    <w:rsid w:val="264528BD"/>
    <w:rsid w:val="27D15DD1"/>
    <w:rsid w:val="28A76295"/>
    <w:rsid w:val="29206EB8"/>
    <w:rsid w:val="29E325E0"/>
    <w:rsid w:val="2A452503"/>
    <w:rsid w:val="2BA936A8"/>
    <w:rsid w:val="2C315A5A"/>
    <w:rsid w:val="2D9E56F5"/>
    <w:rsid w:val="2DAA2BDE"/>
    <w:rsid w:val="2E667F96"/>
    <w:rsid w:val="2E8226AB"/>
    <w:rsid w:val="2F832C79"/>
    <w:rsid w:val="2FEF2D58"/>
    <w:rsid w:val="30580BC9"/>
    <w:rsid w:val="311E2ED7"/>
    <w:rsid w:val="315C449C"/>
    <w:rsid w:val="31B82709"/>
    <w:rsid w:val="32383820"/>
    <w:rsid w:val="32400B34"/>
    <w:rsid w:val="329E6876"/>
    <w:rsid w:val="33416340"/>
    <w:rsid w:val="33D934D4"/>
    <w:rsid w:val="33FE2F6A"/>
    <w:rsid w:val="36074A7F"/>
    <w:rsid w:val="36923549"/>
    <w:rsid w:val="36B75FBF"/>
    <w:rsid w:val="36FB4891"/>
    <w:rsid w:val="38F12CD3"/>
    <w:rsid w:val="38F94775"/>
    <w:rsid w:val="392971ED"/>
    <w:rsid w:val="3B3763D1"/>
    <w:rsid w:val="3CDA245A"/>
    <w:rsid w:val="3CEE0A37"/>
    <w:rsid w:val="3F660E74"/>
    <w:rsid w:val="407A6407"/>
    <w:rsid w:val="423A3BCC"/>
    <w:rsid w:val="433A6FE6"/>
    <w:rsid w:val="4350713C"/>
    <w:rsid w:val="436653E0"/>
    <w:rsid w:val="44CD14E0"/>
    <w:rsid w:val="458946E9"/>
    <w:rsid w:val="46D955A7"/>
    <w:rsid w:val="47133957"/>
    <w:rsid w:val="4779329E"/>
    <w:rsid w:val="47A07E0C"/>
    <w:rsid w:val="4870272E"/>
    <w:rsid w:val="49DC7715"/>
    <w:rsid w:val="4A023139"/>
    <w:rsid w:val="4A7B576F"/>
    <w:rsid w:val="4C4A0649"/>
    <w:rsid w:val="4CE470D3"/>
    <w:rsid w:val="4DEC4FB0"/>
    <w:rsid w:val="4E075D8A"/>
    <w:rsid w:val="4FC62A8C"/>
    <w:rsid w:val="4FE20F0D"/>
    <w:rsid w:val="50504C4B"/>
    <w:rsid w:val="509C6E7C"/>
    <w:rsid w:val="5162104E"/>
    <w:rsid w:val="53A039CC"/>
    <w:rsid w:val="53A1505A"/>
    <w:rsid w:val="54063E08"/>
    <w:rsid w:val="543437E8"/>
    <w:rsid w:val="559B174B"/>
    <w:rsid w:val="55CE0CF4"/>
    <w:rsid w:val="56B22A9C"/>
    <w:rsid w:val="57B72A76"/>
    <w:rsid w:val="5A3C747D"/>
    <w:rsid w:val="5ABE2233"/>
    <w:rsid w:val="5B276D18"/>
    <w:rsid w:val="5BDF5D95"/>
    <w:rsid w:val="5DF87A0F"/>
    <w:rsid w:val="5F1A2B43"/>
    <w:rsid w:val="5FB837BB"/>
    <w:rsid w:val="60B77FA4"/>
    <w:rsid w:val="62364782"/>
    <w:rsid w:val="628D0B60"/>
    <w:rsid w:val="63D40BE9"/>
    <w:rsid w:val="63E0211F"/>
    <w:rsid w:val="65373578"/>
    <w:rsid w:val="673F2C7A"/>
    <w:rsid w:val="681F6961"/>
    <w:rsid w:val="68610A2F"/>
    <w:rsid w:val="68805514"/>
    <w:rsid w:val="694E2071"/>
    <w:rsid w:val="697A3B33"/>
    <w:rsid w:val="699E2456"/>
    <w:rsid w:val="6B322639"/>
    <w:rsid w:val="6C636C38"/>
    <w:rsid w:val="6DB34098"/>
    <w:rsid w:val="6DB545B6"/>
    <w:rsid w:val="6E4375A0"/>
    <w:rsid w:val="6E514CED"/>
    <w:rsid w:val="6E79491A"/>
    <w:rsid w:val="6EB563D5"/>
    <w:rsid w:val="6F225983"/>
    <w:rsid w:val="6FFC5590"/>
    <w:rsid w:val="70301DA3"/>
    <w:rsid w:val="706D1DD0"/>
    <w:rsid w:val="70856B87"/>
    <w:rsid w:val="70D527EE"/>
    <w:rsid w:val="715B5300"/>
    <w:rsid w:val="715F4BD7"/>
    <w:rsid w:val="71D27F8A"/>
    <w:rsid w:val="71F744C6"/>
    <w:rsid w:val="71F960CF"/>
    <w:rsid w:val="731F5D5E"/>
    <w:rsid w:val="741E793C"/>
    <w:rsid w:val="758D75E2"/>
    <w:rsid w:val="77762421"/>
    <w:rsid w:val="780F09F4"/>
    <w:rsid w:val="789C4F47"/>
    <w:rsid w:val="78A90480"/>
    <w:rsid w:val="79811327"/>
    <w:rsid w:val="7A364017"/>
    <w:rsid w:val="7A8265E1"/>
    <w:rsid w:val="7B686D42"/>
    <w:rsid w:val="7B841746"/>
    <w:rsid w:val="7D0239FF"/>
    <w:rsid w:val="7D5E40CD"/>
    <w:rsid w:val="7D693BED"/>
    <w:rsid w:val="7FE47E50"/>
  </w:rsids>
  <w:docVars>
    <w:docVar w:name="commondata" w:val="eyJoZGlkIjoiYjAzZjM2NWRkNTZlMTQ5ODAzMjdjZjM4ZjA3Nzc0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EmbedSmartTag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lsdException w:name="heading 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Normal Indent" w:semiHidden="0" w:uiPriority="0" w:unhideWhenUsed="0" w:qFormat="1"/>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lsdException w:name="index heading" w:semiHidden="0" w:uiPriority="0" w:unhideWhenUsed="0"/>
    <w:lsdException w:name="caption" w:locked="1"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locked="1"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locked="1"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locked="1" w:semiHidden="0" w:uiPriority="0" w:unhideWhenUsed="0" w:qFormat="1"/>
    <w:lsdException w:name="Emphasis" w:locked="1"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lsdException w:name="annotation subject" w:uiPriority="0" w:unhideWhenUsed="0" w:qFormat="1"/>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uiPriority="0" w:unhideWhenUsed="0"/>
    <w:lsdException w:name="Table Grid" w:semiHidden="0" w:uiPriority="0" w:unhideWhenUsed="0" w:qFormat="1"/>
    <w:lsdException w:name="Table Theme" w:uiPriority="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pPr>
      <w:widowControl w:val="0"/>
      <w:jc w:val="center"/>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qFormat/>
    <w:pPr>
      <w:keepNext/>
      <w:overflowPunct w:val="0"/>
      <w:snapToGrid w:val="0"/>
      <w:spacing w:before="120" w:after="160" w:line="259" w:lineRule="auto"/>
      <w:ind w:left="432" w:hanging="432"/>
      <w:outlineLvl w:val="0"/>
    </w:pPr>
    <w:rPr>
      <w:rFonts w:eastAsia="黑体"/>
      <w:b/>
      <w:bCs/>
      <w:color w:val="000000"/>
      <w:kern w:val="44"/>
      <w:sz w:val="30"/>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NormalIndent">
    <w:name w:val="Normal Indent"/>
    <w:basedOn w:val="Normal"/>
    <w:next w:val="Normal"/>
    <w:qFormat/>
    <w:pPr>
      <w:spacing w:line="360" w:lineRule="auto"/>
      <w:jc w:val="both"/>
    </w:pPr>
    <w:rPr>
      <w:rFonts w:eastAsia="黑体"/>
      <w:sz w:val="28"/>
    </w:rPr>
  </w:style>
  <w:style w:type="paragraph" w:styleId="CommentText">
    <w:name w:val="annotation text"/>
    <w:basedOn w:val="Normal"/>
    <w:link w:val="a2"/>
    <w:semiHidden/>
    <w:qFormat/>
    <w:pPr>
      <w:jc w:val="left"/>
    </w:pPr>
    <w:rPr>
      <w:kern w:val="0"/>
      <w:sz w:val="20"/>
    </w:rPr>
  </w:style>
  <w:style w:type="paragraph" w:styleId="BodyText">
    <w:name w:val="Body Text"/>
    <w:basedOn w:val="Normal"/>
    <w:link w:val="a3"/>
    <w:pPr>
      <w:widowControl/>
      <w:snapToGrid w:val="0"/>
      <w:spacing w:before="60" w:after="160" w:line="259" w:lineRule="auto"/>
      <w:ind w:right="113"/>
    </w:pPr>
    <w:rPr>
      <w:kern w:val="0"/>
      <w:sz w:val="18"/>
      <w:szCs w:val="18"/>
    </w:rPr>
  </w:style>
  <w:style w:type="paragraph" w:styleId="BodyTextIndent">
    <w:name w:val="Body Text Indent"/>
    <w:basedOn w:val="Normal"/>
    <w:link w:val="a4"/>
    <w:semiHidden/>
    <w:pPr>
      <w:spacing w:after="120"/>
      <w:ind w:left="420" w:leftChars="200"/>
    </w:pPr>
  </w:style>
  <w:style w:type="paragraph" w:styleId="Date">
    <w:name w:val="Date"/>
    <w:basedOn w:val="Normal"/>
    <w:next w:val="Normal"/>
    <w:link w:val="1"/>
    <w:qFormat/>
    <w:pPr>
      <w:ind w:left="100" w:leftChars="2500"/>
    </w:pPr>
    <w:rPr>
      <w:kern w:val="0"/>
      <w:sz w:val="20"/>
    </w:rPr>
  </w:style>
  <w:style w:type="paragraph" w:styleId="BalloonText">
    <w:name w:val="Balloon Text"/>
    <w:basedOn w:val="Normal"/>
    <w:link w:val="a5"/>
    <w:semiHidden/>
    <w:rPr>
      <w:sz w:val="18"/>
      <w:szCs w:val="18"/>
    </w:rPr>
  </w:style>
  <w:style w:type="paragraph" w:styleId="Footer">
    <w:name w:val="footer"/>
    <w:basedOn w:val="Normal"/>
    <w:link w:val="a6"/>
    <w:pPr>
      <w:tabs>
        <w:tab w:val="center" w:pos="4153"/>
        <w:tab w:val="right" w:pos="8306"/>
      </w:tabs>
      <w:snapToGrid w:val="0"/>
      <w:jc w:val="left"/>
    </w:pPr>
    <w:rPr>
      <w:sz w:val="18"/>
      <w:szCs w:val="18"/>
    </w:rPr>
  </w:style>
  <w:style w:type="paragraph" w:styleId="Header">
    <w:name w:val="header"/>
    <w:basedOn w:val="Normal"/>
    <w:link w:val="a7"/>
    <w:qFormat/>
    <w:pPr>
      <w:pBdr>
        <w:bottom w:val="single" w:sz="6" w:space="1" w:color="auto"/>
      </w:pBdr>
      <w:tabs>
        <w:tab w:val="center" w:pos="4153"/>
        <w:tab w:val="right" w:pos="8306"/>
      </w:tabs>
      <w:snapToGrid w:val="0"/>
    </w:pPr>
    <w:rPr>
      <w:sz w:val="18"/>
      <w:szCs w:val="18"/>
    </w:rPr>
  </w:style>
  <w:style w:type="paragraph" w:styleId="NormalWeb">
    <w:name w:val="Normal (Web)"/>
    <w:basedOn w:val="Normal"/>
    <w:link w:val="a8"/>
    <w:pPr>
      <w:widowControl/>
      <w:spacing w:before="100" w:beforeAutospacing="1" w:after="100" w:afterAutospacing="1"/>
      <w:jc w:val="left"/>
    </w:pPr>
    <w:rPr>
      <w:rFonts w:ascii="宋体" w:hAnsi="宋体"/>
      <w:kern w:val="0"/>
      <w:sz w:val="24"/>
    </w:rPr>
  </w:style>
  <w:style w:type="paragraph" w:styleId="CommentSubject">
    <w:name w:val="annotation subject"/>
    <w:basedOn w:val="CommentText"/>
    <w:next w:val="CommentText"/>
    <w:link w:val="a9"/>
    <w:semiHidden/>
    <w:qFormat/>
    <w:rPr>
      <w:b/>
      <w:bCs/>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style>
  <w:style w:type="character" w:styleId="Emphasis">
    <w:name w:val="Emphasis"/>
    <w:basedOn w:val="a"/>
    <w:qFormat/>
    <w:locked/>
    <w:rPr>
      <w:rFonts w:ascii="Times New Roman" w:eastAsia="宋体" w:hAnsi="Times New Roman"/>
      <w:b/>
      <w:iCs/>
      <w:sz w:val="24"/>
      <w:szCs w:val="24"/>
    </w:rPr>
  </w:style>
  <w:style w:type="character" w:customStyle="1" w:styleId="a">
    <w:name w:val="环评正文 字符"/>
    <w:basedOn w:val="DefaultParagraphFont"/>
    <w:link w:val="a0"/>
    <w:rPr>
      <w:sz w:val="24"/>
      <w:szCs w:val="24"/>
    </w:rPr>
  </w:style>
  <w:style w:type="paragraph" w:customStyle="1" w:styleId="a0">
    <w:name w:val="环评正文"/>
    <w:link w:val="a"/>
    <w:qFormat/>
    <w:pPr>
      <w:widowControl w:val="0"/>
      <w:spacing w:line="360" w:lineRule="auto"/>
      <w:ind w:firstLine="200" w:firstLineChars="200"/>
    </w:pPr>
    <w:rPr>
      <w:rFonts w:ascii="Times New Roman" w:eastAsia="宋体" w:hAnsi="Times New Roman" w:cs="Times New Roman"/>
      <w:sz w:val="24"/>
      <w:szCs w:val="24"/>
      <w:lang w:val="en-US" w:eastAsia="zh-CN" w:bidi="ar-SA"/>
    </w:rPr>
  </w:style>
  <w:style w:type="character" w:styleId="CommentReference">
    <w:name w:val="annotation reference"/>
    <w:semiHidden/>
    <w:rPr>
      <w:sz w:val="21"/>
    </w:rPr>
  </w:style>
  <w:style w:type="paragraph" w:customStyle="1" w:styleId="a1">
    <w:name w:val="表格"/>
    <w:basedOn w:val="Normal"/>
    <w:next w:val="Normal"/>
    <w:link w:val="Char"/>
    <w:pPr>
      <w:adjustRightInd w:val="0"/>
      <w:snapToGrid w:val="0"/>
      <w:spacing w:beforeLines="10" w:afterLines="10" w:line="259" w:lineRule="auto"/>
    </w:pPr>
    <w:rPr>
      <w:rFonts w:ascii="宋体"/>
      <w:kern w:val="0"/>
      <w:sz w:val="20"/>
      <w:szCs w:val="21"/>
    </w:rPr>
  </w:style>
  <w:style w:type="character" w:customStyle="1" w:styleId="a2">
    <w:name w:val="批注文字 字符"/>
    <w:link w:val="CommentText"/>
    <w:locked/>
    <w:rPr>
      <w:rFonts w:ascii="Times New Roman" w:eastAsia="宋体" w:hAnsi="Times New Roman"/>
      <w:sz w:val="24"/>
    </w:rPr>
  </w:style>
  <w:style w:type="character" w:customStyle="1" w:styleId="a3">
    <w:name w:val="正文文本 字符"/>
    <w:link w:val="BodyText"/>
    <w:locked/>
    <w:rPr>
      <w:sz w:val="18"/>
    </w:rPr>
  </w:style>
  <w:style w:type="character" w:customStyle="1" w:styleId="a4">
    <w:name w:val="正文文本缩进 字符"/>
    <w:link w:val="BodyTextIndent"/>
    <w:semiHidden/>
    <w:qFormat/>
    <w:locked/>
    <w:rPr>
      <w:rFonts w:ascii="Times New Roman" w:eastAsia="宋体" w:hAnsi="Times New Roman" w:cs="Times New Roman"/>
      <w:sz w:val="24"/>
      <w:szCs w:val="24"/>
    </w:rPr>
  </w:style>
  <w:style w:type="character" w:customStyle="1" w:styleId="1">
    <w:name w:val="日期 字符1"/>
    <w:link w:val="Date"/>
    <w:locked/>
    <w:rPr>
      <w:rFonts w:ascii="Times New Roman" w:eastAsia="宋体" w:hAnsi="Times New Roman"/>
      <w:sz w:val="24"/>
    </w:rPr>
  </w:style>
  <w:style w:type="character" w:customStyle="1" w:styleId="a5">
    <w:name w:val="批注框文本 字符"/>
    <w:link w:val="BalloonText"/>
    <w:semiHidden/>
    <w:qFormat/>
    <w:locked/>
    <w:rPr>
      <w:rFonts w:ascii="Times New Roman" w:eastAsia="宋体" w:hAnsi="Times New Roman" w:cs="Times New Roman"/>
      <w:sz w:val="18"/>
      <w:szCs w:val="18"/>
    </w:rPr>
  </w:style>
  <w:style w:type="character" w:customStyle="1" w:styleId="a6">
    <w:name w:val="页脚 字符"/>
    <w:link w:val="Footer"/>
    <w:locked/>
    <w:rPr>
      <w:rFonts w:cs="Times New Roman"/>
      <w:sz w:val="18"/>
      <w:szCs w:val="18"/>
    </w:rPr>
  </w:style>
  <w:style w:type="character" w:customStyle="1" w:styleId="a7">
    <w:name w:val="页眉 字符"/>
    <w:link w:val="Header"/>
    <w:locked/>
    <w:rPr>
      <w:rFonts w:cs="Times New Roman"/>
      <w:sz w:val="18"/>
      <w:szCs w:val="18"/>
    </w:rPr>
  </w:style>
  <w:style w:type="character" w:customStyle="1" w:styleId="a8">
    <w:name w:val="普通(网站) 字符"/>
    <w:link w:val="NormalWeb"/>
    <w:locked/>
    <w:rPr>
      <w:rFonts w:ascii="宋体" w:eastAsia="宋体" w:hAnsi="宋体"/>
      <w:sz w:val="24"/>
    </w:rPr>
  </w:style>
  <w:style w:type="character" w:customStyle="1" w:styleId="a9">
    <w:name w:val="批注主题 字符"/>
    <w:link w:val="CommentSubject"/>
    <w:semiHidden/>
    <w:locked/>
    <w:rPr>
      <w:rFonts w:cs="Times New Roman"/>
      <w:b/>
      <w:bCs/>
      <w:kern w:val="2"/>
      <w:szCs w:val="24"/>
    </w:rPr>
  </w:style>
  <w:style w:type="character" w:customStyle="1" w:styleId="a10">
    <w:name w:val="日期 字符"/>
    <w:semiHidden/>
    <w:qFormat/>
    <w:rPr>
      <w:rFonts w:ascii="Times New Roman" w:eastAsia="宋体" w:hAnsi="Times New Roman" w:cs="Times New Roman"/>
      <w:sz w:val="24"/>
      <w:szCs w:val="24"/>
    </w:rPr>
  </w:style>
  <w:style w:type="character" w:customStyle="1" w:styleId="10">
    <w:name w:val="正文文本 字符1"/>
    <w:semiHidden/>
    <w:rPr>
      <w:rFonts w:ascii="Times New Roman" w:eastAsia="宋体" w:hAnsi="Times New Roman" w:cs="Times New Roman"/>
      <w:sz w:val="24"/>
      <w:szCs w:val="24"/>
    </w:rPr>
  </w:style>
  <w:style w:type="paragraph" w:customStyle="1" w:styleId="2">
    <w:name w:val="普通(网站)2"/>
    <w:basedOn w:val="Normal"/>
    <w:qFormat/>
    <w:pPr>
      <w:widowControl/>
      <w:spacing w:before="100" w:beforeAutospacing="1" w:after="100" w:afterAutospacing="1"/>
      <w:jc w:val="left"/>
    </w:pPr>
    <w:rPr>
      <w:rFonts w:ascii="宋体" w:hAnsi="宋体"/>
      <w:sz w:val="24"/>
      <w:szCs w:val="20"/>
    </w:rPr>
  </w:style>
  <w:style w:type="character" w:customStyle="1" w:styleId="Char">
    <w:name w:val="表格 Char"/>
    <w:link w:val="a1"/>
    <w:qFormat/>
    <w:locked/>
    <w:rPr>
      <w:rFonts w:ascii="宋体"/>
      <w:sz w:val="21"/>
    </w:rPr>
  </w:style>
  <w:style w:type="character" w:customStyle="1" w:styleId="11">
    <w:name w:val="批注文字 字符1"/>
    <w:semiHidden/>
    <w:rPr>
      <w:rFonts w:ascii="Times New Roman" w:eastAsia="宋体" w:hAnsi="Times New Roman" w:cs="Times New Roman"/>
      <w:sz w:val="24"/>
      <w:szCs w:val="24"/>
    </w:rPr>
  </w:style>
  <w:style w:type="character" w:customStyle="1" w:styleId="Char0">
    <w:name w:val="普通(网站) Char"/>
    <w:locked/>
    <w:rPr>
      <w:rFonts w:ascii="宋体" w:eastAsia="宋体" w:hAnsi="宋体"/>
      <w:sz w:val="24"/>
    </w:rPr>
  </w:style>
  <w:style w:type="paragraph" w:customStyle="1" w:styleId="a11">
    <w:name w:val="环评表头"/>
    <w:basedOn w:val="a0"/>
    <w:next w:val="a0"/>
    <w:link w:val="a12"/>
    <w:qFormat/>
    <w:pPr>
      <w:spacing w:line="240" w:lineRule="auto"/>
      <w:ind w:firstLine="0" w:firstLineChars="0"/>
      <w:jc w:val="center"/>
    </w:pPr>
    <w:rPr>
      <w:b/>
      <w:sz w:val="21"/>
    </w:rPr>
  </w:style>
  <w:style w:type="character" w:customStyle="1" w:styleId="a12">
    <w:name w:val="环评表头 字符"/>
    <w:basedOn w:val="a"/>
    <w:link w:val="a11"/>
    <w:qFormat/>
    <w:rPr>
      <w:b/>
      <w:sz w:val="21"/>
      <w:szCs w:val="24"/>
    </w:rPr>
  </w:style>
  <w:style w:type="paragraph" w:customStyle="1" w:styleId="a13">
    <w:name w:val="表格内容"/>
    <w:basedOn w:val="Normal"/>
    <w:link w:val="a14"/>
    <w:qFormat/>
    <w:pPr>
      <w:spacing w:line="240" w:lineRule="exact"/>
    </w:pPr>
    <w:rPr>
      <w:color w:val="000000"/>
    </w:rPr>
  </w:style>
  <w:style w:type="character" w:customStyle="1" w:styleId="a14">
    <w:name w:val="表格内容 字符"/>
    <w:basedOn w:val="DefaultParagraphFont"/>
    <w:link w:val="a13"/>
    <w:qFormat/>
    <w:rPr>
      <w:color w:val="000000"/>
      <w:kern w:val="2"/>
      <w:sz w:val="21"/>
      <w:szCs w:val="24"/>
    </w:rPr>
  </w:style>
  <w:style w:type="character" w:customStyle="1" w:styleId="fontstyle01">
    <w:name w:val="fontstyle01"/>
    <w:basedOn w:val="DefaultParagraphFont"/>
    <w:rPr>
      <w:rFonts w:ascii="宋体" w:eastAsia="宋体" w:hAnsi="宋体" w:hint="eastAsia"/>
      <w:color w:val="000000"/>
      <w:sz w:val="30"/>
      <w:szCs w:val="30"/>
    </w:rPr>
  </w:style>
  <w:style w:type="table" w:customStyle="1" w:styleId="TableGrid0">
    <w:name w:val="Table Grid_0"/>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_6"/>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footer" Target="footer6.xml" /><Relationship Id="rId12" Type="http://schemas.openxmlformats.org/officeDocument/2006/relationships/footer" Target="footer7.xml" /><Relationship Id="rId13" Type="http://schemas.openxmlformats.org/officeDocument/2006/relationships/hyperlink" Target="https://d.book118.com/966020210001010103" TargetMode="External" /><Relationship Id="rId14" Type="http://schemas.openxmlformats.org/officeDocument/2006/relationships/footer" Target="footer8.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footer" Target="footer3.xml" /><Relationship Id="rId9" Type="http://schemas.openxmlformats.org/officeDocument/2006/relationships/footer" Target="foot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E0CC5E-A03A-4039-92FE-9F06BD077DDA}">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10</Pages>
  <Words>4137</Words>
  <Characters>23582</Characters>
  <Application>Microsoft Office Word</Application>
  <DocSecurity>0</DocSecurity>
  <Lines>196</Lines>
  <Paragraphs>55</Paragraphs>
  <ScaleCrop>false</ScaleCrop>
  <Company>微软中国</Company>
  <LinksUpToDate>false</LinksUpToDate>
  <CharactersWithSpaces>27664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lhj</dc:creator>
  <cp:lastModifiedBy>WPS_1559717548</cp:lastModifiedBy>
  <cp:revision>21</cp:revision>
  <cp:lastPrinted>2020-12-24T01:50:00Z</cp:lastPrinted>
  <dcterms:created xsi:type="dcterms:W3CDTF">2023-08-09T12:31:00Z</dcterms:created>
  <dcterms:modified xsi:type="dcterms:W3CDTF">2024-03-18T12:28:08Z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4C6C5A40F20E4E7FA4EF0272070221C0</vt:lpwstr>
  </property>
  <property fmtid="{D5CDD505-2E9C-101B-9397-08002B2CF9AE}" pid="3" name="KSOProductBuildVer">
    <vt:lpwstr>2052-11.1.0.10009</vt:lpwstr>
  </property>
</Properties>
</file>