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会议及展览服务相关行业公司成立报告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一、会议及展览服务项目概况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(二)、会议及展览服务项目提出的理由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(三)、会议及展览服务项目选址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_Toc23239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(六)、会议及展览服务项目投资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9" w:history="1">
        <w:r>
          <w:rPr>
            <w:rFonts w:ascii="仿宋" w:eastAsia="仿宋" w:hAnsi="仿宋" w:cs="仿宋" w:hint="eastAsia"/>
            <w:lang w:eastAsia="zh-CN"/>
          </w:rPr>
          <w:t>(七)、会议及展览服务项目进度规划</w:t>
        </w:r>
        <w:r>
          <w:tab/>
        </w:r>
        <w:r>
          <w:fldChar w:fldCharType="begin"/>
        </w:r>
        <w:r>
          <w:instrText xml:space="preserve"> PAGEREF _Toc20929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(九)、会议及展览服务项目综合评价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eastAsia="zh-CN"/>
          </w:rPr>
          <w:t>(一)、会议及展览服务项目选址原则</w:t>
        </w:r>
        <w:r>
          <w:tab/>
        </w:r>
        <w:r>
          <w:fldChar w:fldCharType="begin"/>
        </w:r>
        <w:r>
          <w:instrText xml:space="preserve"> PAGEREF _Toc16454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(五)、会议及展览服务项目选址综合评价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_Toc10405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_Toc3697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9" w:history="1">
        <w:r>
          <w:rPr>
            <w:rFonts w:ascii="仿宋" w:eastAsia="仿宋" w:hAnsi="仿宋" w:cs="仿宋" w:hint="eastAsia"/>
            <w:lang w:eastAsia="zh-CN"/>
          </w:rPr>
          <w:t>(七)、会议及展览服务项目建设必要性分析</w:t>
        </w:r>
        <w:r>
          <w:tab/>
        </w:r>
        <w:r>
          <w:fldChar w:fldCharType="begin"/>
        </w:r>
        <w:r>
          <w:instrText xml:space="preserve"> PAGEREF _Toc5009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7" w:history="1">
        <w:r>
          <w:rPr>
            <w:rFonts w:ascii="仿宋" w:eastAsia="仿宋" w:hAnsi="仿宋" w:cs="仿宋" w:hint="eastAsia"/>
            <w:lang w:eastAsia="zh-CN"/>
          </w:rPr>
          <w:t>四、会议及展览服务筹建公司基本信息</w:t>
        </w:r>
        <w:r>
          <w:tab/>
        </w:r>
        <w:r>
          <w:fldChar w:fldCharType="begin"/>
        </w:r>
        <w:r>
          <w:instrText xml:space="preserve"> PAGEREF _Toc26857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_Toc22936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_Toc8763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_Toc21700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2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_Toc14129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_Toc3987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2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_Toc15622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_Toc14179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3" w:history="1">
        <w:r>
          <w:rPr>
            <w:rFonts w:ascii="仿宋" w:eastAsia="仿宋" w:hAnsi="仿宋" w:cs="仿宋" w:hint="eastAsia"/>
            <w:lang w:eastAsia="zh-CN"/>
          </w:rPr>
          <w:t>(五)、会议及展览服务项目总投资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_Toc23031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_Toc13351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_Toc25633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_Toc18030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6" w:history="1">
        <w:r>
          <w:rPr>
            <w:rFonts w:ascii="仿宋" w:eastAsia="仿宋" w:hAnsi="仿宋" w:cs="仿宋" w:hint="eastAsia"/>
            <w:lang w:eastAsia="zh-CN"/>
          </w:rPr>
          <w:t>(一)、会议及展览服务项目进度安排</w:t>
        </w:r>
        <w:r>
          <w:tab/>
        </w:r>
        <w:r>
          <w:fldChar w:fldCharType="begin"/>
        </w:r>
        <w:r>
          <w:instrText xml:space="preserve"> PAGEREF _Toc15226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(二)、会议及展览服务项目实施保障措施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_Toc18324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_Toc22136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_Toc8722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(二)、合作会议及展览服务项目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_Toc9532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_Toc7929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_Toc17428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_Toc5074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82"/>
      <w:r>
        <w:rPr>
          <w:rFonts w:ascii="仿宋" w:eastAsia="仿宋" w:hAnsi="仿宋" w:cs="仿宋" w:hint="eastAsia"/>
          <w:sz w:val="28"/>
          <w:lang w:eastAsia="zh-CN"/>
        </w:rPr>
        <w:t>一、会议及展览服务项目概况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7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359"/>
      <w:r>
        <w:rPr>
          <w:rFonts w:ascii="仿宋" w:eastAsia="仿宋" w:hAnsi="仿宋" w:cs="仿宋" w:hint="eastAsia"/>
          <w:sz w:val="28"/>
          <w:lang w:eastAsia="zh-CN"/>
        </w:rPr>
        <w:t>(二)、会议及展览服务项目提出的理由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会议及展览服务项目提出的理由可能包括以下几个方面：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市场需求：随着人们对生活品质的追求，对会议及展览服务的需求也在不断增加。市场上对于高品质、符合个性化需求的会议及展览服务需求量大，因此会议及展览服务项目可以满足这一市场需求。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利润空间：会议及展览服务行业的利润空间较大，通过生产和销售高品质的会议及展览服务，可以获得可观的利润。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https://d.book118.com/966031041113010035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会议及展览服务相关行业公司成立报告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6031041113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2024-01-04T09:17:00Z</dcterms:created>
  <dcterms:modified xsi:type="dcterms:W3CDTF">2024-01-04T09:17:59Z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93EC312DC1E84C15878604594BD7DE71_11</vt:lpwstr>
  </property>
  <property fmtid="{D5CDD505-2E9C-101B-9397-08002B2CF9AE}" pid="3" name="KSOProductBuildVer">
    <vt:lpwstr>2052-12.1.0.16120</vt:lpwstr>
  </property>
</Properties>
</file>