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9225E">
      <w:pPr>
        <w:pStyle w:val="LW00"/>
        <w:rPr>
          <w:sz w:val="48"/>
          <w:szCs w:val="48"/>
        </w:rPr>
      </w:pPr>
      <w:r>
        <w:rPr>
          <w:rFonts w:hint="eastAsia"/>
          <w:sz w:val="48"/>
          <w:szCs w:val="48"/>
        </w:rPr>
        <w:t>水环境综合治理</w:t>
      </w:r>
      <w:r>
        <w:rPr>
          <w:rFonts w:hint="eastAsia"/>
          <w:sz w:val="48"/>
          <w:szCs w:val="48"/>
        </w:rPr>
        <w:t>项目</w:t>
      </w:r>
      <w:r>
        <w:rPr>
          <w:rFonts w:hint="eastAsia"/>
          <w:sz w:val="48"/>
          <w:szCs w:val="48"/>
        </w:rPr>
        <w:t>-</w:t>
      </w:r>
      <w:r>
        <w:rPr>
          <w:rFonts w:hint="eastAsia"/>
          <w:sz w:val="48"/>
          <w:szCs w:val="48"/>
        </w:rPr>
        <w:t>纵一路一期建设工程</w:t>
      </w:r>
    </w:p>
    <w:p w:rsidR="00D9225E">
      <w:pPr>
        <w:pStyle w:val="LW00"/>
        <w:rPr>
          <w:sz w:val="48"/>
          <w:szCs w:val="48"/>
        </w:rPr>
        <w:sectPr>
          <w:headerReference w:type="even" r:id="rId6"/>
          <w:footerReference w:type="even" r:id="rId7"/>
          <w:pgSz w:w="23811" w:h="16838" w:orient="landscape"/>
          <w:pgMar w:top="851" w:right="851" w:bottom="3119" w:left="1985" w:header="879" w:footer="765" w:gutter="0"/>
          <w:cols w:space="425"/>
          <w:docGrid w:type="lines" w:linePitch="312"/>
        </w:sectPr>
      </w:pPr>
      <w:r>
        <w:rPr>
          <w:rFonts w:hint="eastAsia"/>
          <w:sz w:val="48"/>
          <w:szCs w:val="48"/>
        </w:rPr>
        <w:t>道路</w:t>
      </w:r>
      <w:r>
        <w:rPr>
          <w:rFonts w:hint="eastAsia"/>
          <w:sz w:val="48"/>
          <w:szCs w:val="48"/>
        </w:rPr>
        <w:t>施工图设计说明</w:t>
      </w:r>
    </w:p>
    <w:p w:rsidR="00D9225E">
      <w:pPr>
        <w:pStyle w:val="LW11"/>
      </w:pPr>
      <w:r>
        <w:rPr>
          <w:rFonts w:hint="eastAsia"/>
        </w:rPr>
        <w:t>概述</w:t>
      </w:r>
    </w:p>
    <w:p w:rsidR="00D9225E">
      <w:pPr>
        <w:pStyle w:val="LW21"/>
      </w:pPr>
      <w:bookmarkStart w:id="0" w:name="_Toc88141307"/>
      <w:bookmarkStart w:id="1" w:name="_Toc88140143"/>
      <w:bookmarkStart w:id="2" w:name="_Toc88337450"/>
      <w:bookmarkStart w:id="3" w:name="_Toc88148428"/>
      <w:r>
        <w:rPr>
          <w:rFonts w:hint="eastAsia"/>
        </w:rPr>
        <w:t>项目区位</w:t>
      </w:r>
      <w:bookmarkEnd w:id="0"/>
      <w:bookmarkEnd w:id="1"/>
      <w:bookmarkEnd w:id="2"/>
      <w:bookmarkEnd w:id="3"/>
    </w:p>
    <w:p w:rsidR="00D9225E">
      <w:pPr>
        <w:pStyle w:val="LW21"/>
        <w:ind w:firstLine="520"/>
      </w:pPr>
      <w:bookmarkStart w:id="4" w:name="_Toc56537676"/>
      <w:bookmarkStart w:id="5" w:name="_Toc51002566"/>
      <w:bookmarkStart w:id="6" w:name="_Toc56519863"/>
      <w:bookmarkStart w:id="7" w:name="_Toc529402109"/>
      <w:bookmarkStart w:id="8" w:name="_Toc57145144"/>
      <w:r>
        <w:rPr>
          <w:rFonts w:hint="eastAsia"/>
        </w:rPr>
        <w:t>前期建设</w:t>
      </w:r>
      <w:bookmarkEnd w:id="4"/>
      <w:bookmarkEnd w:id="5"/>
      <w:bookmarkEnd w:id="6"/>
      <w:bookmarkEnd w:id="7"/>
      <w:bookmarkEnd w:id="8"/>
    </w:p>
    <w:p w:rsidR="00D9225E">
      <w:pPr>
        <w:pStyle w:val="LW"/>
        <w:ind w:firstLine="520"/>
      </w:pPr>
      <w:bookmarkStart w:id="9" w:name="_Toc88337455"/>
      <w:bookmarkStart w:id="10" w:name="_Toc88148433"/>
      <w:bookmarkStart w:id="11" w:name="_Toc88140148"/>
      <w:bookmarkStart w:id="12" w:name="_Toc88141312"/>
      <w:r>
        <w:rPr>
          <w:rFonts w:hint="eastAsia"/>
        </w:rPr>
        <w:t>道路根据规划布线，路线总体呈南北走向，道路北侧起于规划渝秀大道（城市主干道），由北向南分别与规划道路一（城市支路）、规划道路二（城市次干道）、规划道路</w:t>
      </w:r>
      <w:r>
        <w:rPr>
          <w:rFonts w:hint="eastAsia"/>
        </w:rPr>
        <w:t>三</w:t>
      </w:r>
      <w:r>
        <w:rPr>
          <w:rFonts w:hint="eastAsia"/>
        </w:rPr>
        <w:t>（城市支路）相交，南侧终点与</w:t>
      </w:r>
      <w:r>
        <w:rPr>
          <w:rFonts w:hint="eastAsia"/>
        </w:rPr>
        <w:t>现状学府大道</w:t>
      </w:r>
      <w:r>
        <w:rPr>
          <w:rFonts w:hint="eastAsia"/>
        </w:rPr>
        <w:t>（城市主干道）相交，全长</w:t>
      </w:r>
      <w:r>
        <w:rPr>
          <w:rFonts w:hint="eastAsia"/>
        </w:rPr>
        <w:t>773.987m</w:t>
      </w:r>
      <w:r>
        <w:rPr>
          <w:rFonts w:hint="eastAsia"/>
        </w:rPr>
        <w:t>（设计范围</w:t>
      </w:r>
      <w:r>
        <w:rPr>
          <w:rFonts w:hint="eastAsia"/>
        </w:rPr>
        <w:t>K0+017.306</w:t>
      </w:r>
      <w:r>
        <w:rPr>
          <w:rFonts w:hint="eastAsia"/>
        </w:rPr>
        <w:t>～</w:t>
      </w:r>
      <w:r>
        <w:rPr>
          <w:rFonts w:hint="eastAsia"/>
        </w:rPr>
        <w:t>K0+791.293</w:t>
      </w:r>
      <w:r>
        <w:rPr>
          <w:rFonts w:hint="eastAsia"/>
        </w:rPr>
        <w:t>段）。道路等级为城市主干道，设计时速采用</w:t>
      </w:r>
      <w:r>
        <w:rPr>
          <w:rFonts w:hint="eastAsia"/>
        </w:rPr>
        <w:t>6</w:t>
      </w:r>
      <w:r>
        <w:rPr>
          <w:rFonts w:hint="eastAsia"/>
        </w:rPr>
        <w:t>0km/h</w:t>
      </w:r>
      <w:r>
        <w:rPr>
          <w:rFonts w:hint="eastAsia"/>
        </w:rPr>
        <w:t>，标准路幅宽度为</w:t>
      </w:r>
      <w:r>
        <w:rPr>
          <w:rFonts w:hint="eastAsia"/>
        </w:rPr>
        <w:t>44m</w:t>
      </w:r>
      <w:r>
        <w:rPr>
          <w:rFonts w:hint="eastAsia"/>
        </w:rPr>
        <w:t>（双向</w:t>
      </w:r>
      <w:r>
        <w:rPr>
          <w:rFonts w:hint="eastAsia"/>
        </w:rPr>
        <w:t>6</w:t>
      </w:r>
      <w:r>
        <w:rPr>
          <w:rFonts w:hint="eastAsia"/>
        </w:rPr>
        <w:t>车道</w:t>
      </w:r>
      <w:r>
        <w:rPr>
          <w:rFonts w:hint="eastAsia"/>
        </w:rPr>
        <w:t>+</w:t>
      </w:r>
      <w:r>
        <w:rPr>
          <w:rFonts w:hint="eastAsia"/>
        </w:rPr>
        <w:t>非机动车</w:t>
      </w:r>
      <w:r>
        <w:rPr>
          <w:rFonts w:hint="eastAsia"/>
        </w:rPr>
        <w:t>2</w:t>
      </w:r>
      <w:r>
        <w:rPr>
          <w:rFonts w:hint="eastAsia"/>
        </w:rPr>
        <w:t>车道），同时在人行动两侧设置</w:t>
      </w:r>
      <w:r>
        <w:rPr>
          <w:rFonts w:hint="eastAsia"/>
        </w:rPr>
        <w:t>10m</w:t>
      </w:r>
      <w:r>
        <w:rPr>
          <w:rFonts w:hint="eastAsia"/>
        </w:rPr>
        <w:t>的绿化带，道路全线无平曲线。</w:t>
      </w:r>
    </w:p>
    <w:p w:rsidR="00D9225E">
      <w:pPr>
        <w:pStyle w:val="LW1"/>
        <w:ind w:firstLine="520"/>
      </w:pPr>
      <w:r>
        <w:rPr>
          <w:rFonts w:hint="eastAsia"/>
        </w:rPr>
        <w:t>起点顺接规划纵一路</w:t>
      </w:r>
    </w:p>
    <w:p w:rsidR="00D9225E">
      <w:pPr>
        <w:pStyle w:val="LW"/>
        <w:ind w:firstLine="520"/>
      </w:pPr>
      <w:r>
        <w:rPr>
          <w:rFonts w:hint="eastAsia"/>
        </w:rPr>
        <w:t>规划纵一路为城市主干路，设计车速</w:t>
      </w:r>
      <w:r>
        <w:rPr>
          <w:rFonts w:hint="eastAsia"/>
        </w:rPr>
        <w:t>6</w:t>
      </w:r>
      <w:r>
        <w:rPr>
          <w:rFonts w:hint="eastAsia"/>
        </w:rPr>
        <w:t>0km/h</w:t>
      </w:r>
      <w:r>
        <w:rPr>
          <w:rFonts w:hint="eastAsia"/>
        </w:rPr>
        <w:t>，双向</w:t>
      </w:r>
      <w:r>
        <w:rPr>
          <w:rFonts w:hint="eastAsia"/>
        </w:rPr>
        <w:t>6</w:t>
      </w:r>
      <w:r>
        <w:rPr>
          <w:rFonts w:hint="eastAsia"/>
        </w:rPr>
        <w:t>车道</w:t>
      </w:r>
      <w:r>
        <w:rPr>
          <w:rFonts w:hint="eastAsia"/>
        </w:rPr>
        <w:t>+</w:t>
      </w:r>
      <w:r>
        <w:rPr>
          <w:rFonts w:hint="eastAsia"/>
        </w:rPr>
        <w:t>非机动车</w:t>
      </w:r>
      <w:r>
        <w:rPr>
          <w:rFonts w:hint="eastAsia"/>
        </w:rPr>
        <w:t>2</w:t>
      </w:r>
      <w:r>
        <w:rPr>
          <w:rFonts w:hint="eastAsia"/>
        </w:rPr>
        <w:t>车道，标准路幅宽度为</w:t>
      </w:r>
      <w:r>
        <w:rPr>
          <w:rFonts w:hint="eastAsia"/>
        </w:rPr>
        <w:t>44</w:t>
      </w:r>
      <w:r>
        <w:rPr>
          <w:rFonts w:hint="eastAsia"/>
        </w:rPr>
        <w:t>米。</w:t>
      </w:r>
    </w:p>
    <w:p w:rsidR="00D9225E">
      <w:pPr>
        <w:pStyle w:val="LW1"/>
        <w:ind w:firstLine="520"/>
      </w:pPr>
      <w:r>
        <w:rPr>
          <w:rFonts w:hint="eastAsia"/>
        </w:rPr>
        <w:t>起点与正在设计渝秀大道相交</w:t>
      </w:r>
    </w:p>
    <w:p w:rsidR="00D9225E">
      <w:pPr>
        <w:pStyle w:val="LW"/>
        <w:ind w:firstLine="520"/>
      </w:pPr>
      <w:r>
        <w:rPr>
          <w:rFonts w:hint="eastAsia"/>
        </w:rPr>
        <w:t>正在设计渝秀大道为城市主干路，设计车速</w:t>
      </w:r>
      <w:r>
        <w:rPr>
          <w:rFonts w:hint="eastAsia"/>
        </w:rPr>
        <w:t>60km/h</w:t>
      </w:r>
      <w:r>
        <w:rPr>
          <w:rFonts w:hint="eastAsia"/>
        </w:rPr>
        <w:t>，双向八车道，标准路幅宽度为</w:t>
      </w:r>
      <w:r>
        <w:rPr>
          <w:rFonts w:hint="eastAsia"/>
        </w:rPr>
        <w:t>54</w:t>
      </w:r>
      <w:r>
        <w:rPr>
          <w:rFonts w:hint="eastAsia"/>
        </w:rPr>
        <w:t>米。</w:t>
      </w:r>
    </w:p>
    <w:p w:rsidR="00D9225E">
      <w:pPr>
        <w:pStyle w:val="LW1"/>
        <w:ind w:firstLine="520"/>
      </w:pPr>
      <w:r>
        <w:rPr>
          <w:rFonts w:hint="eastAsia"/>
        </w:rPr>
        <w:t>终点与</w:t>
      </w:r>
      <w:r>
        <w:rPr>
          <w:rFonts w:hint="eastAsia"/>
        </w:rPr>
        <w:t>现状学府大道</w:t>
      </w:r>
      <w:r>
        <w:t>相交</w:t>
      </w:r>
    </w:p>
    <w:p w:rsidR="00D9225E">
      <w:pPr>
        <w:pStyle w:val="LW"/>
        <w:ind w:firstLine="520"/>
        <w:rPr>
          <w:b/>
        </w:rPr>
      </w:pPr>
      <w:r>
        <w:rPr>
          <w:rFonts w:hint="eastAsia"/>
        </w:rPr>
        <w:t>现状学府大道</w:t>
      </w:r>
      <w:r>
        <w:rPr>
          <w:rFonts w:hint="eastAsia"/>
        </w:rPr>
        <w:t>为城市主干路，设计车速</w:t>
      </w:r>
      <w:r>
        <w:rPr>
          <w:rFonts w:hint="eastAsia"/>
        </w:rPr>
        <w:t>60km/h</w:t>
      </w:r>
      <w:r>
        <w:rPr>
          <w:rFonts w:hint="eastAsia"/>
        </w:rPr>
        <w:t>，双向六车道，标准路幅宽度为</w:t>
      </w:r>
      <w:r>
        <w:rPr>
          <w:rFonts w:hint="eastAsia"/>
        </w:rPr>
        <w:t>44</w:t>
      </w:r>
      <w:r>
        <w:rPr>
          <w:rFonts w:hint="eastAsia"/>
        </w:rPr>
        <w:t>米。</w:t>
      </w:r>
    </w:p>
    <w:p w:rsidR="00D9225E">
      <w:pPr>
        <w:pStyle w:val="LW21"/>
        <w:ind w:firstLine="520"/>
      </w:pPr>
      <w:r>
        <w:rPr>
          <w:rFonts w:hint="eastAsia"/>
        </w:rPr>
        <w:t>工程概况</w:t>
      </w:r>
      <w:bookmarkEnd w:id="9"/>
      <w:bookmarkEnd w:id="10"/>
      <w:bookmarkEnd w:id="11"/>
      <w:bookmarkEnd w:id="12"/>
    </w:p>
    <w:p w:rsidR="00D9225E">
      <w:pPr>
        <w:pStyle w:val="LW31"/>
        <w:ind w:firstLine="520"/>
      </w:pPr>
      <w:r>
        <w:rPr>
          <w:rFonts w:hint="eastAsia"/>
        </w:rPr>
        <w:t>项目</w:t>
      </w:r>
      <w:r>
        <w:t>规模</w:t>
      </w:r>
    </w:p>
    <w:p w:rsidR="00D9225E">
      <w:pPr>
        <w:pStyle w:val="LW"/>
        <w:ind w:firstLine="520"/>
      </w:pPr>
      <w:r>
        <w:t>方案设计严格执行方案阶段规委会意见，</w:t>
      </w:r>
      <w:r>
        <w:rPr>
          <w:rFonts w:hint="eastAsia"/>
        </w:rPr>
        <w:t>并通过规委会审查，获得批复。上阶段初步设计安全按照方案阶段确定设计，最终确定施工图设计阶段的建设规模如下：</w:t>
      </w:r>
    </w:p>
    <w:p w:rsidR="00D9225E">
      <w:pPr>
        <w:pStyle w:val="LW"/>
        <w:ind w:firstLine="520"/>
      </w:pPr>
      <w:r>
        <w:rPr>
          <w:rFonts w:hint="eastAsia"/>
        </w:rPr>
        <w:t>纵一路</w:t>
      </w:r>
      <w:r>
        <w:rPr>
          <w:rFonts w:hint="eastAsia"/>
        </w:rPr>
        <w:t>(</w:t>
      </w:r>
      <w:r>
        <w:rPr>
          <w:rFonts w:hint="eastAsia"/>
        </w:rPr>
        <w:t>一期</w:t>
      </w:r>
      <w:r>
        <w:rPr>
          <w:rFonts w:hint="eastAsia"/>
        </w:rPr>
        <w:t>)</w:t>
      </w:r>
      <w:r>
        <w:rPr>
          <w:rFonts w:hint="eastAsia"/>
        </w:rPr>
        <w:t>为秀山县纵一路中的其中一段，项目位于乌杨街道西部新城片区，本次设</w:t>
      </w:r>
      <w:r>
        <w:rPr>
          <w:rFonts w:hint="eastAsia"/>
        </w:rPr>
        <w:t>计道路北起渝秀大道，顺接规划纵一路，向南分别经过规划道路一（城市支路）、规划道路二（城市次干道）、规划道路三（城市支路），南侧终点与</w:t>
      </w:r>
      <w:r>
        <w:rPr>
          <w:rFonts w:hint="eastAsia"/>
        </w:rPr>
        <w:t>现状学府大道</w:t>
      </w:r>
      <w:r>
        <w:rPr>
          <w:rFonts w:hint="eastAsia"/>
        </w:rPr>
        <w:t>（城市主干道）相交。道路全长</w:t>
      </w:r>
      <w:r>
        <w:rPr>
          <w:rFonts w:hint="eastAsia"/>
        </w:rPr>
        <w:t>773.987m</w:t>
      </w:r>
      <w:r>
        <w:rPr>
          <w:rFonts w:hint="eastAsia"/>
        </w:rPr>
        <w:t>（设计范围</w:t>
      </w:r>
      <w:r>
        <w:rPr>
          <w:rFonts w:hint="eastAsia"/>
        </w:rPr>
        <w:t>K0+017.306</w:t>
      </w:r>
      <w:r>
        <w:rPr>
          <w:rFonts w:hint="eastAsia"/>
        </w:rPr>
        <w:t>～</w:t>
      </w:r>
      <w:r>
        <w:rPr>
          <w:rFonts w:hint="eastAsia"/>
        </w:rPr>
        <w:t>K0+791.293</w:t>
      </w:r>
      <w:r>
        <w:rPr>
          <w:rFonts w:hint="eastAsia"/>
        </w:rPr>
        <w:t>段）。道路等级为城市主干道，设计时速采用</w:t>
      </w:r>
      <w:r>
        <w:rPr>
          <w:rFonts w:hint="eastAsia"/>
        </w:rPr>
        <w:t>6</w:t>
      </w:r>
      <w:r>
        <w:rPr>
          <w:rFonts w:hint="eastAsia"/>
        </w:rPr>
        <w:t>0km/h</w:t>
      </w:r>
      <w:r>
        <w:rPr>
          <w:rFonts w:hint="eastAsia"/>
        </w:rPr>
        <w:t>，标准路幅宽度为</w:t>
      </w:r>
      <w:r>
        <w:rPr>
          <w:rFonts w:hint="eastAsia"/>
        </w:rPr>
        <w:t>44m</w:t>
      </w:r>
      <w:r>
        <w:rPr>
          <w:rFonts w:hint="eastAsia"/>
        </w:rPr>
        <w:t>（双向</w:t>
      </w:r>
      <w:r>
        <w:rPr>
          <w:rFonts w:hint="eastAsia"/>
        </w:rPr>
        <w:t>6</w:t>
      </w:r>
      <w:r>
        <w:rPr>
          <w:rFonts w:hint="eastAsia"/>
        </w:rPr>
        <w:t>车道</w:t>
      </w:r>
      <w:r>
        <w:rPr>
          <w:rFonts w:hint="eastAsia"/>
        </w:rPr>
        <w:t>+</w:t>
      </w:r>
      <w:r>
        <w:rPr>
          <w:rFonts w:hint="eastAsia"/>
        </w:rPr>
        <w:t>非机动车</w:t>
      </w:r>
      <w:r>
        <w:rPr>
          <w:rFonts w:hint="eastAsia"/>
        </w:rPr>
        <w:t>2</w:t>
      </w:r>
      <w:r>
        <w:rPr>
          <w:rFonts w:hint="eastAsia"/>
        </w:rPr>
        <w:t>车道），同时在人行动两侧设置</w:t>
      </w:r>
      <w:r>
        <w:rPr>
          <w:rFonts w:hint="eastAsia"/>
        </w:rPr>
        <w:t>10m</w:t>
      </w:r>
      <w:r>
        <w:rPr>
          <w:rFonts w:hint="eastAsia"/>
        </w:rPr>
        <w:t>的绿化带，道路全线无平曲线。</w:t>
      </w:r>
    </w:p>
    <w:p w:rsidR="00D9225E">
      <w:pPr>
        <w:pStyle w:val="LW"/>
        <w:ind w:firstLine="520"/>
      </w:pPr>
      <w:r>
        <w:rPr>
          <w:rFonts w:hint="eastAsia"/>
        </w:rPr>
        <w:t>本工程无桥梁等结构物，周边无轨道线路。</w:t>
      </w:r>
    </w:p>
    <w:p w:rsidR="00D9225E">
      <w:pPr>
        <w:pStyle w:val="LW31"/>
      </w:pPr>
      <w:r>
        <w:rPr>
          <w:rFonts w:hint="eastAsia"/>
        </w:rPr>
        <w:t>项目</w:t>
      </w:r>
      <w:r>
        <w:t>建设分期以及</w:t>
      </w:r>
      <w:r>
        <w:rPr>
          <w:rFonts w:hint="eastAsia"/>
        </w:rPr>
        <w:t>工程范围</w:t>
      </w:r>
    </w:p>
    <w:p w:rsidR="00D9225E">
      <w:pPr>
        <w:pStyle w:val="LW"/>
        <w:ind w:firstLine="520"/>
      </w:pPr>
      <w:r>
        <w:rPr>
          <w:rFonts w:hint="eastAsia"/>
        </w:rPr>
        <w:t>设计内容包括道路、交通、</w:t>
      </w:r>
      <w:r>
        <w:rPr>
          <w:rFonts w:hint="eastAsia"/>
        </w:rPr>
        <w:t>岩土</w:t>
      </w:r>
      <w:r>
        <w:rPr>
          <w:rFonts w:hint="eastAsia"/>
        </w:rPr>
        <w:t>、排水、海绵</w:t>
      </w:r>
      <w:r>
        <w:t>、</w:t>
      </w:r>
      <w:r>
        <w:rPr>
          <w:rFonts w:hint="eastAsia"/>
        </w:rPr>
        <w:t>照明等配套工程所有设计内容</w:t>
      </w:r>
      <w:r>
        <w:t>。</w:t>
      </w:r>
      <w:r>
        <w:rPr>
          <w:rFonts w:hint="eastAsia"/>
        </w:rPr>
        <w:t>绿化工程和综合管廊由业主另行委托设计。</w:t>
      </w:r>
    </w:p>
    <w:p w:rsidR="00D9225E">
      <w:pPr>
        <w:pStyle w:val="LW"/>
        <w:ind w:firstLine="520"/>
      </w:pPr>
      <w:r>
        <w:rPr>
          <w:rFonts w:hint="eastAsia"/>
        </w:rPr>
        <w:t>道路设计范围：</w:t>
      </w:r>
      <w:r>
        <w:rPr>
          <w:rFonts w:hint="eastAsia"/>
        </w:rPr>
        <w:t>纵一路</w:t>
      </w:r>
      <w:r>
        <w:rPr>
          <w:rFonts w:hint="eastAsia"/>
        </w:rPr>
        <w:t>(</w:t>
      </w:r>
      <w:r>
        <w:rPr>
          <w:rFonts w:hint="eastAsia"/>
        </w:rPr>
        <w:t>一期</w:t>
      </w:r>
      <w:r>
        <w:rPr>
          <w:rFonts w:hint="eastAsia"/>
        </w:rPr>
        <w:t>)</w:t>
      </w:r>
      <w:r>
        <w:rPr>
          <w:rFonts w:hint="eastAsia"/>
        </w:rPr>
        <w:t>工程规划范围内所有区域，具体范围线详见平面图</w:t>
      </w:r>
      <w:r>
        <w:t>。</w:t>
      </w:r>
      <w:r>
        <w:rPr>
          <w:rFonts w:hint="eastAsia"/>
        </w:rPr>
        <w:t xml:space="preserve"> </w:t>
      </w:r>
    </w:p>
    <w:p w:rsidR="00D9225E">
      <w:pPr>
        <w:pStyle w:val="LW"/>
        <w:ind w:firstLine="520"/>
      </w:pPr>
      <w:r>
        <w:rPr>
          <w:rFonts w:hint="eastAsia"/>
        </w:rPr>
        <w:t>其他专业同道路设计范围一致。</w:t>
      </w:r>
    </w:p>
    <w:p w:rsidR="00D9225E">
      <w:pPr>
        <w:pStyle w:val="LW21"/>
        <w:spacing w:line="360" w:lineRule="auto"/>
      </w:pPr>
      <w:r>
        <w:rPr>
          <w:rFonts w:hint="eastAsia"/>
        </w:rPr>
        <w:t>项目分册及设计文件组成</w:t>
      </w:r>
    </w:p>
    <w:p w:rsidR="00D9225E">
      <w:pPr>
        <w:pStyle w:val="2"/>
        <w:ind w:firstLine="720" w:firstLineChars="300"/>
        <w:rPr>
          <w:rFonts w:ascii="宋体" w:hAnsi="宋体" w:cstheme="minorBidi"/>
          <w:color w:val="auto"/>
          <w:spacing w:val="10"/>
          <w:szCs w:val="22"/>
        </w:rPr>
      </w:pPr>
      <w:r>
        <w:rPr>
          <w:rFonts w:ascii="宋体" w:hAnsi="宋体" w:cstheme="minorBidi" w:hint="eastAsia"/>
          <w:color w:val="auto"/>
          <w:spacing w:val="10"/>
          <w:szCs w:val="22"/>
        </w:rPr>
        <w:t>本项目共分为</w:t>
      </w:r>
      <w:r>
        <w:rPr>
          <w:rFonts w:ascii="宋体" w:hAnsi="宋体" w:cstheme="minorBidi" w:hint="eastAsia"/>
          <w:color w:val="auto"/>
          <w:spacing w:val="10"/>
          <w:szCs w:val="22"/>
        </w:rPr>
        <w:t>四</w:t>
      </w:r>
      <w:r>
        <w:rPr>
          <w:rFonts w:ascii="宋体" w:hAnsi="宋体" w:cstheme="minorBidi" w:hint="eastAsia"/>
          <w:color w:val="auto"/>
          <w:spacing w:val="10"/>
          <w:szCs w:val="22"/>
        </w:rPr>
        <w:t>册。</w:t>
      </w:r>
    </w:p>
    <w:p w:rsidR="00D9225E">
      <w:pPr>
        <w:pStyle w:val="2"/>
        <w:ind w:firstLine="720" w:firstLineChars="300"/>
        <w:rPr>
          <w:rFonts w:ascii="宋体" w:hAnsi="宋体" w:cstheme="minorBidi"/>
          <w:color w:val="auto"/>
          <w:spacing w:val="10"/>
          <w:szCs w:val="22"/>
        </w:rPr>
      </w:pPr>
      <w:r>
        <w:rPr>
          <w:rFonts w:ascii="宋体" w:hAnsi="宋体" w:cstheme="minorBidi" w:hint="eastAsia"/>
          <w:color w:val="auto"/>
          <w:spacing w:val="10"/>
          <w:szCs w:val="22"/>
        </w:rPr>
        <w:t>第一册</w:t>
      </w:r>
      <w:r>
        <w:rPr>
          <w:rFonts w:ascii="宋体" w:hAnsi="宋体" w:cstheme="minorBidi" w:hint="eastAsia"/>
          <w:color w:val="auto"/>
          <w:spacing w:val="10"/>
          <w:szCs w:val="22"/>
        </w:rPr>
        <w:t xml:space="preserve"> </w:t>
      </w:r>
      <w:r>
        <w:rPr>
          <w:rFonts w:ascii="宋体" w:hAnsi="宋体" w:cstheme="minorBidi" w:hint="eastAsia"/>
          <w:color w:val="auto"/>
          <w:spacing w:val="10"/>
          <w:szCs w:val="22"/>
        </w:rPr>
        <w:t>道路工程</w:t>
      </w:r>
    </w:p>
    <w:p w:rsidR="00D9225E">
      <w:pPr>
        <w:pStyle w:val="2"/>
        <w:ind w:firstLine="720" w:firstLineChars="300"/>
        <w:rPr>
          <w:rFonts w:ascii="宋体" w:hAnsi="宋体" w:cstheme="minorBidi"/>
          <w:color w:val="auto"/>
          <w:spacing w:val="10"/>
          <w:szCs w:val="22"/>
        </w:rPr>
      </w:pPr>
      <w:r>
        <w:rPr>
          <w:rFonts w:ascii="宋体" w:hAnsi="宋体" w:cstheme="minorBidi" w:hint="eastAsia"/>
          <w:color w:val="auto"/>
          <w:spacing w:val="10"/>
          <w:szCs w:val="22"/>
        </w:rPr>
        <w:t>第二册</w:t>
      </w:r>
      <w:r>
        <w:rPr>
          <w:rFonts w:ascii="宋体" w:hAnsi="宋体" w:cstheme="minorBidi" w:hint="eastAsia"/>
          <w:color w:val="auto"/>
          <w:spacing w:val="10"/>
          <w:szCs w:val="22"/>
        </w:rPr>
        <w:t xml:space="preserve"> </w:t>
      </w:r>
      <w:r>
        <w:rPr>
          <w:rFonts w:ascii="宋体" w:hAnsi="宋体" w:cstheme="minorBidi" w:hint="eastAsia"/>
          <w:color w:val="auto"/>
          <w:spacing w:val="10"/>
          <w:szCs w:val="22"/>
        </w:rPr>
        <w:t>交通工程</w:t>
      </w:r>
    </w:p>
    <w:p w:rsidR="00D9225E">
      <w:pPr>
        <w:pStyle w:val="2"/>
        <w:ind w:firstLine="720" w:firstLineChars="300"/>
        <w:rPr>
          <w:rFonts w:ascii="宋体" w:hAnsi="宋体" w:cstheme="minorBidi"/>
          <w:color w:val="auto"/>
          <w:spacing w:val="10"/>
          <w:szCs w:val="22"/>
        </w:rPr>
      </w:pPr>
      <w:r>
        <w:rPr>
          <w:rFonts w:ascii="宋体" w:hAnsi="宋体" w:cstheme="minorBidi" w:hint="eastAsia"/>
          <w:color w:val="auto"/>
          <w:spacing w:val="10"/>
          <w:szCs w:val="22"/>
        </w:rPr>
        <w:t>第三册</w:t>
      </w:r>
      <w:r>
        <w:rPr>
          <w:rFonts w:ascii="宋体" w:hAnsi="宋体" w:cstheme="minorBidi" w:hint="eastAsia"/>
          <w:color w:val="auto"/>
          <w:spacing w:val="10"/>
          <w:szCs w:val="22"/>
        </w:rPr>
        <w:t xml:space="preserve"> </w:t>
      </w:r>
      <w:r>
        <w:rPr>
          <w:rFonts w:ascii="宋体" w:hAnsi="宋体" w:cstheme="minorBidi" w:hint="eastAsia"/>
          <w:color w:val="auto"/>
          <w:spacing w:val="10"/>
          <w:szCs w:val="22"/>
        </w:rPr>
        <w:t>结构</w:t>
      </w:r>
      <w:r>
        <w:rPr>
          <w:rFonts w:ascii="宋体" w:hAnsi="宋体" w:cstheme="minorBidi" w:hint="eastAsia"/>
          <w:color w:val="auto"/>
          <w:spacing w:val="10"/>
          <w:szCs w:val="22"/>
        </w:rPr>
        <w:t>工程、管网工程、照明工程</w:t>
      </w:r>
    </w:p>
    <w:p w:rsidR="00D9225E">
      <w:pPr>
        <w:pStyle w:val="2"/>
        <w:ind w:firstLine="720" w:firstLineChars="300"/>
        <w:rPr>
          <w:rFonts w:ascii="宋体" w:hAnsi="宋体" w:cstheme="minorBidi"/>
          <w:b/>
          <w:bCs/>
          <w:color w:val="auto"/>
          <w:spacing w:val="10"/>
          <w:szCs w:val="22"/>
        </w:rPr>
      </w:pPr>
      <w:r>
        <w:rPr>
          <w:rFonts w:ascii="宋体" w:hAnsi="宋体" w:cstheme="minorBidi" w:hint="eastAsia"/>
          <w:b/>
          <w:bCs/>
          <w:color w:val="auto"/>
          <w:spacing w:val="10"/>
          <w:szCs w:val="22"/>
        </w:rPr>
        <w:t>本册为第</w:t>
      </w:r>
      <w:r>
        <w:rPr>
          <w:rFonts w:ascii="宋体" w:hAnsi="宋体" w:cstheme="minorBidi" w:hint="eastAsia"/>
          <w:b/>
          <w:bCs/>
          <w:color w:val="auto"/>
          <w:spacing w:val="10"/>
          <w:szCs w:val="22"/>
        </w:rPr>
        <w:t>一</w:t>
      </w:r>
      <w:r>
        <w:rPr>
          <w:rFonts w:ascii="宋体" w:hAnsi="宋体" w:cstheme="minorBidi" w:hint="eastAsia"/>
          <w:b/>
          <w:bCs/>
          <w:color w:val="auto"/>
          <w:spacing w:val="10"/>
          <w:szCs w:val="22"/>
        </w:rPr>
        <w:t>册</w:t>
      </w:r>
      <w:r>
        <w:rPr>
          <w:rFonts w:ascii="宋体" w:hAnsi="宋体" w:cstheme="minorBidi" w:hint="eastAsia"/>
          <w:b/>
          <w:bCs/>
          <w:color w:val="auto"/>
          <w:spacing w:val="10"/>
          <w:szCs w:val="22"/>
        </w:rPr>
        <w:t>道路</w:t>
      </w:r>
      <w:r>
        <w:rPr>
          <w:rFonts w:ascii="宋体" w:hAnsi="宋体" w:cstheme="minorBidi" w:hint="eastAsia"/>
          <w:b/>
          <w:bCs/>
          <w:color w:val="auto"/>
          <w:spacing w:val="10"/>
          <w:szCs w:val="22"/>
        </w:rPr>
        <w:t>工程。</w:t>
      </w:r>
    </w:p>
    <w:p w:rsidR="00D9225E">
      <w:pPr>
        <w:pStyle w:val="LW11"/>
        <w:spacing w:line="360" w:lineRule="auto"/>
      </w:pPr>
      <w:r>
        <w:t>建设计依据及采用的标准规范</w:t>
      </w:r>
    </w:p>
    <w:p w:rsidR="00D9225E">
      <w:pPr>
        <w:pStyle w:val="LW21"/>
        <w:spacing w:line="360" w:lineRule="auto"/>
      </w:pPr>
      <w:r>
        <w:t>合同依据</w:t>
      </w:r>
    </w:p>
    <w:p w:rsidR="00D9225E">
      <w:pPr>
        <w:pStyle w:val="LW1"/>
        <w:spacing w:line="360" w:lineRule="auto"/>
        <w:ind w:firstLine="520"/>
        <w:sectPr>
          <w:headerReference w:type="even" r:id="rId8"/>
          <w:footerReference w:type="even" r:id="rId9"/>
          <w:type w:val="continuous"/>
          <w:pgSz w:w="23811" w:h="16838" w:orient="landscape"/>
          <w:pgMar w:top="851" w:right="851" w:bottom="3119" w:left="1985" w:header="879" w:footer="765" w:gutter="0"/>
          <w:pgNumType w:start="2"/>
          <w:cols w:num="2" w:space="425"/>
          <w:docGrid w:type="lines" w:linePitch="312"/>
        </w:sectPr>
      </w:pPr>
      <w:r>
        <w:t>项目业主与我院签订的勘察设计合同</w:t>
      </w:r>
    </w:p>
    <w:p w:rsidR="00D9225E">
      <w:pPr>
        <w:pStyle w:val="LW21"/>
        <w:spacing w:line="360" w:lineRule="auto"/>
      </w:pPr>
      <w:r>
        <w:t>政府相关批复意见以及相关</w:t>
      </w:r>
      <w:r>
        <w:rPr>
          <w:rFonts w:hint="eastAsia"/>
        </w:rPr>
        <w:t>文</w:t>
      </w:r>
      <w:r>
        <w:t>号</w:t>
      </w:r>
    </w:p>
    <w:p w:rsidR="00D9225E">
      <w:pPr>
        <w:pStyle w:val="LW1"/>
        <w:spacing w:line="360" w:lineRule="auto"/>
        <w:ind w:firstLine="520"/>
      </w:pPr>
      <w:r>
        <w:rPr>
          <w:rFonts w:hint="eastAsia"/>
        </w:rPr>
        <w:t>秀山土家族苗族自治县发展和改革委员会关于秀山纵一路（渝秀大道至学府大道段）建设项目立项的函</w:t>
      </w:r>
      <w:r>
        <w:t>（</w:t>
      </w:r>
      <w:r>
        <w:rPr>
          <w:rFonts w:hint="eastAsia"/>
        </w:rPr>
        <w:t>秀山华信文</w:t>
      </w:r>
      <w:r>
        <w:rPr>
          <w:rFonts w:hint="eastAsia"/>
        </w:rPr>
        <w:t>〔</w:t>
      </w:r>
      <w:r>
        <w:t>202</w:t>
      </w:r>
      <w:r>
        <w:rPr>
          <w:rFonts w:hint="eastAsia"/>
        </w:rPr>
        <w:t>0</w:t>
      </w:r>
      <w:r>
        <w:t>〕</w:t>
      </w:r>
      <w:r>
        <w:rPr>
          <w:rFonts w:hint="eastAsia"/>
        </w:rPr>
        <w:t>213</w:t>
      </w:r>
      <w:r>
        <w:t>号）</w:t>
      </w:r>
      <w:r>
        <w:rPr>
          <w:rFonts w:hint="eastAsia"/>
        </w:rPr>
        <w:t>。</w:t>
      </w:r>
    </w:p>
    <w:p w:rsidR="00D9225E">
      <w:pPr>
        <w:pStyle w:val="LW1"/>
        <w:spacing w:line="360" w:lineRule="auto"/>
        <w:ind w:firstLine="520"/>
      </w:pPr>
      <w:r>
        <w:rPr>
          <w:rFonts w:hint="eastAsia"/>
        </w:rPr>
        <w:t>秀山土家族苗族自治县发展和改革委员会关于变更秀山纵一路（渝秀大道至学府大道段）建设项目法人及项目名称的复函（重庆秀城司文〔</w:t>
      </w:r>
      <w:r>
        <w:rPr>
          <w:rFonts w:hint="eastAsia"/>
        </w:rPr>
        <w:t>2023</w:t>
      </w:r>
      <w:r>
        <w:rPr>
          <w:rFonts w:hint="eastAsia"/>
        </w:rPr>
        <w:t>〕</w:t>
      </w:r>
      <w:r>
        <w:rPr>
          <w:rFonts w:hint="eastAsia"/>
        </w:rPr>
        <w:t>132</w:t>
      </w:r>
      <w:r>
        <w:rPr>
          <w:rFonts w:hint="eastAsia"/>
        </w:rPr>
        <w:t>号</w:t>
      </w:r>
      <w:r>
        <w:t>）</w:t>
      </w:r>
      <w:r>
        <w:rPr>
          <w:rFonts w:hint="eastAsia"/>
        </w:rPr>
        <w:t>。</w:t>
      </w:r>
    </w:p>
    <w:p w:rsidR="00D9225E">
      <w:pPr>
        <w:pStyle w:val="LW31"/>
      </w:pPr>
      <w:r>
        <w:t>相关勘察、测量以及前期文件</w:t>
      </w:r>
    </w:p>
    <w:p w:rsidR="00D9225E">
      <w:pPr>
        <w:pStyle w:val="LW1"/>
        <w:ind w:firstLine="520"/>
      </w:pPr>
      <w:r>
        <w:rPr>
          <w:rFonts w:hint="eastAsia"/>
        </w:rPr>
        <w:t>现场实测的</w:t>
      </w:r>
      <w:r>
        <w:rPr>
          <w:rFonts w:hint="eastAsia"/>
        </w:rPr>
        <w:t>1</w:t>
      </w:r>
      <w:r>
        <w:rPr>
          <w:rFonts w:hint="eastAsia"/>
        </w:rPr>
        <w:t>：</w:t>
      </w:r>
      <w:r>
        <w:rPr>
          <w:rFonts w:hint="eastAsia"/>
        </w:rPr>
        <w:t>500</w:t>
      </w:r>
      <w:r>
        <w:rPr>
          <w:rFonts w:hint="eastAsia"/>
        </w:rPr>
        <w:t>实测地形图。</w:t>
      </w:r>
    </w:p>
    <w:p w:rsidR="00D9225E">
      <w:pPr>
        <w:pStyle w:val="LW1"/>
        <w:ind w:firstLine="520"/>
      </w:pPr>
      <w:r>
        <w:rPr>
          <w:rFonts w:hint="eastAsia"/>
        </w:rPr>
        <w:t>《秀山土家族苗族自治县城乡总体规划（</w:t>
      </w:r>
      <w:r>
        <w:rPr>
          <w:rFonts w:hint="eastAsia"/>
        </w:rPr>
        <w:t>2015-2030</w:t>
      </w:r>
      <w:r>
        <w:rPr>
          <w:rFonts w:hint="eastAsia"/>
        </w:rPr>
        <w:t>年）》。</w:t>
      </w:r>
    </w:p>
    <w:p w:rsidR="00D9225E">
      <w:pPr>
        <w:pStyle w:val="LW1"/>
        <w:ind w:firstLine="520"/>
      </w:pPr>
      <w:r>
        <w:rPr>
          <w:rFonts w:hint="eastAsia"/>
        </w:rPr>
        <w:t>道路沿线已发红线。</w:t>
      </w:r>
    </w:p>
    <w:p w:rsidR="00D9225E">
      <w:pPr>
        <w:pStyle w:val="LW1"/>
        <w:ind w:firstLine="520"/>
      </w:pPr>
      <w:r>
        <w:rPr>
          <w:rFonts w:hint="eastAsia"/>
        </w:rPr>
        <w:t>我公司收集的其它资料。</w:t>
      </w:r>
    </w:p>
    <w:p w:rsidR="00D9225E">
      <w:pPr>
        <w:pStyle w:val="LW1"/>
        <w:ind w:firstLine="520"/>
      </w:pPr>
      <w:r>
        <w:rPr>
          <w:rFonts w:hint="eastAsia"/>
        </w:rPr>
        <w:t>《</w:t>
      </w:r>
      <w:r>
        <w:rPr>
          <w:rFonts w:hint="eastAsia"/>
        </w:rPr>
        <w:t>秀山纵一路（渝秀大道至学府大道段）建设项目</w:t>
      </w:r>
      <w:r>
        <w:rPr>
          <w:rFonts w:hint="eastAsia"/>
        </w:rPr>
        <w:t>岩土工程勘察报告（直接详勘）》（</w:t>
      </w:r>
      <w:r>
        <w:rPr>
          <w:rFonts w:hint="eastAsia"/>
        </w:rPr>
        <w:t>202</w:t>
      </w:r>
      <w:r>
        <w:rPr>
          <w:rFonts w:hint="eastAsia"/>
        </w:rPr>
        <w:t>1</w:t>
      </w:r>
      <w:r>
        <w:rPr>
          <w:rFonts w:hint="eastAsia"/>
        </w:rPr>
        <w:t>年</w:t>
      </w:r>
      <w:r>
        <w:rPr>
          <w:rFonts w:hint="eastAsia"/>
        </w:rPr>
        <w:t>09</w:t>
      </w:r>
      <w:r>
        <w:rPr>
          <w:rFonts w:hint="eastAsia"/>
        </w:rPr>
        <w:t>月）。重庆六零七工程勘察设计有限公司。</w:t>
      </w:r>
    </w:p>
    <w:p w:rsidR="00D9225E">
      <w:pPr>
        <w:pStyle w:val="LW1"/>
        <w:ind w:firstLine="520"/>
      </w:pPr>
      <w:r>
        <w:rPr>
          <w:rFonts w:hint="eastAsia"/>
        </w:rPr>
        <w:t>秀山纵一路（渝秀大道至学府大道段）建设项目</w:t>
      </w:r>
      <w:r>
        <w:rPr>
          <w:rFonts w:hint="eastAsia"/>
        </w:rPr>
        <w:t>岩土工程勘察报告（补充勘察）》</w:t>
      </w:r>
      <w:r>
        <w:rPr>
          <w:rFonts w:hint="eastAsia"/>
        </w:rPr>
        <w:t>（</w:t>
      </w:r>
      <w:r>
        <w:rPr>
          <w:rFonts w:hint="eastAsia"/>
        </w:rPr>
        <w:t>202</w:t>
      </w:r>
      <w:r>
        <w:rPr>
          <w:rFonts w:hint="eastAsia"/>
        </w:rPr>
        <w:t>3</w:t>
      </w:r>
      <w:r>
        <w:rPr>
          <w:rFonts w:hint="eastAsia"/>
        </w:rPr>
        <w:t>年</w:t>
      </w:r>
      <w:r>
        <w:rPr>
          <w:rFonts w:hint="eastAsia"/>
        </w:rPr>
        <w:t>06</w:t>
      </w:r>
      <w:r>
        <w:rPr>
          <w:rFonts w:hint="eastAsia"/>
        </w:rPr>
        <w:t>月</w:t>
      </w:r>
      <w:r>
        <w:t>）</w:t>
      </w:r>
      <w:r>
        <w:rPr>
          <w:rFonts w:hint="eastAsia"/>
        </w:rPr>
        <w:t>。</w:t>
      </w:r>
      <w:r>
        <w:rPr>
          <w:rFonts w:hint="eastAsia"/>
        </w:rPr>
        <w:t>重庆六零七工程勘察设计有限公司。</w:t>
      </w:r>
    </w:p>
    <w:p w:rsidR="00D9225E">
      <w:pPr>
        <w:pStyle w:val="LW1"/>
        <w:ind w:firstLine="520"/>
        <w:rPr>
          <w:color w:val="FF0000"/>
        </w:rPr>
      </w:pPr>
      <w:r>
        <w:rPr>
          <w:rFonts w:hint="eastAsia"/>
          <w:color w:val="FF0000"/>
        </w:rPr>
        <w:t>初设批复（详见附件</w:t>
      </w:r>
      <w:r>
        <w:rPr>
          <w:rFonts w:hint="eastAsia"/>
          <w:color w:val="FF0000"/>
        </w:rPr>
        <w:t>1</w:t>
      </w:r>
      <w:r>
        <w:rPr>
          <w:rFonts w:hint="eastAsia"/>
          <w:color w:val="FF0000"/>
        </w:rPr>
        <w:t>）。</w:t>
      </w:r>
    </w:p>
    <w:p w:rsidR="00D9225E">
      <w:pPr>
        <w:pStyle w:val="LW21"/>
      </w:pPr>
      <w:r>
        <w:rPr>
          <w:rFonts w:hint="eastAsia"/>
        </w:rPr>
        <w:t>设计</w:t>
      </w:r>
      <w:r>
        <w:t>规范引用情况</w:t>
      </w:r>
    </w:p>
    <w:p w:rsidR="00D9225E">
      <w:pPr>
        <w:pStyle w:val="LW1"/>
        <w:ind w:firstLine="520"/>
      </w:pPr>
      <w:r>
        <w:rPr>
          <w:rFonts w:hint="eastAsia"/>
        </w:rPr>
        <w:t>国家标准</w:t>
      </w:r>
    </w:p>
    <w:p w:rsidR="00D9225E">
      <w:pPr>
        <w:pStyle w:val="LW"/>
        <w:ind w:firstLine="520"/>
      </w:pPr>
      <w:r>
        <w:rPr>
          <w:rFonts w:hint="eastAsia"/>
        </w:rPr>
        <w:t>《工程建设标准强制性条文（城</w:t>
      </w:r>
      <w:r>
        <w:rPr>
          <w:rFonts w:hint="eastAsia"/>
        </w:rPr>
        <w:t>镇</w:t>
      </w:r>
      <w:r>
        <w:rPr>
          <w:rFonts w:hint="eastAsia"/>
        </w:rPr>
        <w:t>建设部分）》（</w:t>
      </w:r>
      <w:r>
        <w:rPr>
          <w:rFonts w:hint="eastAsia"/>
        </w:rPr>
        <w:t>20</w:t>
      </w:r>
      <w:r>
        <w:rPr>
          <w:rFonts w:hint="eastAsia"/>
        </w:rPr>
        <w:t>13</w:t>
      </w:r>
      <w:r>
        <w:rPr>
          <w:rFonts w:hint="eastAsia"/>
        </w:rPr>
        <w:t>年版）</w:t>
      </w:r>
      <w:r>
        <w:rPr>
          <w:rFonts w:hint="eastAsia"/>
        </w:rPr>
        <w:t xml:space="preserve"> </w:t>
      </w:r>
    </w:p>
    <w:p w:rsidR="00D9225E">
      <w:pPr>
        <w:pStyle w:val="LW"/>
        <w:ind w:firstLine="520"/>
      </w:pPr>
      <w:r>
        <w:rPr>
          <w:rFonts w:hint="eastAsia"/>
        </w:rPr>
        <w:t>《道路工程制图标准》</w:t>
      </w:r>
      <w:r>
        <w:rPr>
          <w:rFonts w:hint="eastAsia"/>
        </w:rPr>
        <w:t xml:space="preserve">(GB 50162-1992) </w:t>
      </w:r>
    </w:p>
    <w:p w:rsidR="00D9225E">
      <w:pPr>
        <w:pStyle w:val="LW"/>
        <w:ind w:firstLine="520"/>
      </w:pPr>
      <w:r>
        <w:rPr>
          <w:rFonts w:hint="eastAsia"/>
        </w:rPr>
        <w:t>《城市道路交通设施设计规范》（</w:t>
      </w:r>
      <w:r>
        <w:rPr>
          <w:rFonts w:hint="eastAsia"/>
        </w:rPr>
        <w:t xml:space="preserve">GB </w:t>
      </w:r>
      <w:r>
        <w:rPr>
          <w:rFonts w:hint="eastAsia"/>
        </w:rPr>
        <w:t>50688-2011</w:t>
      </w:r>
      <w:r>
        <w:rPr>
          <w:rFonts w:hint="eastAsia"/>
        </w:rPr>
        <w:t>）</w:t>
      </w:r>
      <w:r>
        <w:rPr>
          <w:rFonts w:hint="eastAsia"/>
        </w:rPr>
        <w:t xml:space="preserve"> </w:t>
      </w:r>
      <w:r>
        <w:rPr>
          <w:rFonts w:hint="eastAsia"/>
        </w:rPr>
        <w:t>（</w:t>
      </w:r>
      <w:r>
        <w:rPr>
          <w:rFonts w:hint="eastAsia"/>
        </w:rPr>
        <w:t>2019</w:t>
      </w:r>
      <w:r>
        <w:rPr>
          <w:rFonts w:hint="eastAsia"/>
        </w:rPr>
        <w:t>版）</w:t>
      </w:r>
    </w:p>
    <w:p w:rsidR="00D9225E">
      <w:pPr>
        <w:pStyle w:val="LW"/>
        <w:ind w:firstLine="520"/>
      </w:pPr>
      <w:r>
        <w:rPr>
          <w:rFonts w:hint="eastAsia"/>
        </w:rPr>
        <w:t>《建筑与市政工程无障碍通用规范》</w:t>
      </w:r>
      <w:r>
        <w:rPr>
          <w:rFonts w:hint="eastAsia"/>
        </w:rPr>
        <w:t>(GB 55019-2021</w:t>
      </w:r>
      <w:r>
        <w:rPr>
          <w:rFonts w:hint="eastAsia"/>
        </w:rPr>
        <w:t>）</w:t>
      </w:r>
    </w:p>
    <w:p w:rsidR="00D9225E">
      <w:pPr>
        <w:pStyle w:val="LW"/>
        <w:ind w:firstLine="520"/>
      </w:pPr>
      <w:r>
        <w:rPr>
          <w:rFonts w:hint="eastAsia"/>
        </w:rPr>
        <w:t>《城市道路交通工程项目规范》（</w:t>
      </w:r>
      <w:r>
        <w:rPr>
          <w:rFonts w:hint="eastAsia"/>
        </w:rPr>
        <w:t>GB55011-2021</w:t>
      </w:r>
      <w:r>
        <w:rPr>
          <w:rFonts w:hint="eastAsia"/>
        </w:rPr>
        <w:t>）</w:t>
      </w:r>
    </w:p>
    <w:p w:rsidR="00D9225E">
      <w:pPr>
        <w:pStyle w:val="LW1"/>
        <w:ind w:firstLine="520"/>
      </w:pPr>
      <w:r>
        <w:rPr>
          <w:rFonts w:hint="eastAsia"/>
        </w:rPr>
        <w:t>建设部标准</w:t>
      </w:r>
    </w:p>
    <w:p w:rsidR="00D9225E">
      <w:pPr>
        <w:pStyle w:val="LW"/>
        <w:ind w:firstLine="520"/>
      </w:pPr>
      <w:r>
        <w:rPr>
          <w:rFonts w:hint="eastAsia"/>
        </w:rPr>
        <w:t>《城市道路工程设计规范》（</w:t>
      </w:r>
      <w:r>
        <w:rPr>
          <w:rFonts w:hint="eastAsia"/>
        </w:rPr>
        <w:t>CJJ 37-2012</w:t>
      </w:r>
      <w:r>
        <w:rPr>
          <w:rFonts w:hint="eastAsia"/>
        </w:rPr>
        <w:t>）</w:t>
      </w:r>
      <w:r>
        <w:rPr>
          <w:rFonts w:hint="eastAsia"/>
        </w:rPr>
        <w:t>2016</w:t>
      </w:r>
      <w:r>
        <w:rPr>
          <w:rFonts w:hint="eastAsia"/>
        </w:rPr>
        <w:t>版</w:t>
      </w:r>
    </w:p>
    <w:p w:rsidR="00D9225E">
      <w:pPr>
        <w:pStyle w:val="LW"/>
        <w:ind w:firstLine="520"/>
      </w:pPr>
      <w:r>
        <w:rPr>
          <w:rFonts w:hint="eastAsia"/>
        </w:rPr>
        <w:t>《城市地下道路工程设计规范》（</w:t>
      </w:r>
      <w:r>
        <w:rPr>
          <w:rFonts w:hint="eastAsia"/>
        </w:rPr>
        <w:t>CJJ221-2015</w:t>
      </w:r>
      <w:r>
        <w:rPr>
          <w:rFonts w:hint="eastAsia"/>
        </w:rPr>
        <w:t>）</w:t>
      </w:r>
    </w:p>
    <w:p w:rsidR="00D9225E">
      <w:pPr>
        <w:pStyle w:val="LW"/>
        <w:ind w:firstLine="520"/>
      </w:pPr>
      <w:r>
        <w:rPr>
          <w:rFonts w:hint="eastAsia"/>
        </w:rPr>
        <w:t>《城市道路路线设计规范》（</w:t>
      </w:r>
      <w:r>
        <w:rPr>
          <w:rFonts w:hint="eastAsia"/>
        </w:rPr>
        <w:t>CJJ 193-2012</w:t>
      </w:r>
      <w:r>
        <w:rPr>
          <w:rFonts w:hint="eastAsia"/>
        </w:rPr>
        <w:t>）</w:t>
      </w:r>
    </w:p>
    <w:p w:rsidR="00D9225E">
      <w:pPr>
        <w:pStyle w:val="LW"/>
        <w:ind w:firstLine="520"/>
      </w:pPr>
      <w:r>
        <w:rPr>
          <w:rFonts w:hint="eastAsia"/>
        </w:rPr>
        <w:t>《城镇道路路面设计规范》（</w:t>
      </w:r>
      <w:r>
        <w:rPr>
          <w:rFonts w:hint="eastAsia"/>
        </w:rPr>
        <w:t>CJJ 169-2012</w:t>
      </w:r>
      <w:r>
        <w:rPr>
          <w:rFonts w:hint="eastAsia"/>
        </w:rPr>
        <w:t>）</w:t>
      </w:r>
    </w:p>
    <w:p w:rsidR="00D9225E">
      <w:pPr>
        <w:pStyle w:val="LW"/>
        <w:ind w:firstLine="520"/>
      </w:pPr>
      <w:r>
        <w:rPr>
          <w:rFonts w:hint="eastAsia"/>
        </w:rPr>
        <w:t>《城市道路交叉口设计规程》（</w:t>
      </w:r>
      <w:r>
        <w:rPr>
          <w:rFonts w:hint="eastAsia"/>
        </w:rPr>
        <w:t>CJJ 152-2010</w:t>
      </w:r>
      <w:r>
        <w:rPr>
          <w:rFonts w:hint="eastAsia"/>
        </w:rPr>
        <w:t>）</w:t>
      </w:r>
    </w:p>
    <w:p w:rsidR="00D9225E">
      <w:pPr>
        <w:pStyle w:val="LW"/>
        <w:ind w:firstLine="520"/>
      </w:pPr>
      <w:r>
        <w:rPr>
          <w:rFonts w:hint="eastAsia"/>
        </w:rPr>
        <w:t>《城镇道路工程施工与质量验收规范》（</w:t>
      </w:r>
      <w:r>
        <w:rPr>
          <w:rFonts w:hint="eastAsia"/>
        </w:rPr>
        <w:t>CJJ 1-2008</w:t>
      </w:r>
      <w:r>
        <w:rPr>
          <w:rFonts w:hint="eastAsia"/>
        </w:rPr>
        <w:t>）</w:t>
      </w:r>
      <w:r>
        <w:rPr>
          <w:rFonts w:hint="eastAsia"/>
        </w:rPr>
        <w:t xml:space="preserve">  </w:t>
      </w:r>
    </w:p>
    <w:p w:rsidR="00D9225E">
      <w:pPr>
        <w:pStyle w:val="LW"/>
        <w:ind w:firstLine="520"/>
      </w:pPr>
      <w:r>
        <w:rPr>
          <w:rFonts w:hint="eastAsia"/>
        </w:rPr>
        <w:t>《城市道路路基设计规范》（</w:t>
      </w:r>
      <w:r>
        <w:rPr>
          <w:rFonts w:hint="eastAsia"/>
        </w:rPr>
        <w:t>CJJ 194-2013</w:t>
      </w:r>
      <w:r>
        <w:rPr>
          <w:rFonts w:hint="eastAsia"/>
        </w:rPr>
        <w:t>）</w:t>
      </w:r>
    </w:p>
    <w:p w:rsidR="00D9225E">
      <w:pPr>
        <w:pStyle w:val="LW"/>
        <w:ind w:firstLine="520"/>
      </w:pPr>
      <w:r>
        <w:rPr>
          <w:rFonts w:hint="eastAsia"/>
        </w:rPr>
        <w:t>《城市快速路设计规范》（</w:t>
      </w:r>
      <w:r>
        <w:rPr>
          <w:rFonts w:hint="eastAsia"/>
        </w:rPr>
        <w:t>CJJ 129</w:t>
      </w:r>
      <w:r>
        <w:rPr>
          <w:rFonts w:hint="eastAsia"/>
        </w:rPr>
        <w:t>－</w:t>
      </w:r>
      <w:r>
        <w:rPr>
          <w:rFonts w:hint="eastAsia"/>
        </w:rPr>
        <w:t xml:space="preserve">2009) </w:t>
      </w:r>
    </w:p>
    <w:p w:rsidR="00D9225E">
      <w:pPr>
        <w:pStyle w:val="LW"/>
        <w:ind w:firstLine="520"/>
      </w:pPr>
      <w:r>
        <w:rPr>
          <w:rFonts w:hint="eastAsia"/>
        </w:rPr>
        <w:t>《城市道路照明设计标准》</w:t>
      </w:r>
      <w:r>
        <w:rPr>
          <w:rFonts w:hint="eastAsia"/>
        </w:rPr>
        <w:t>CJJ45-2015</w:t>
      </w:r>
      <w:r>
        <w:rPr>
          <w:rFonts w:hint="eastAsia"/>
        </w:rPr>
        <w:t>；</w:t>
      </w:r>
    </w:p>
    <w:p w:rsidR="00D9225E">
      <w:pPr>
        <w:pStyle w:val="LW"/>
        <w:ind w:firstLine="520"/>
      </w:pPr>
      <w:r>
        <w:rPr>
          <w:rFonts w:hint="eastAsia"/>
        </w:rPr>
        <w:t>《城市道路照明工程施工及验收规程》</w:t>
      </w:r>
      <w:r>
        <w:rPr>
          <w:rFonts w:hint="eastAsia"/>
        </w:rPr>
        <w:t>CJJ89-2012</w:t>
      </w:r>
      <w:r>
        <w:rPr>
          <w:rFonts w:hint="eastAsia"/>
        </w:rPr>
        <w:t>；</w:t>
      </w:r>
    </w:p>
    <w:p w:rsidR="00D9225E">
      <w:pPr>
        <w:pStyle w:val="LW"/>
        <w:ind w:firstLine="520"/>
      </w:pPr>
      <w:r>
        <w:rPr>
          <w:rFonts w:hint="eastAsia"/>
        </w:rPr>
        <w:t>《市政公用工程设计文件编制深度规定（</w:t>
      </w:r>
      <w:r>
        <w:rPr>
          <w:rFonts w:hint="eastAsia"/>
        </w:rPr>
        <w:t>2013</w:t>
      </w:r>
      <w:r>
        <w:rPr>
          <w:rFonts w:hint="eastAsia"/>
        </w:rPr>
        <w:t>年版）》</w:t>
      </w:r>
      <w:r>
        <w:rPr>
          <w:rFonts w:cs="Times New Roman" w:hint="eastAsia"/>
          <w:szCs w:val="24"/>
        </w:rPr>
        <w:t xml:space="preserve"> </w:t>
      </w:r>
    </w:p>
    <w:p w:rsidR="00D9225E">
      <w:pPr>
        <w:pStyle w:val="LW1"/>
        <w:ind w:firstLine="520"/>
      </w:pPr>
      <w:r>
        <w:rPr>
          <w:rFonts w:hint="eastAsia"/>
        </w:rPr>
        <w:t>交通部标准（参考）</w:t>
      </w:r>
      <w:r>
        <w:rPr>
          <w:rFonts w:hint="eastAsia"/>
        </w:rPr>
        <w:t xml:space="preserve"> </w:t>
      </w:r>
    </w:p>
    <w:p w:rsidR="00D9225E">
      <w:pPr>
        <w:pStyle w:val="LW"/>
        <w:ind w:firstLine="520"/>
      </w:pPr>
      <w:r>
        <w:rPr>
          <w:rFonts w:hint="eastAsia"/>
        </w:rPr>
        <w:t>《公路工程技术标准》</w:t>
      </w:r>
      <w:r>
        <w:rPr>
          <w:rFonts w:hint="eastAsia"/>
        </w:rPr>
        <w:t>(JTG B01-2014)</w:t>
      </w:r>
    </w:p>
    <w:p w:rsidR="00D9225E">
      <w:pPr>
        <w:pStyle w:val="LW"/>
        <w:ind w:firstLine="520"/>
      </w:pPr>
      <w:r>
        <w:rPr>
          <w:rFonts w:hint="eastAsia"/>
        </w:rPr>
        <w:t>《公路沥青路面设计规范》（</w:t>
      </w:r>
      <w:r>
        <w:rPr>
          <w:rFonts w:hint="eastAsia"/>
        </w:rPr>
        <w:t>JTG D50-2017</w:t>
      </w:r>
      <w:r>
        <w:rPr>
          <w:rFonts w:hint="eastAsia"/>
        </w:rPr>
        <w:t>）</w:t>
      </w:r>
    </w:p>
    <w:p w:rsidR="00D9225E">
      <w:pPr>
        <w:pStyle w:val="LW"/>
        <w:ind w:firstLine="520"/>
      </w:pPr>
      <w:r>
        <w:rPr>
          <w:rFonts w:hint="eastAsia"/>
        </w:rPr>
        <w:t>《公路路基设计规范》（</w:t>
      </w:r>
      <w:r>
        <w:rPr>
          <w:rFonts w:hint="eastAsia"/>
        </w:rPr>
        <w:t>JTG D30-2015</w:t>
      </w:r>
      <w:r>
        <w:rPr>
          <w:rFonts w:hint="eastAsia"/>
        </w:rPr>
        <w:t>）</w:t>
      </w:r>
    </w:p>
    <w:p w:rsidR="00D9225E">
      <w:pPr>
        <w:pStyle w:val="LW"/>
        <w:ind w:firstLine="520"/>
      </w:pPr>
      <w:r>
        <w:rPr>
          <w:rFonts w:hint="eastAsia"/>
        </w:rPr>
        <w:t>《</w:t>
      </w:r>
      <w:r>
        <w:rPr>
          <w:rFonts w:hint="eastAsia"/>
        </w:rPr>
        <w:t>公路桥涵设计通用规范》</w:t>
      </w:r>
      <w:r>
        <w:rPr>
          <w:rFonts w:hint="eastAsia"/>
        </w:rPr>
        <w:t>(JTG D60-2015)</w:t>
      </w:r>
    </w:p>
    <w:p w:rsidR="00D9225E">
      <w:pPr>
        <w:pStyle w:val="LW"/>
        <w:ind w:firstLine="520"/>
      </w:pPr>
      <w:r>
        <w:rPr>
          <w:rFonts w:hint="eastAsia"/>
        </w:rPr>
        <w:t>《公路桥涵地基与基础设计规范》</w:t>
      </w:r>
      <w:r>
        <w:rPr>
          <w:rFonts w:hint="eastAsia"/>
        </w:rPr>
        <w:t>(</w:t>
      </w:r>
      <w:r>
        <w:t> JTG 3363—2019</w:t>
      </w:r>
      <w:r>
        <w:rPr>
          <w:rFonts w:hint="eastAsia"/>
        </w:rPr>
        <w:t xml:space="preserve">) </w:t>
      </w:r>
    </w:p>
    <w:p w:rsidR="00D9225E">
      <w:pPr>
        <w:pStyle w:val="LW"/>
        <w:ind w:firstLine="520"/>
      </w:pPr>
      <w:r>
        <w:rPr>
          <w:rFonts w:hint="eastAsia"/>
        </w:rPr>
        <w:t>《公路沥青路面施工技术规范》（</w:t>
      </w:r>
      <w:r>
        <w:rPr>
          <w:rFonts w:hint="eastAsia"/>
        </w:rPr>
        <w:t>JTG F40-20</w:t>
      </w:r>
      <w:r>
        <w:t>4</w:t>
      </w:r>
      <w:r>
        <w:rPr>
          <w:rFonts w:hint="eastAsia"/>
        </w:rPr>
        <w:t>）</w:t>
      </w:r>
    </w:p>
    <w:p w:rsidR="00D9225E">
      <w:pPr>
        <w:pStyle w:val="LW"/>
        <w:ind w:firstLine="520"/>
      </w:pPr>
      <w:r>
        <w:rPr>
          <w:rFonts w:hint="eastAsia"/>
        </w:rPr>
        <w:t>《公路路面基层施工技术细则》</w:t>
      </w:r>
      <w:r>
        <w:rPr>
          <w:rFonts w:hint="eastAsia"/>
        </w:rPr>
        <w:t>(</w:t>
      </w:r>
      <w:r>
        <w:t>JTGT F20-2015</w:t>
      </w:r>
      <w:r>
        <w:rPr>
          <w:rFonts w:hint="eastAsia"/>
        </w:rPr>
        <w:t>)</w:t>
      </w:r>
    </w:p>
    <w:p w:rsidR="00D9225E">
      <w:pPr>
        <w:pStyle w:val="LW"/>
        <w:ind w:firstLine="520"/>
      </w:pPr>
      <w:r>
        <w:rPr>
          <w:rFonts w:hint="eastAsia"/>
        </w:rPr>
        <w:t>《公路水泥混凝土路面施工技术细则》</w:t>
      </w:r>
      <w:r>
        <w:rPr>
          <w:rFonts w:hint="eastAsia"/>
        </w:rPr>
        <w:t>(</w:t>
      </w:r>
      <w:r>
        <w:t>JTGT F30-2014</w:t>
      </w:r>
      <w:r>
        <w:rPr>
          <w:rFonts w:hint="eastAsia"/>
        </w:rPr>
        <w:t>)</w:t>
      </w:r>
    </w:p>
    <w:p w:rsidR="00D9225E">
      <w:pPr>
        <w:pStyle w:val="LW"/>
        <w:ind w:firstLine="520"/>
      </w:pPr>
      <w:r>
        <w:rPr>
          <w:rFonts w:hint="eastAsia"/>
        </w:rPr>
        <w:t>《公路水泥混凝土路面设计规范》（</w:t>
      </w:r>
      <w:r>
        <w:rPr>
          <w:rFonts w:hint="eastAsia"/>
        </w:rPr>
        <w:t>JTG D40-2011</w:t>
      </w:r>
      <w:r>
        <w:rPr>
          <w:rFonts w:hint="eastAsia"/>
        </w:rPr>
        <w:t>）</w:t>
      </w:r>
    </w:p>
    <w:p w:rsidR="00D9225E">
      <w:pPr>
        <w:pStyle w:val="LW"/>
        <w:ind w:firstLine="520"/>
      </w:pPr>
      <w:r>
        <w:rPr>
          <w:rFonts w:hint="eastAsia"/>
        </w:rPr>
        <w:t>《公路勘测规范》</w:t>
      </w:r>
      <w:r>
        <w:rPr>
          <w:rFonts w:hint="eastAsia"/>
        </w:rPr>
        <w:t>(JTG C10-2007)</w:t>
      </w:r>
    </w:p>
    <w:p w:rsidR="00D9225E">
      <w:pPr>
        <w:pStyle w:val="LW"/>
        <w:ind w:firstLine="520"/>
      </w:pPr>
      <w:r>
        <w:rPr>
          <w:rFonts w:hint="eastAsia"/>
        </w:rPr>
        <w:t>《公路工程地质勘察规范》</w:t>
      </w:r>
      <w:r>
        <w:rPr>
          <w:rFonts w:hint="eastAsia"/>
        </w:rPr>
        <w:t>(JTG C20-2011)</w:t>
      </w:r>
    </w:p>
    <w:p w:rsidR="00D9225E">
      <w:pPr>
        <w:pStyle w:val="LW"/>
        <w:ind w:firstLine="520"/>
      </w:pPr>
      <w:r>
        <w:rPr>
          <w:rFonts w:hint="eastAsia"/>
        </w:rPr>
        <w:t>《公路土工试验规程》（</w:t>
      </w:r>
      <w:r>
        <w:rPr>
          <w:rFonts w:hint="eastAsia"/>
        </w:rPr>
        <w:t>JTG 3430</w:t>
      </w:r>
      <w:r>
        <w:rPr>
          <w:rFonts w:hint="eastAsia"/>
        </w:rPr>
        <w:t>—</w:t>
      </w:r>
      <w:r>
        <w:rPr>
          <w:rFonts w:hint="eastAsia"/>
        </w:rPr>
        <w:t>2020</w:t>
      </w:r>
      <w:r>
        <w:rPr>
          <w:rFonts w:hint="eastAsia"/>
        </w:rPr>
        <w:t>）</w:t>
      </w:r>
    </w:p>
    <w:p w:rsidR="00D9225E">
      <w:pPr>
        <w:pStyle w:val="LW"/>
        <w:ind w:firstLine="520"/>
      </w:pPr>
      <w:r>
        <w:rPr>
          <w:rFonts w:hint="eastAsia"/>
        </w:rPr>
        <w:t>《公路路线设计规范》</w:t>
      </w:r>
      <w:r>
        <w:rPr>
          <w:rFonts w:hint="eastAsia"/>
        </w:rPr>
        <w:t>(JTG D20-2017)</w:t>
      </w:r>
    </w:p>
    <w:p w:rsidR="00D9225E">
      <w:pPr>
        <w:pStyle w:val="LW"/>
        <w:ind w:firstLine="520"/>
      </w:pPr>
      <w:r>
        <w:rPr>
          <w:rFonts w:hint="eastAsia"/>
        </w:rPr>
        <w:t>《公路路基施工技术规范》（</w:t>
      </w:r>
      <w:r>
        <w:t>JTG 3610-2019</w:t>
      </w:r>
      <w:r>
        <w:rPr>
          <w:rFonts w:hint="eastAsia"/>
        </w:rPr>
        <w:t>）</w:t>
      </w:r>
    </w:p>
    <w:p w:rsidR="00D9225E">
      <w:pPr>
        <w:pStyle w:val="LW"/>
        <w:ind w:firstLine="520"/>
      </w:pPr>
      <w:r>
        <w:rPr>
          <w:rFonts w:hint="eastAsia"/>
        </w:rPr>
        <w:t>《公路工程质量检验评定标准》（</w:t>
      </w:r>
      <w:r>
        <w:rPr>
          <w:rFonts w:hint="eastAsia"/>
        </w:rPr>
        <w:t>JTG F80/1-20</w:t>
      </w:r>
      <w:r>
        <w:t>17</w:t>
      </w:r>
      <w:r>
        <w:rPr>
          <w:rFonts w:hint="eastAsia"/>
        </w:rPr>
        <w:t>）</w:t>
      </w:r>
    </w:p>
    <w:p w:rsidR="00D9225E">
      <w:pPr>
        <w:pStyle w:val="LW1"/>
        <w:ind w:firstLine="520"/>
      </w:pPr>
      <w:r>
        <w:rPr>
          <w:rFonts w:hint="eastAsia"/>
        </w:rPr>
        <w:t>地方标准</w:t>
      </w:r>
    </w:p>
    <w:p w:rsidR="00D9225E">
      <w:pPr>
        <w:pStyle w:val="LW"/>
        <w:ind w:firstLine="520"/>
      </w:pPr>
      <w:r>
        <w:rPr>
          <w:rFonts w:hint="eastAsia"/>
        </w:rPr>
        <w:t>《城市道路交通规划及路线设计规范》（</w:t>
      </w:r>
      <w:r>
        <w:rPr>
          <w:rFonts w:hint="eastAsia"/>
        </w:rPr>
        <w:t>DB J-064-20</w:t>
      </w:r>
      <w:r>
        <w:t>22</w:t>
      </w:r>
      <w:r>
        <w:rPr>
          <w:rFonts w:hint="eastAsia"/>
        </w:rPr>
        <w:t>）</w:t>
      </w:r>
      <w:r>
        <w:rPr>
          <w:rFonts w:hint="eastAsia"/>
        </w:rPr>
        <w:t xml:space="preserve"> </w:t>
      </w:r>
    </w:p>
    <w:p w:rsidR="00D9225E">
      <w:pPr>
        <w:pStyle w:val="LW"/>
        <w:ind w:firstLine="520"/>
      </w:pPr>
      <w:r>
        <w:rPr>
          <w:rFonts w:hint="eastAsia"/>
        </w:rPr>
        <w:t>《城镇道路工程施工与质量验收规范》</w:t>
      </w:r>
      <w:r>
        <w:rPr>
          <w:rFonts w:hint="eastAsia"/>
        </w:rPr>
        <w:t>( DB J50/T-078-2016)</w:t>
      </w:r>
    </w:p>
    <w:p w:rsidR="00D9225E">
      <w:pPr>
        <w:pStyle w:val="LW"/>
        <w:ind w:firstLine="520"/>
        <w:rPr>
          <w:szCs w:val="21"/>
        </w:rPr>
      </w:pPr>
      <w:r>
        <w:rPr>
          <w:rFonts w:hint="eastAsia"/>
        </w:rPr>
        <w:t>《</w:t>
      </w:r>
      <w:r>
        <w:rPr>
          <w:szCs w:val="21"/>
        </w:rPr>
        <w:t>重庆市城镇道路平面交叉口设计规范》（</w:t>
      </w:r>
      <w:r>
        <w:rPr>
          <w:szCs w:val="21"/>
        </w:rPr>
        <w:t>DBJ50/T-178-2014</w:t>
      </w:r>
      <w:r>
        <w:rPr>
          <w:szCs w:val="21"/>
        </w:rPr>
        <w:t>）</w:t>
      </w:r>
    </w:p>
    <w:p w:rsidR="00D9225E">
      <w:pPr>
        <w:pStyle w:val="LW"/>
        <w:ind w:firstLine="520"/>
        <w:rPr>
          <w:szCs w:val="21"/>
        </w:rPr>
      </w:pPr>
      <w:r>
        <w:rPr>
          <w:rFonts w:hint="eastAsia"/>
        </w:rPr>
        <w:t>《城镇人行道设计指南》（</w:t>
      </w:r>
      <w:r>
        <w:rPr>
          <w:rFonts w:hint="eastAsia"/>
        </w:rPr>
        <w:t>DBJ50/T-131-2011</w:t>
      </w:r>
      <w:r>
        <w:rPr>
          <w:rFonts w:hint="eastAsia"/>
        </w:rPr>
        <w:t>）</w:t>
      </w:r>
    </w:p>
    <w:p w:rsidR="00D9225E">
      <w:pPr>
        <w:pStyle w:val="LW"/>
        <w:ind w:firstLine="520"/>
        <w:sectPr>
          <w:headerReference w:type="even" r:id="rId10"/>
          <w:footerReference w:type="even" r:id="rId11"/>
          <w:type w:val="nextPage"/>
          <w:pgSz w:w="23811" w:h="16838" w:orient="landscape"/>
          <w:pgMar w:top="851" w:right="851" w:bottom="3119" w:left="1985" w:header="879" w:footer="765" w:gutter="0"/>
          <w:pgNumType w:start="3"/>
          <w:cols w:num="2" w:space="425"/>
          <w:titlePg w:val="0"/>
          <w:docGrid w:type="lines" w:linePitch="312"/>
        </w:sectPr>
      </w:pPr>
      <w:r>
        <w:rPr>
          <w:rFonts w:hint="eastAsia"/>
        </w:rPr>
        <w:t>《山地城市室外排水管渠设计标准》</w:t>
      </w:r>
      <w:r>
        <w:rPr>
          <w:rFonts w:hint="eastAsia"/>
        </w:rPr>
        <w:t>DBJ50/T-296-2018</w:t>
      </w:r>
    </w:p>
    <w:p w:rsidR="00D9225E">
      <w:pPr>
        <w:pStyle w:val="LW"/>
        <w:ind w:firstLine="520"/>
      </w:pPr>
      <w:r>
        <w:rPr>
          <w:rFonts w:hint="eastAsia"/>
        </w:rPr>
        <w:t>《地质灾害防治工程设计规范》（</w:t>
      </w:r>
      <w:r>
        <w:rPr>
          <w:rFonts w:hint="eastAsia"/>
        </w:rPr>
        <w:t>DB 50/5029</w:t>
      </w:r>
      <w:r>
        <w:rPr>
          <w:rFonts w:hint="eastAsia"/>
        </w:rPr>
        <w:t>—</w:t>
      </w:r>
      <w:r>
        <w:rPr>
          <w:rFonts w:hint="eastAsia"/>
        </w:rPr>
        <w:t>2004</w:t>
      </w:r>
      <w:r>
        <w:rPr>
          <w:rFonts w:hint="eastAsia"/>
        </w:rPr>
        <w:t>）</w:t>
      </w:r>
    </w:p>
    <w:p w:rsidR="00D9225E">
      <w:pPr>
        <w:pStyle w:val="LW"/>
        <w:ind w:firstLine="520"/>
      </w:pPr>
      <w:r>
        <w:rPr>
          <w:rFonts w:hint="eastAsia"/>
        </w:rPr>
        <w:t>《城镇道路路基设计规范》（</w:t>
      </w:r>
      <w:r>
        <w:rPr>
          <w:rFonts w:hint="eastAsia"/>
        </w:rPr>
        <w:t>DB J50-145-2012</w:t>
      </w:r>
      <w:r>
        <w:rPr>
          <w:rFonts w:hint="eastAsia"/>
        </w:rPr>
        <w:t>）</w:t>
      </w:r>
      <w:r>
        <w:rPr>
          <w:rFonts w:hint="eastAsia"/>
        </w:rPr>
        <w:t xml:space="preserve"> </w:t>
      </w:r>
    </w:p>
    <w:p w:rsidR="00D9225E">
      <w:pPr>
        <w:pStyle w:val="LW21"/>
        <w:spacing w:line="360" w:lineRule="auto"/>
      </w:pPr>
      <w:r>
        <w:rPr>
          <w:rFonts w:hint="eastAsia"/>
        </w:rPr>
        <w:t>对规范强制性条文的执行情况</w:t>
      </w:r>
    </w:p>
    <w:p w:rsidR="00D9225E">
      <w:pPr>
        <w:pStyle w:val="LW"/>
        <w:ind w:firstLine="520"/>
      </w:pPr>
      <w:r>
        <w:rPr>
          <w:rFonts w:hint="eastAsia"/>
        </w:rPr>
        <w:t>《城市道路路线设计规范》</w:t>
      </w:r>
      <w:r>
        <w:rPr>
          <w:rFonts w:hint="eastAsia"/>
        </w:rPr>
        <w:t>6.6.1</w:t>
      </w:r>
      <w:r>
        <w:rPr>
          <w:rFonts w:hint="eastAsia"/>
        </w:rPr>
        <w:t>、</w:t>
      </w:r>
      <w:r>
        <w:rPr>
          <w:rFonts w:hint="eastAsia"/>
        </w:rPr>
        <w:t>10.2.1</w:t>
      </w:r>
      <w:r>
        <w:rPr>
          <w:rFonts w:hint="eastAsia"/>
        </w:rPr>
        <w:t>、</w:t>
      </w:r>
    </w:p>
    <w:p w:rsidR="00D9225E">
      <w:pPr>
        <w:pStyle w:val="LW"/>
        <w:ind w:firstLine="520"/>
      </w:pPr>
      <w:r>
        <w:rPr>
          <w:rFonts w:hint="eastAsia"/>
        </w:rPr>
        <w:t>《城镇道路路面设计规范》</w:t>
      </w:r>
      <w:r>
        <w:rPr>
          <w:rFonts w:hint="eastAsia"/>
        </w:rPr>
        <w:t>6.2.5</w:t>
      </w:r>
      <w:r>
        <w:rPr>
          <w:rFonts w:hint="eastAsia"/>
        </w:rPr>
        <w:t>、</w:t>
      </w:r>
    </w:p>
    <w:p w:rsidR="00D9225E">
      <w:pPr>
        <w:pStyle w:val="LW"/>
        <w:ind w:firstLine="520"/>
      </w:pPr>
      <w:r>
        <w:rPr>
          <w:rFonts w:hint="eastAsia"/>
        </w:rPr>
        <w:t>《城市道路路基设计规范》</w:t>
      </w:r>
      <w:r>
        <w:rPr>
          <w:rFonts w:hint="eastAsia"/>
        </w:rPr>
        <w:t>3.0.7</w:t>
      </w:r>
    </w:p>
    <w:p w:rsidR="00D9225E">
      <w:pPr>
        <w:pStyle w:val="LW"/>
        <w:ind w:firstLine="520"/>
      </w:pPr>
      <w:r>
        <w:rPr>
          <w:rFonts w:hint="eastAsia"/>
        </w:rPr>
        <w:t>《城市道路工程设计规范》</w:t>
      </w:r>
      <w:r>
        <w:rPr>
          <w:rFonts w:hint="eastAsia"/>
        </w:rPr>
        <w:t>3.42</w:t>
      </w:r>
      <w:r>
        <w:rPr>
          <w:rFonts w:hint="eastAsia"/>
        </w:rPr>
        <w:t>、</w:t>
      </w:r>
      <w:r>
        <w:rPr>
          <w:rFonts w:hint="eastAsia"/>
        </w:rPr>
        <w:t>3.43</w:t>
      </w:r>
      <w:r>
        <w:rPr>
          <w:rFonts w:hint="eastAsia"/>
        </w:rPr>
        <w:t>、</w:t>
      </w:r>
      <w:r>
        <w:rPr>
          <w:rFonts w:hint="eastAsia"/>
        </w:rPr>
        <w:t>13.4.</w:t>
      </w:r>
    </w:p>
    <w:p w:rsidR="00D9225E">
      <w:pPr>
        <w:pStyle w:val="LW"/>
        <w:ind w:firstLine="520"/>
      </w:pPr>
      <w:r>
        <w:rPr>
          <w:rFonts w:hint="eastAsia"/>
        </w:rPr>
        <w:t>《城市道路交叉口设计规程》</w:t>
      </w:r>
      <w:r>
        <w:rPr>
          <w:rFonts w:hint="eastAsia"/>
        </w:rPr>
        <w:t>3.41</w:t>
      </w:r>
      <w:r>
        <w:rPr>
          <w:rFonts w:hint="eastAsia"/>
        </w:rPr>
        <w:t>、</w:t>
      </w:r>
      <w:r>
        <w:rPr>
          <w:rFonts w:hint="eastAsia"/>
        </w:rPr>
        <w:t>4.3.3</w:t>
      </w:r>
      <w:r>
        <w:rPr>
          <w:rFonts w:hint="eastAsia"/>
        </w:rPr>
        <w:t>、</w:t>
      </w:r>
      <w:r>
        <w:rPr>
          <w:rFonts w:hint="eastAsia"/>
        </w:rPr>
        <w:t>5.5.1</w:t>
      </w:r>
      <w:r>
        <w:rPr>
          <w:rFonts w:hint="eastAsia"/>
        </w:rPr>
        <w:t>、</w:t>
      </w:r>
      <w:r>
        <w:rPr>
          <w:rFonts w:hint="eastAsia"/>
        </w:rPr>
        <w:t>6.2.9</w:t>
      </w:r>
    </w:p>
    <w:p w:rsidR="00D9225E">
      <w:pPr>
        <w:pStyle w:val="LW"/>
        <w:ind w:firstLine="520"/>
      </w:pPr>
      <w:r>
        <w:rPr>
          <w:rFonts w:hint="eastAsia"/>
        </w:rPr>
        <w:t>《城市道路交通工程项目规范》（</w:t>
      </w:r>
      <w:r>
        <w:rPr>
          <w:rFonts w:hint="eastAsia"/>
        </w:rPr>
        <w:t>GB55</w:t>
      </w:r>
      <w:r>
        <w:rPr>
          <w:rFonts w:hint="eastAsia"/>
        </w:rPr>
        <w:t>011-2021</w:t>
      </w:r>
      <w:r>
        <w:rPr>
          <w:rFonts w:hint="eastAsia"/>
        </w:rPr>
        <w:t>）</w:t>
      </w:r>
    </w:p>
    <w:p w:rsidR="00D9225E">
      <w:pPr>
        <w:pStyle w:val="LW"/>
        <w:ind w:firstLine="520"/>
      </w:pPr>
      <w:r>
        <w:rPr>
          <w:rFonts w:hint="eastAsia"/>
        </w:rPr>
        <w:t>《建筑与市政工程无障碍通用规范》</w:t>
      </w:r>
    </w:p>
    <w:p w:rsidR="00D9225E">
      <w:pPr>
        <w:pStyle w:val="LW"/>
        <w:ind w:firstLine="520"/>
      </w:pPr>
      <w:r>
        <w:rPr>
          <w:rFonts w:hint="eastAsia"/>
        </w:rPr>
        <w:t>本项目不存在违反行业现行规范强制性条文的情形。</w:t>
      </w:r>
    </w:p>
    <w:p w:rsidR="00D9225E">
      <w:pPr>
        <w:pStyle w:val="LW11"/>
      </w:pPr>
      <w:r>
        <w:t>上阶段审查意见的执行情况</w:t>
      </w:r>
    </w:p>
    <w:p w:rsidR="00D9225E">
      <w:pPr>
        <w:pStyle w:val="LW31"/>
        <w:spacing w:line="360" w:lineRule="auto"/>
      </w:pPr>
      <w:bookmarkStart w:id="13" w:name="_Toc21001"/>
      <w:bookmarkStart w:id="14" w:name="_Toc88141318"/>
      <w:bookmarkStart w:id="15" w:name="_Toc88337461"/>
      <w:bookmarkStart w:id="16" w:name="_Toc88140154"/>
      <w:bookmarkStart w:id="17" w:name="_Toc88148439"/>
      <w:r>
        <w:rPr>
          <w:rFonts w:hint="eastAsia"/>
        </w:rPr>
        <w:t>初设阶段须修改完善的意见</w:t>
      </w:r>
    </w:p>
    <w:p w:rsidR="00D9225E">
      <w:pPr>
        <w:pStyle w:val="LW"/>
        <w:spacing w:line="360" w:lineRule="auto"/>
        <w:ind w:firstLine="520"/>
      </w:pPr>
      <w:r>
        <w:rPr>
          <w:rFonts w:hint="eastAsia"/>
        </w:rPr>
        <w:t>1</w:t>
      </w:r>
      <w:r>
        <w:rPr>
          <w:rFonts w:hint="eastAsia"/>
        </w:rPr>
        <w:t>、</w:t>
      </w:r>
      <w:r>
        <w:rPr>
          <w:rFonts w:hint="eastAsia"/>
        </w:rPr>
        <w:t>补充上阶段意见和上阶段专家意见执行情况说明。</w:t>
      </w:r>
    </w:p>
    <w:p w:rsidR="00D9225E">
      <w:pPr>
        <w:pStyle w:val="LW"/>
        <w:spacing w:line="360" w:lineRule="auto"/>
        <w:ind w:firstLine="522"/>
        <w:rPr>
          <w:b/>
          <w:bCs/>
          <w:color w:val="FF0000"/>
        </w:rPr>
      </w:pPr>
      <w:r>
        <w:rPr>
          <w:rFonts w:hint="eastAsia"/>
          <w:b/>
          <w:bCs/>
          <w:color w:val="FF0000"/>
        </w:rPr>
        <w:t>回复：</w:t>
      </w:r>
      <w:r>
        <w:rPr>
          <w:rFonts w:hint="eastAsia"/>
          <w:b/>
          <w:bCs/>
          <w:color w:val="FF0000"/>
        </w:rPr>
        <w:t>详见本说明附件</w:t>
      </w:r>
      <w:r>
        <w:rPr>
          <w:rFonts w:hint="eastAsia"/>
          <w:b/>
          <w:bCs/>
          <w:color w:val="FF0000"/>
        </w:rPr>
        <w:t>1</w:t>
      </w:r>
      <w:r>
        <w:rPr>
          <w:rFonts w:hint="eastAsia"/>
          <w:b/>
          <w:bCs/>
          <w:color w:val="FF0000"/>
        </w:rPr>
        <w:t>。</w:t>
      </w:r>
    </w:p>
    <w:p w:rsidR="00D9225E">
      <w:pPr>
        <w:pStyle w:val="LW"/>
        <w:spacing w:line="360" w:lineRule="auto"/>
        <w:ind w:firstLine="520"/>
      </w:pPr>
      <w:r>
        <w:rPr>
          <w:rFonts w:hint="eastAsia"/>
        </w:rPr>
        <w:t>2</w:t>
      </w:r>
      <w:r>
        <w:rPr>
          <w:rFonts w:hint="eastAsia"/>
        </w:rPr>
        <w:t>、项目挖方边坡较高，且根据地勘报告最大挖方高度</w:t>
      </w:r>
      <w:r>
        <w:rPr>
          <w:rFonts w:hint="eastAsia"/>
        </w:rPr>
        <w:t>15.13m</w:t>
      </w:r>
      <w:r>
        <w:rPr>
          <w:rFonts w:hint="eastAsia"/>
        </w:rPr>
        <w:t>，土层厚度</w:t>
      </w:r>
      <w:r>
        <w:rPr>
          <w:rFonts w:hint="eastAsia"/>
        </w:rPr>
        <w:t>6.6~16.3m</w:t>
      </w:r>
      <w:r>
        <w:rPr>
          <w:rFonts w:hint="eastAsia"/>
        </w:rPr>
        <w:t>，属于渝建发（</w:t>
      </w:r>
      <w:r>
        <w:rPr>
          <w:rFonts w:hint="eastAsia"/>
        </w:rPr>
        <w:t>2010</w:t>
      </w:r>
      <w:r>
        <w:rPr>
          <w:rFonts w:hint="eastAsia"/>
        </w:rPr>
        <w:t>）</w:t>
      </w:r>
      <w:r>
        <w:rPr>
          <w:rFonts w:hint="eastAsia"/>
        </w:rPr>
        <w:t>166</w:t>
      </w:r>
      <w:r>
        <w:rPr>
          <w:rFonts w:hint="eastAsia"/>
        </w:rPr>
        <w:t>号文高切坡范围，应进行高边坡专项评估或论证，评估或论证结果作为本次设计依据。</w:t>
      </w:r>
    </w:p>
    <w:p w:rsidR="00D9225E">
      <w:pPr>
        <w:pStyle w:val="LW"/>
        <w:spacing w:line="360" w:lineRule="auto"/>
        <w:ind w:firstLine="522"/>
        <w:rPr>
          <w:b/>
          <w:bCs/>
          <w:color w:val="FF0000"/>
        </w:rPr>
      </w:pPr>
      <w:r>
        <w:rPr>
          <w:rFonts w:hint="eastAsia"/>
          <w:b/>
          <w:bCs/>
          <w:color w:val="FF0000"/>
        </w:rPr>
        <w:t>回复：已进行高边坡评估论证。详见本说明附件</w:t>
      </w:r>
      <w:r>
        <w:rPr>
          <w:rFonts w:hint="eastAsia"/>
          <w:b/>
          <w:bCs/>
          <w:color w:val="FF0000"/>
        </w:rPr>
        <w:t>2</w:t>
      </w:r>
      <w:r>
        <w:rPr>
          <w:rFonts w:hint="eastAsia"/>
          <w:b/>
          <w:bCs/>
          <w:color w:val="FF0000"/>
        </w:rPr>
        <w:t>。</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3</w:t>
      </w:r>
      <w:r>
        <w:rPr>
          <w:rFonts w:ascii="宋体" w:eastAsia="宋体" w:hAnsi="宋体" w:hint="eastAsia"/>
          <w:spacing w:val="10"/>
          <w:kern w:val="0"/>
          <w:sz w:val="24"/>
        </w:rPr>
        <w:t>、初步设计采用规范中《工程建设标准强制性条文（城市建设部分）》（</w:t>
      </w:r>
      <w:r>
        <w:rPr>
          <w:rFonts w:ascii="宋体" w:eastAsia="宋体" w:hAnsi="宋体" w:hint="eastAsia"/>
          <w:spacing w:val="10"/>
          <w:kern w:val="0"/>
          <w:sz w:val="24"/>
        </w:rPr>
        <w:t>2002</w:t>
      </w:r>
      <w:r>
        <w:rPr>
          <w:rFonts w:ascii="宋体" w:eastAsia="宋体" w:hAnsi="宋体" w:hint="eastAsia"/>
          <w:spacing w:val="10"/>
          <w:kern w:val="0"/>
          <w:sz w:val="24"/>
        </w:rPr>
        <w:t>年版）、《道路交通标志和标线》</w:t>
      </w:r>
      <w:r>
        <w:rPr>
          <w:rFonts w:ascii="宋体" w:eastAsia="宋体" w:hAnsi="宋体" w:hint="eastAsia"/>
          <w:spacing w:val="10"/>
          <w:kern w:val="0"/>
          <w:sz w:val="24"/>
        </w:rPr>
        <w:t>(GB 5768-2009)</w:t>
      </w:r>
      <w:r>
        <w:rPr>
          <w:rFonts w:ascii="宋体" w:eastAsia="宋体" w:hAnsi="宋体" w:hint="eastAsia"/>
          <w:spacing w:val="10"/>
          <w:kern w:val="0"/>
          <w:sz w:val="24"/>
        </w:rPr>
        <w:t>应采用最新版；补充《城市道路交通工程项目规范》（</w:t>
      </w:r>
      <w:r>
        <w:rPr>
          <w:rFonts w:ascii="宋体" w:eastAsia="宋体" w:hAnsi="宋体" w:hint="eastAsia"/>
          <w:spacing w:val="10"/>
          <w:kern w:val="0"/>
          <w:sz w:val="24"/>
        </w:rPr>
        <w:t>GB55011-2021</w:t>
      </w:r>
      <w:r>
        <w:rPr>
          <w:rFonts w:ascii="宋体" w:eastAsia="宋体" w:hAnsi="宋体" w:hint="eastAsia"/>
          <w:spacing w:val="10"/>
          <w:kern w:val="0"/>
          <w:sz w:val="24"/>
        </w:rPr>
        <w:t>）、《重庆市城镇道路平面交叉口设计规范》（</w:t>
      </w:r>
      <w:r>
        <w:rPr>
          <w:rFonts w:ascii="宋体" w:eastAsia="宋体" w:hAnsi="宋体" w:hint="eastAsia"/>
          <w:spacing w:val="10"/>
          <w:kern w:val="0"/>
          <w:sz w:val="24"/>
        </w:rPr>
        <w:t>DBJ50/T-178-2014</w:t>
      </w:r>
      <w:r>
        <w:rPr>
          <w:rFonts w:ascii="宋体" w:eastAsia="宋体" w:hAnsi="宋体" w:hint="eastAsia"/>
          <w:spacing w:val="10"/>
          <w:kern w:val="0"/>
          <w:sz w:val="24"/>
        </w:rPr>
        <w:t>）、《城镇人行道设计指南》（</w:t>
      </w:r>
      <w:r>
        <w:rPr>
          <w:rFonts w:ascii="宋体" w:eastAsia="宋体" w:hAnsi="宋体" w:hint="eastAsia"/>
          <w:spacing w:val="10"/>
          <w:kern w:val="0"/>
          <w:sz w:val="24"/>
        </w:rPr>
        <w:t>DBJ50/T-131-2011</w:t>
      </w:r>
      <w:r>
        <w:rPr>
          <w:rFonts w:ascii="宋体" w:eastAsia="宋体" w:hAnsi="宋体" w:hint="eastAsia"/>
          <w:spacing w:val="10"/>
          <w:kern w:val="0"/>
          <w:sz w:val="24"/>
        </w:rPr>
        <w:t>）等规范。</w:t>
      </w:r>
    </w:p>
    <w:p w:rsidR="00D9225E">
      <w:pPr>
        <w:pStyle w:val="LW"/>
        <w:spacing w:line="360" w:lineRule="auto"/>
        <w:ind w:firstLine="522"/>
        <w:rPr>
          <w:b/>
          <w:bCs/>
        </w:rPr>
      </w:pPr>
      <w:r>
        <w:rPr>
          <w:rFonts w:hint="eastAsia"/>
          <w:b/>
          <w:bCs/>
        </w:rPr>
        <w:t>回复：已按专家意见修改，已更新最新规范，已补充相应规范。</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4</w:t>
      </w:r>
      <w:r>
        <w:rPr>
          <w:rFonts w:ascii="宋体" w:eastAsia="宋体" w:hAnsi="宋体" w:hint="eastAsia"/>
          <w:spacing w:val="10"/>
          <w:kern w:val="0"/>
          <w:sz w:val="24"/>
        </w:rPr>
        <w:t>、初步设计应补充道路等级是否满足城市规划和交通需求，道路红线是否满足规划要求等说明。</w:t>
      </w:r>
    </w:p>
    <w:p w:rsidR="00D9225E">
      <w:pPr>
        <w:pStyle w:val="LW"/>
        <w:spacing w:line="360" w:lineRule="auto"/>
        <w:ind w:firstLine="522"/>
        <w:rPr>
          <w:b/>
          <w:bCs/>
        </w:rPr>
      </w:pPr>
      <w:r>
        <w:rPr>
          <w:rFonts w:hint="eastAsia"/>
          <w:b/>
          <w:bCs/>
        </w:rPr>
        <w:t>回复：已按专家意见修改，已在说明</w:t>
      </w:r>
      <w:r>
        <w:rPr>
          <w:rFonts w:hint="eastAsia"/>
          <w:b/>
          <w:bCs/>
        </w:rPr>
        <w:t>3.2.2</w:t>
      </w:r>
      <w:r>
        <w:rPr>
          <w:rFonts w:hint="eastAsia"/>
          <w:b/>
          <w:bCs/>
        </w:rPr>
        <w:t>定位分析补充相关说明。</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5</w:t>
      </w:r>
      <w:r>
        <w:rPr>
          <w:rFonts w:ascii="宋体" w:eastAsia="宋体" w:hAnsi="宋体" w:hint="eastAsia"/>
          <w:spacing w:val="10"/>
          <w:kern w:val="0"/>
          <w:sz w:val="24"/>
        </w:rPr>
        <w:t>、交通量预测应以项目建成年为依据，应核实</w:t>
      </w:r>
      <w:r>
        <w:rPr>
          <w:rFonts w:ascii="宋体" w:eastAsia="宋体" w:hAnsi="宋体" w:hint="eastAsia"/>
          <w:spacing w:val="10"/>
          <w:kern w:val="0"/>
          <w:sz w:val="24"/>
        </w:rPr>
        <w:t>2023</w:t>
      </w:r>
      <w:r>
        <w:rPr>
          <w:rFonts w:ascii="宋体" w:eastAsia="宋体" w:hAnsi="宋体" w:hint="eastAsia"/>
          <w:spacing w:val="10"/>
          <w:kern w:val="0"/>
          <w:sz w:val="24"/>
        </w:rPr>
        <w:t>年能否建成；</w:t>
      </w:r>
      <w:r>
        <w:rPr>
          <w:rFonts w:ascii="宋体" w:eastAsia="宋体" w:hAnsi="宋体" w:hint="eastAsia"/>
          <w:spacing w:val="10"/>
          <w:kern w:val="0"/>
          <w:sz w:val="24"/>
        </w:rPr>
        <w:t>3.3.2</w:t>
      </w:r>
      <w:r>
        <w:rPr>
          <w:rFonts w:ascii="宋体" w:eastAsia="宋体" w:hAnsi="宋体" w:hint="eastAsia"/>
          <w:spacing w:val="10"/>
          <w:kern w:val="0"/>
          <w:sz w:val="24"/>
        </w:rPr>
        <w:t>交通调查采用</w:t>
      </w:r>
      <w:r>
        <w:rPr>
          <w:rFonts w:ascii="宋体" w:eastAsia="宋体" w:hAnsi="宋体" w:hint="eastAsia"/>
          <w:spacing w:val="10"/>
          <w:kern w:val="0"/>
          <w:sz w:val="24"/>
        </w:rPr>
        <w:t>2015</w:t>
      </w:r>
      <w:r>
        <w:rPr>
          <w:rFonts w:ascii="宋体" w:eastAsia="宋体" w:hAnsi="宋体" w:hint="eastAsia"/>
          <w:spacing w:val="10"/>
          <w:kern w:val="0"/>
          <w:sz w:val="24"/>
        </w:rPr>
        <w:t>和</w:t>
      </w:r>
      <w:r>
        <w:rPr>
          <w:rFonts w:ascii="宋体" w:eastAsia="宋体" w:hAnsi="宋体" w:hint="eastAsia"/>
          <w:spacing w:val="10"/>
          <w:kern w:val="0"/>
          <w:sz w:val="24"/>
        </w:rPr>
        <w:t>2020</w:t>
      </w:r>
      <w:r>
        <w:rPr>
          <w:rFonts w:ascii="宋体" w:eastAsia="宋体" w:hAnsi="宋体" w:hint="eastAsia"/>
          <w:spacing w:val="10"/>
          <w:kern w:val="0"/>
          <w:sz w:val="24"/>
        </w:rPr>
        <w:t>年数据较陈旧，建议采用</w:t>
      </w:r>
      <w:r>
        <w:rPr>
          <w:rFonts w:ascii="宋体" w:eastAsia="宋体" w:hAnsi="宋体" w:hint="eastAsia"/>
          <w:spacing w:val="10"/>
          <w:kern w:val="0"/>
          <w:sz w:val="24"/>
        </w:rPr>
        <w:t>2022</w:t>
      </w:r>
      <w:r>
        <w:rPr>
          <w:rFonts w:ascii="宋体" w:eastAsia="宋体" w:hAnsi="宋体" w:hint="eastAsia"/>
          <w:spacing w:val="10"/>
          <w:kern w:val="0"/>
          <w:sz w:val="24"/>
        </w:rPr>
        <w:t>年数据或进行实地交通量调查；设计说明</w:t>
      </w:r>
      <w:r>
        <w:rPr>
          <w:rFonts w:ascii="宋体" w:eastAsia="宋体" w:hAnsi="宋体" w:hint="eastAsia"/>
          <w:spacing w:val="10"/>
          <w:kern w:val="0"/>
          <w:sz w:val="24"/>
        </w:rPr>
        <w:t>3.3.6</w:t>
      </w:r>
      <w:r>
        <w:rPr>
          <w:rFonts w:ascii="宋体" w:eastAsia="宋体" w:hAnsi="宋体" w:hint="eastAsia"/>
          <w:spacing w:val="10"/>
          <w:kern w:val="0"/>
          <w:sz w:val="24"/>
        </w:rPr>
        <w:t>中应补充预测结果年，同时核实主</w:t>
      </w:r>
      <w:r>
        <w:rPr>
          <w:rFonts w:ascii="宋体" w:eastAsia="宋体" w:hAnsi="宋体" w:hint="eastAsia"/>
          <w:spacing w:val="10"/>
          <w:kern w:val="0"/>
          <w:sz w:val="24"/>
        </w:rPr>
        <w:t>6</w:t>
      </w:r>
      <w:r>
        <w:rPr>
          <w:rFonts w:ascii="宋体" w:eastAsia="宋体" w:hAnsi="宋体" w:hint="eastAsia"/>
          <w:spacing w:val="10"/>
          <w:kern w:val="0"/>
          <w:sz w:val="24"/>
        </w:rPr>
        <w:t>辅</w:t>
      </w:r>
      <w:r>
        <w:rPr>
          <w:rFonts w:ascii="宋体" w:eastAsia="宋体" w:hAnsi="宋体" w:hint="eastAsia"/>
          <w:spacing w:val="10"/>
          <w:kern w:val="0"/>
          <w:sz w:val="24"/>
        </w:rPr>
        <w:t>4</w:t>
      </w:r>
      <w:r>
        <w:rPr>
          <w:rFonts w:ascii="宋体" w:eastAsia="宋体" w:hAnsi="宋体" w:hint="eastAsia"/>
          <w:spacing w:val="10"/>
          <w:kern w:val="0"/>
          <w:sz w:val="24"/>
        </w:rPr>
        <w:t>是否与规划一致；根据编制深度补充实施计划章节。</w:t>
      </w:r>
    </w:p>
    <w:p w:rsidR="00D9225E">
      <w:pPr>
        <w:pStyle w:val="LW"/>
        <w:spacing w:line="360" w:lineRule="auto"/>
        <w:ind w:firstLine="522"/>
        <w:rPr>
          <w:b/>
          <w:bCs/>
        </w:rPr>
      </w:pPr>
      <w:r>
        <w:rPr>
          <w:rFonts w:hint="eastAsia"/>
          <w:b/>
          <w:bCs/>
        </w:rPr>
        <w:t>回复：</w:t>
      </w:r>
      <w:r>
        <w:rPr>
          <w:rFonts w:hint="eastAsia"/>
          <w:b/>
          <w:bCs/>
        </w:rPr>
        <w:t xml:space="preserve"> </w:t>
      </w:r>
      <w:r>
        <w:rPr>
          <w:rFonts w:hint="eastAsia"/>
          <w:b/>
          <w:bCs/>
        </w:rPr>
        <w:t>已按专家意见修改，已核实该项目于</w:t>
      </w:r>
      <w:r>
        <w:rPr>
          <w:rFonts w:hint="eastAsia"/>
          <w:b/>
          <w:bCs/>
        </w:rPr>
        <w:t>2023</w:t>
      </w:r>
      <w:r>
        <w:rPr>
          <w:rFonts w:hint="eastAsia"/>
          <w:b/>
          <w:bCs/>
        </w:rPr>
        <w:t>年开工，</w:t>
      </w:r>
      <w:r>
        <w:rPr>
          <w:rFonts w:hint="eastAsia"/>
          <w:b/>
          <w:bCs/>
        </w:rPr>
        <w:t>2024</w:t>
      </w:r>
      <w:r>
        <w:rPr>
          <w:rFonts w:hint="eastAsia"/>
          <w:b/>
          <w:bCs/>
        </w:rPr>
        <w:t>年建成</w:t>
      </w:r>
      <w:r>
        <w:rPr>
          <w:rFonts w:hint="eastAsia"/>
          <w:b/>
          <w:bCs/>
        </w:rPr>
        <w:t>;</w:t>
      </w:r>
      <w:r>
        <w:rPr>
          <w:rFonts w:hint="eastAsia"/>
          <w:b/>
          <w:bCs/>
        </w:rPr>
        <w:t>已在</w:t>
      </w:r>
      <w:r>
        <w:rPr>
          <w:rFonts w:hint="eastAsia"/>
          <w:b/>
          <w:bCs/>
        </w:rPr>
        <w:t>3.3.2</w:t>
      </w:r>
      <w:r>
        <w:rPr>
          <w:rFonts w:hint="eastAsia"/>
          <w:b/>
          <w:bCs/>
        </w:rPr>
        <w:t>交通调查中采用</w:t>
      </w:r>
      <w:r>
        <w:rPr>
          <w:rFonts w:hint="eastAsia"/>
          <w:b/>
          <w:bCs/>
        </w:rPr>
        <w:t>2022</w:t>
      </w:r>
      <w:r>
        <w:rPr>
          <w:rFonts w:hint="eastAsia"/>
          <w:b/>
          <w:bCs/>
        </w:rPr>
        <w:t>年数据</w:t>
      </w:r>
      <w:r>
        <w:rPr>
          <w:rFonts w:hint="eastAsia"/>
          <w:b/>
          <w:bCs/>
        </w:rPr>
        <w:t>;</w:t>
      </w:r>
      <w:r>
        <w:rPr>
          <w:rFonts w:hint="eastAsia"/>
          <w:b/>
          <w:bCs/>
        </w:rPr>
        <w:t>已在设计说明</w:t>
      </w:r>
      <w:r>
        <w:rPr>
          <w:rFonts w:hint="eastAsia"/>
          <w:b/>
          <w:bCs/>
        </w:rPr>
        <w:t>3.3.6</w:t>
      </w:r>
      <w:r>
        <w:rPr>
          <w:rFonts w:hint="eastAsia"/>
          <w:b/>
          <w:bCs/>
        </w:rPr>
        <w:t>中补充预测结果年</w:t>
      </w:r>
      <w:r>
        <w:rPr>
          <w:rFonts w:hint="eastAsia"/>
          <w:b/>
          <w:bCs/>
        </w:rPr>
        <w:t>2044</w:t>
      </w:r>
      <w:r>
        <w:rPr>
          <w:rFonts w:hint="eastAsia"/>
          <w:b/>
          <w:bCs/>
        </w:rPr>
        <w:t>年</w:t>
      </w:r>
      <w:r>
        <w:rPr>
          <w:rFonts w:hint="eastAsia"/>
          <w:b/>
          <w:bCs/>
        </w:rPr>
        <w:t>;</w:t>
      </w:r>
      <w:r>
        <w:rPr>
          <w:rFonts w:hint="eastAsia"/>
          <w:b/>
          <w:bCs/>
        </w:rPr>
        <w:t>已核实修改说明，主</w:t>
      </w:r>
      <w:r>
        <w:rPr>
          <w:rFonts w:hint="eastAsia"/>
          <w:b/>
          <w:bCs/>
        </w:rPr>
        <w:t>6</w:t>
      </w:r>
      <w:r>
        <w:rPr>
          <w:rFonts w:hint="eastAsia"/>
          <w:b/>
          <w:bCs/>
        </w:rPr>
        <w:t>非机动车道</w:t>
      </w:r>
      <w:r>
        <w:rPr>
          <w:rFonts w:hint="eastAsia"/>
          <w:b/>
          <w:bCs/>
        </w:rPr>
        <w:t>2</w:t>
      </w:r>
      <w:r>
        <w:rPr>
          <w:rFonts w:hint="eastAsia"/>
          <w:b/>
          <w:bCs/>
        </w:rPr>
        <w:t>与规划一致</w:t>
      </w:r>
      <w:r>
        <w:rPr>
          <w:rFonts w:hint="eastAsia"/>
          <w:b/>
          <w:bCs/>
        </w:rPr>
        <w:t>;</w:t>
      </w:r>
      <w:r>
        <w:rPr>
          <w:rFonts w:hint="eastAsia"/>
          <w:b/>
          <w:bCs/>
        </w:rPr>
        <w:t>已在说明</w:t>
      </w:r>
      <w:r>
        <w:rPr>
          <w:rFonts w:hint="eastAsia"/>
          <w:b/>
          <w:bCs/>
        </w:rPr>
        <w:t>3.4</w:t>
      </w:r>
      <w:r>
        <w:rPr>
          <w:rFonts w:hint="eastAsia"/>
          <w:b/>
          <w:bCs/>
        </w:rPr>
        <w:t>中补充实施计划章节。</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6</w:t>
      </w:r>
      <w:r>
        <w:rPr>
          <w:rFonts w:ascii="宋体" w:eastAsia="宋体" w:hAnsi="宋体" w:hint="eastAsia"/>
          <w:spacing w:val="10"/>
          <w:kern w:val="0"/>
          <w:sz w:val="24"/>
        </w:rPr>
        <w:t>、设计说明</w:t>
      </w:r>
      <w:r>
        <w:rPr>
          <w:rFonts w:ascii="宋体" w:eastAsia="宋体" w:hAnsi="宋体" w:hint="eastAsia"/>
          <w:spacing w:val="10"/>
          <w:kern w:val="0"/>
          <w:sz w:val="24"/>
        </w:rPr>
        <w:t>5.5.2</w:t>
      </w:r>
      <w:r>
        <w:rPr>
          <w:rFonts w:ascii="宋体" w:eastAsia="宋体" w:hAnsi="宋体" w:hint="eastAsia"/>
          <w:spacing w:val="10"/>
          <w:kern w:val="0"/>
          <w:sz w:val="24"/>
        </w:rPr>
        <w:t>中明确“道路设计标高为道路中心线处路面标高”应修改为“道路设计标高为中分带边缘处路面标高”。</w:t>
      </w:r>
    </w:p>
    <w:p w:rsidR="00D9225E">
      <w:pPr>
        <w:pStyle w:val="LW"/>
        <w:spacing w:line="360" w:lineRule="auto"/>
        <w:ind w:firstLine="522"/>
        <w:rPr>
          <w:b/>
          <w:bCs/>
        </w:rPr>
      </w:pPr>
      <w:r>
        <w:rPr>
          <w:rFonts w:hint="eastAsia"/>
          <w:b/>
          <w:bCs/>
        </w:rPr>
        <w:t>回复：已按专家意见修改。详见说明</w:t>
      </w:r>
      <w:r>
        <w:rPr>
          <w:rFonts w:hint="eastAsia"/>
          <w:b/>
          <w:bCs/>
        </w:rPr>
        <w:t>5.5.2</w:t>
      </w:r>
      <w:r>
        <w:rPr>
          <w:rFonts w:hint="eastAsia"/>
          <w:b/>
          <w:bCs/>
        </w:rPr>
        <w:t>。</w:t>
      </w:r>
    </w:p>
    <w:p w:rsidR="00D9225E">
      <w:pPr>
        <w:pStyle w:val="LW"/>
        <w:spacing w:line="360" w:lineRule="auto"/>
        <w:ind w:firstLine="520"/>
      </w:pPr>
      <w:r>
        <w:rPr>
          <w:rFonts w:hint="eastAsia"/>
        </w:rPr>
        <w:t>7</w:t>
      </w:r>
      <w:r>
        <w:rPr>
          <w:rFonts w:hint="eastAsia"/>
        </w:rPr>
        <w:t>、设计说明</w:t>
      </w:r>
      <w:r>
        <w:rPr>
          <w:rFonts w:hint="eastAsia"/>
        </w:rPr>
        <w:t>5.5.5</w:t>
      </w:r>
      <w:r>
        <w:rPr>
          <w:rFonts w:hint="eastAsia"/>
        </w:rPr>
        <w:t>中应逐个对交叉口渠化展宽段长度，宽度，渐变段长度和渐变方式说明。</w:t>
      </w:r>
    </w:p>
    <w:p w:rsidR="00D9225E">
      <w:pPr>
        <w:pStyle w:val="LW"/>
        <w:spacing w:line="360" w:lineRule="auto"/>
        <w:ind w:firstLine="522"/>
        <w:rPr>
          <w:b/>
          <w:bCs/>
        </w:rPr>
      </w:pPr>
      <w:r>
        <w:rPr>
          <w:rFonts w:hint="eastAsia"/>
          <w:b/>
          <w:bCs/>
        </w:rPr>
        <w:t>回复：已按专家意见修改。已逐个对交叉口渠化展宽段长度，宽度，渐变段长度和渐变方式说明。详见说明</w:t>
      </w:r>
      <w:r>
        <w:rPr>
          <w:rFonts w:hint="eastAsia"/>
          <w:b/>
          <w:bCs/>
        </w:rPr>
        <w:t>5.5.5</w:t>
      </w:r>
      <w:r>
        <w:rPr>
          <w:rFonts w:hint="eastAsia"/>
          <w:b/>
          <w:bCs/>
        </w:rPr>
        <w:t>。</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8</w:t>
      </w:r>
      <w:r>
        <w:rPr>
          <w:rFonts w:ascii="宋体" w:eastAsia="宋体" w:hAnsi="宋体" w:hint="eastAsia"/>
          <w:spacing w:val="10"/>
          <w:kern w:val="0"/>
          <w:sz w:val="24"/>
        </w:rPr>
        <w:t>、设计说明</w:t>
      </w:r>
      <w:r>
        <w:rPr>
          <w:rFonts w:ascii="宋体" w:eastAsia="宋体" w:hAnsi="宋体" w:hint="eastAsia"/>
          <w:spacing w:val="10"/>
          <w:kern w:val="0"/>
          <w:sz w:val="24"/>
        </w:rPr>
        <w:t>5.6.3</w:t>
      </w:r>
      <w:r>
        <w:rPr>
          <w:rFonts w:ascii="宋体" w:eastAsia="宋体" w:hAnsi="宋体" w:hint="eastAsia"/>
          <w:spacing w:val="10"/>
          <w:kern w:val="0"/>
          <w:sz w:val="24"/>
        </w:rPr>
        <w:t>中补充主干路压实度要求；表</w:t>
      </w:r>
      <w:r>
        <w:rPr>
          <w:rFonts w:ascii="宋体" w:eastAsia="宋体" w:hAnsi="宋体" w:hint="eastAsia"/>
          <w:spacing w:val="10"/>
          <w:kern w:val="0"/>
          <w:sz w:val="24"/>
        </w:rPr>
        <w:t>5.6.3</w:t>
      </w:r>
      <w:r>
        <w:rPr>
          <w:rFonts w:ascii="宋体" w:eastAsia="宋体" w:hAnsi="宋体" w:hint="eastAsia"/>
          <w:spacing w:val="10"/>
          <w:kern w:val="0"/>
          <w:sz w:val="24"/>
        </w:rPr>
        <w:t>中也应按《城市道路路基设计规范》（</w:t>
      </w:r>
      <w:r>
        <w:rPr>
          <w:rFonts w:ascii="宋体" w:eastAsia="宋体" w:hAnsi="宋体" w:hint="eastAsia"/>
          <w:spacing w:val="10"/>
          <w:kern w:val="0"/>
          <w:sz w:val="24"/>
        </w:rPr>
        <w:t>CJJ194-2013</w:t>
      </w:r>
      <w:r>
        <w:rPr>
          <w:rFonts w:ascii="宋体" w:eastAsia="宋体" w:hAnsi="宋体" w:hint="eastAsia"/>
          <w:spacing w:val="10"/>
          <w:kern w:val="0"/>
          <w:sz w:val="24"/>
        </w:rPr>
        <w:t>）修改；本项目以挖方为主，应核实周边地块是均准备开发，如</w:t>
      </w:r>
      <w:r>
        <w:rPr>
          <w:rFonts w:ascii="宋体" w:eastAsia="宋体" w:hAnsi="宋体" w:hint="eastAsia"/>
          <w:spacing w:val="10"/>
          <w:kern w:val="0"/>
          <w:sz w:val="24"/>
        </w:rPr>
        <w:t>2</w:t>
      </w:r>
      <w:r>
        <w:rPr>
          <w:rFonts w:ascii="宋体" w:eastAsia="宋体" w:hAnsi="宋体" w:hint="eastAsia"/>
          <w:spacing w:val="10"/>
          <w:kern w:val="0"/>
          <w:sz w:val="24"/>
        </w:rPr>
        <w:t>年内不开发应进行永久边坡防护设计；截水沟应补充与坡顶距离说明；特殊路基处治说明中梳理挖方路段换填设计和低填浅挖处治是否冲突，建议均挖填小于</w:t>
      </w:r>
      <w:r>
        <w:rPr>
          <w:rFonts w:ascii="宋体" w:eastAsia="宋体" w:hAnsi="宋体" w:hint="eastAsia"/>
          <w:spacing w:val="10"/>
          <w:kern w:val="0"/>
          <w:sz w:val="24"/>
        </w:rPr>
        <w:t>1.5m</w:t>
      </w:r>
      <w:r>
        <w:rPr>
          <w:rFonts w:ascii="宋体" w:eastAsia="宋体" w:hAnsi="宋体" w:hint="eastAsia"/>
          <w:spacing w:val="10"/>
          <w:kern w:val="0"/>
          <w:sz w:val="24"/>
        </w:rPr>
        <w:t>均按低填浅挖处治；项目挖方为主，应补充弃土运距说明或补充弃土场设计图说。</w:t>
      </w:r>
    </w:p>
    <w:p w:rsidR="00D9225E">
      <w:pPr>
        <w:pStyle w:val="LW"/>
        <w:spacing w:line="360" w:lineRule="auto"/>
        <w:ind w:firstLine="522"/>
        <w:rPr>
          <w:b/>
          <w:bCs/>
        </w:rPr>
      </w:pPr>
      <w:r>
        <w:rPr>
          <w:rFonts w:hint="eastAsia"/>
          <w:b/>
          <w:bCs/>
        </w:rPr>
        <w:t>回复：已按专家意见修改。已在说明</w:t>
      </w:r>
      <w:r>
        <w:rPr>
          <w:rFonts w:hint="eastAsia"/>
          <w:b/>
          <w:bCs/>
        </w:rPr>
        <w:t>5.6.3</w:t>
      </w:r>
      <w:r>
        <w:rPr>
          <w:rFonts w:hint="eastAsia"/>
          <w:b/>
          <w:bCs/>
        </w:rPr>
        <w:t>中补充主干路压实度要求；表</w:t>
      </w:r>
      <w:r>
        <w:rPr>
          <w:rFonts w:hint="eastAsia"/>
          <w:b/>
          <w:bCs/>
        </w:rPr>
        <w:t>5.6.3</w:t>
      </w:r>
      <w:r>
        <w:rPr>
          <w:rFonts w:hint="eastAsia"/>
          <w:b/>
          <w:bCs/>
        </w:rPr>
        <w:t>中已应按《城市道路路基设计规范》（</w:t>
      </w:r>
      <w:r>
        <w:rPr>
          <w:rFonts w:hint="eastAsia"/>
          <w:b/>
          <w:bCs/>
        </w:rPr>
        <w:t>CJJ194-2013</w:t>
      </w:r>
      <w:r>
        <w:rPr>
          <w:rFonts w:hint="eastAsia"/>
          <w:b/>
          <w:bCs/>
        </w:rPr>
        <w:t>）修改；已核实周边地块正在开发当中，为临时边坡；已在</w:t>
      </w:r>
      <w:r>
        <w:rPr>
          <w:rFonts w:hint="eastAsia"/>
          <w:b/>
          <w:bCs/>
        </w:rPr>
        <w:t>5.6.4</w:t>
      </w:r>
      <w:r>
        <w:rPr>
          <w:rFonts w:hint="eastAsia"/>
          <w:b/>
          <w:bCs/>
        </w:rPr>
        <w:t>路基排水设计中补</w:t>
      </w:r>
      <w:r>
        <w:rPr>
          <w:rFonts w:hint="eastAsia"/>
          <w:b/>
          <w:bCs/>
        </w:rPr>
        <w:t>充说明“截水沟距离坡顶</w:t>
      </w:r>
      <w:r>
        <w:rPr>
          <w:rFonts w:hint="eastAsia"/>
          <w:b/>
          <w:bCs/>
        </w:rPr>
        <w:t>5m</w:t>
      </w:r>
      <w:r>
        <w:rPr>
          <w:rFonts w:hint="eastAsia"/>
          <w:b/>
          <w:bCs/>
        </w:rPr>
        <w:t>。”；已复核特殊路基处治说明中梳理挖方路段换填设计和低填浅挖处治是不冲突，挖方路基换填属于红黏土处置方式，与低填浅挖处置路段不一样</w:t>
      </w:r>
      <w:r>
        <w:rPr>
          <w:rFonts w:hint="eastAsia"/>
          <w:b/>
          <w:bCs/>
        </w:rPr>
        <w:t>;</w:t>
      </w:r>
      <w:r>
        <w:rPr>
          <w:rFonts w:hint="eastAsia"/>
          <w:b/>
          <w:bCs/>
        </w:rPr>
        <w:t>已在说明</w:t>
      </w:r>
      <w:r>
        <w:rPr>
          <w:rFonts w:hint="eastAsia"/>
          <w:b/>
          <w:bCs/>
        </w:rPr>
        <w:t>5.6.6</w:t>
      </w:r>
      <w:r>
        <w:rPr>
          <w:rFonts w:hint="eastAsia"/>
          <w:b/>
          <w:bCs/>
        </w:rPr>
        <w:t>取弃土场中补充弃土运距。运距为</w:t>
      </w:r>
      <w:r>
        <w:rPr>
          <w:rFonts w:hint="eastAsia"/>
          <w:b/>
          <w:bCs/>
        </w:rPr>
        <w:t>12km,</w:t>
      </w:r>
      <w:r>
        <w:rPr>
          <w:rFonts w:hint="eastAsia"/>
          <w:b/>
          <w:bCs/>
        </w:rPr>
        <w:t>土石方工程由建设单位结合周边地块统一调配，统筹考虑。</w:t>
      </w:r>
    </w:p>
    <w:p w:rsidR="00D9225E">
      <w:pPr>
        <w:snapToGrid w:val="0"/>
        <w:spacing w:line="360" w:lineRule="auto"/>
        <w:ind w:firstLine="480" w:firstLineChars="200"/>
        <w:rPr>
          <w:rFonts w:ascii="宋体" w:eastAsia="宋体" w:hAnsi="宋体"/>
          <w:spacing w:val="10"/>
          <w:kern w:val="0"/>
          <w:sz w:val="24"/>
        </w:rPr>
        <w:sectPr>
          <w:headerReference w:type="even" r:id="rId12"/>
          <w:footerReference w:type="even" r:id="rId13"/>
          <w:type w:val="nextPage"/>
          <w:pgSz w:w="23811" w:h="16838" w:orient="landscape"/>
          <w:pgMar w:top="851" w:right="851" w:bottom="3119" w:left="1985" w:header="879" w:footer="765" w:gutter="0"/>
          <w:pgNumType w:start="4"/>
          <w:cols w:num="2" w:space="425"/>
          <w:titlePg w:val="0"/>
          <w:docGrid w:type="lines" w:linePitch="312"/>
        </w:sectPr>
      </w:pPr>
      <w:r>
        <w:rPr>
          <w:rFonts w:ascii="宋体" w:eastAsia="宋体" w:hAnsi="宋体" w:hint="eastAsia"/>
          <w:spacing w:val="10"/>
          <w:kern w:val="0"/>
          <w:sz w:val="24"/>
        </w:rPr>
        <w:t>9</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、公交港设计说明中明确加减速渐变段长度和渐变方式说明；补充公交港处侧分带铺装说明。</w:t>
      </w:r>
    </w:p>
    <w:p w:rsidR="00D9225E">
      <w:pPr>
        <w:pStyle w:val="LW"/>
        <w:spacing w:line="360" w:lineRule="auto"/>
        <w:ind w:firstLine="522"/>
        <w:rPr>
          <w:b/>
          <w:bCs/>
        </w:rPr>
      </w:pPr>
      <w:r>
        <w:rPr>
          <w:rFonts w:hint="eastAsia"/>
          <w:b/>
          <w:bCs/>
        </w:rPr>
        <w:t>回复：已按专家意见修改。已在说明“</w:t>
      </w:r>
      <w:r>
        <w:rPr>
          <w:rFonts w:hint="eastAsia"/>
          <w:b/>
          <w:bCs/>
        </w:rPr>
        <w:t>7</w:t>
      </w:r>
      <w:r>
        <w:rPr>
          <w:rFonts w:hint="eastAsia"/>
          <w:b/>
          <w:bCs/>
        </w:rPr>
        <w:t>、公共交通设施设计”中补充加减速渐变段长度和渐变方式说明</w:t>
      </w:r>
      <w:r>
        <w:rPr>
          <w:rFonts w:hint="eastAsia"/>
          <w:b/>
          <w:bCs/>
        </w:rPr>
        <w:t>;</w:t>
      </w:r>
      <w:r>
        <w:rPr>
          <w:rFonts w:hint="eastAsia"/>
          <w:b/>
          <w:bCs/>
        </w:rPr>
        <w:t>已补充公交港处侧分带铺装说明。</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10</w:t>
      </w:r>
      <w:r>
        <w:rPr>
          <w:rFonts w:ascii="宋体" w:eastAsia="宋体" w:hAnsi="宋体" w:hint="eastAsia"/>
          <w:spacing w:val="10"/>
          <w:kern w:val="0"/>
          <w:sz w:val="24"/>
        </w:rPr>
        <w:t>、主要工程量表中补充清表厚</w:t>
      </w:r>
      <w:r>
        <w:rPr>
          <w:rFonts w:ascii="宋体" w:eastAsia="宋体" w:hAnsi="宋体" w:hint="eastAsia"/>
          <w:spacing w:val="10"/>
          <w:kern w:val="0"/>
          <w:sz w:val="24"/>
        </w:rPr>
        <w:t>度说明；核实是否有特殊路基（纵横向填挖交界处处治、零填零挖、红粘土等）处治工程量；核实工程量表中是否缺项</w:t>
      </w:r>
      <w:r>
        <w:rPr>
          <w:rFonts w:ascii="宋体" w:eastAsia="宋体" w:hAnsi="宋体" w:hint="eastAsia"/>
          <w:spacing w:val="10"/>
          <w:kern w:val="0"/>
          <w:sz w:val="24"/>
        </w:rPr>
        <w:t>1.1.6</w:t>
      </w:r>
      <w:r>
        <w:rPr>
          <w:rFonts w:ascii="宋体" w:eastAsia="宋体" w:hAnsi="宋体" w:hint="eastAsia"/>
          <w:spacing w:val="10"/>
          <w:kern w:val="0"/>
          <w:sz w:val="24"/>
        </w:rPr>
        <w:t>；非机动车道面层也应补充抗车辙剂工程量；中分带缘石高度与设计说明不一致；未见统计人行道面工程量；盲道砖和人行道面砖尺寸和材料是否一致，如不一致应分别计量；补充中分带排水工程量。</w:t>
      </w:r>
    </w:p>
    <w:p w:rsidR="00D9225E">
      <w:pPr>
        <w:pStyle w:val="LW"/>
        <w:spacing w:line="360" w:lineRule="auto"/>
        <w:ind w:firstLine="522"/>
        <w:rPr>
          <w:b/>
          <w:bCs/>
        </w:rPr>
      </w:pPr>
      <w:r>
        <w:rPr>
          <w:rFonts w:hint="eastAsia"/>
          <w:b/>
          <w:bCs/>
        </w:rPr>
        <w:t>回复：已按专家意见修改，在主要工程量表中补充清表厚度说明，清表</w:t>
      </w:r>
      <w:r>
        <w:rPr>
          <w:rFonts w:hint="eastAsia"/>
          <w:b/>
          <w:bCs/>
        </w:rPr>
        <w:t>30cm;</w:t>
      </w:r>
      <w:r>
        <w:rPr>
          <w:rFonts w:hint="eastAsia"/>
          <w:b/>
          <w:bCs/>
        </w:rPr>
        <w:t>已核实特殊路基处治工程量</w:t>
      </w:r>
      <w:r>
        <w:rPr>
          <w:rFonts w:hint="eastAsia"/>
          <w:b/>
          <w:bCs/>
        </w:rPr>
        <w:t>;</w:t>
      </w:r>
      <w:r>
        <w:rPr>
          <w:rFonts w:hint="eastAsia"/>
          <w:b/>
          <w:bCs/>
        </w:rPr>
        <w:t>已核实工程量表中</w:t>
      </w:r>
      <w:r>
        <w:rPr>
          <w:rFonts w:hint="eastAsia"/>
          <w:b/>
          <w:bCs/>
        </w:rPr>
        <w:t>1.1.6</w:t>
      </w:r>
      <w:r>
        <w:rPr>
          <w:rFonts w:hint="eastAsia"/>
          <w:b/>
          <w:bCs/>
        </w:rPr>
        <w:t>不缺项。已补充非机动车道面层抗车辙剂工程量；已复核修改说明中中分带缘石高度；人行道工程量统计于海</w:t>
      </w:r>
      <w:r>
        <w:rPr>
          <w:rFonts w:hint="eastAsia"/>
          <w:b/>
          <w:bCs/>
        </w:rPr>
        <w:t>绵工程专业中；盲道砖与人行道面砖尺寸和材料不一致，已补充盲道工程量；中分带排水工程量统计于排水工程专业。</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11</w:t>
      </w:r>
      <w:r>
        <w:rPr>
          <w:rFonts w:ascii="宋体" w:eastAsia="宋体" w:hAnsi="宋体" w:hint="eastAsia"/>
          <w:spacing w:val="10"/>
          <w:kern w:val="0"/>
          <w:sz w:val="24"/>
        </w:rPr>
        <w:t>、</w:t>
      </w:r>
      <w:r>
        <w:rPr>
          <w:rFonts w:ascii="宋体" w:eastAsia="宋体" w:hAnsi="宋体" w:hint="eastAsia"/>
          <w:spacing w:val="10"/>
          <w:kern w:val="0"/>
          <w:sz w:val="24"/>
        </w:rPr>
        <w:t>L-02-05</w:t>
      </w:r>
      <w:r>
        <w:rPr>
          <w:rFonts w:ascii="宋体" w:eastAsia="宋体" w:hAnsi="宋体" w:hint="eastAsia"/>
          <w:spacing w:val="10"/>
          <w:kern w:val="0"/>
          <w:sz w:val="24"/>
        </w:rPr>
        <w:t>道路范围内的既有道路是否复建或顺接；公交港处的侧分带应铺装以方便乘客；根据平面图，项目设置急流槽应补充相应大样图并统计工程量；标示</w:t>
      </w:r>
      <w:r>
        <w:rPr>
          <w:rFonts w:ascii="宋体" w:eastAsia="宋体" w:hAnsi="宋体" w:hint="eastAsia"/>
          <w:spacing w:val="10"/>
          <w:kern w:val="0"/>
          <w:sz w:val="24"/>
        </w:rPr>
        <w:t>K0+380~K0+490</w:t>
      </w:r>
      <w:r>
        <w:rPr>
          <w:rFonts w:ascii="宋体" w:eastAsia="宋体" w:hAnsi="宋体" w:hint="eastAsia"/>
          <w:spacing w:val="10"/>
          <w:kern w:val="0"/>
          <w:sz w:val="24"/>
        </w:rPr>
        <w:t>右侧渠化展宽段和渐变段长度及渐变方式说明。</w:t>
      </w:r>
    </w:p>
    <w:p w:rsidR="00D9225E">
      <w:pPr>
        <w:snapToGrid w:val="0"/>
        <w:spacing w:line="360" w:lineRule="auto"/>
        <w:ind w:firstLine="480" w:firstLineChars="200"/>
        <w:rPr>
          <w:rFonts w:ascii="宋体" w:eastAsia="宋体" w:hAnsi="宋体"/>
          <w:b/>
          <w:bCs/>
          <w:spacing w:val="10"/>
          <w:kern w:val="0"/>
          <w:sz w:val="24"/>
        </w:rPr>
      </w:pPr>
      <w:r>
        <w:rPr>
          <w:rFonts w:ascii="宋体" w:eastAsia="宋体" w:hAnsi="宋体" w:hint="eastAsia"/>
          <w:b/>
          <w:bCs/>
          <w:spacing w:val="10"/>
          <w:kern w:val="0"/>
          <w:sz w:val="24"/>
        </w:rPr>
        <w:t>回复：道路范围内的既有道路需要顺接，已补充相关说明及工程量，说明详见</w:t>
      </w:r>
      <w:r>
        <w:rPr>
          <w:rFonts w:ascii="宋体" w:eastAsia="宋体" w:hAnsi="宋体" w:hint="eastAsia"/>
          <w:b/>
          <w:bCs/>
          <w:spacing w:val="10"/>
          <w:kern w:val="0"/>
          <w:sz w:val="24"/>
        </w:rPr>
        <w:t>5.8</w:t>
      </w:r>
      <w:r>
        <w:rPr>
          <w:rFonts w:ascii="宋体" w:eastAsia="宋体" w:hAnsi="宋体" w:hint="eastAsia"/>
          <w:b/>
          <w:bCs/>
          <w:spacing w:val="10"/>
          <w:kern w:val="0"/>
          <w:sz w:val="24"/>
        </w:rPr>
        <w:t>老路顺接设计章节，平面位置详见“</w:t>
      </w:r>
      <w:r>
        <w:rPr>
          <w:rFonts w:ascii="宋体" w:eastAsia="宋体" w:hAnsi="宋体" w:hint="eastAsia"/>
          <w:b/>
          <w:bCs/>
          <w:spacing w:val="10"/>
          <w:kern w:val="0"/>
          <w:sz w:val="24"/>
        </w:rPr>
        <w:t>L-02-05</w:t>
      </w:r>
      <w:r>
        <w:rPr>
          <w:rFonts w:ascii="宋体" w:eastAsia="宋体" w:hAnsi="宋体" w:hint="eastAsia"/>
          <w:b/>
          <w:bCs/>
          <w:spacing w:val="10"/>
          <w:kern w:val="0"/>
          <w:sz w:val="24"/>
        </w:rPr>
        <w:t>道路平面设计”；已对公交港处的侧分带进行铺装</w:t>
      </w:r>
      <w:r>
        <w:rPr>
          <w:rFonts w:ascii="宋体" w:eastAsia="宋体" w:hAnsi="宋体" w:hint="eastAsia"/>
          <w:b/>
          <w:bCs/>
          <w:spacing w:val="10"/>
          <w:kern w:val="0"/>
          <w:sz w:val="24"/>
        </w:rPr>
        <w:t>L-02-05</w:t>
      </w:r>
      <w:r>
        <w:rPr>
          <w:rFonts w:ascii="宋体" w:eastAsia="宋体" w:hAnsi="宋体" w:hint="eastAsia"/>
          <w:b/>
          <w:bCs/>
          <w:spacing w:val="10"/>
          <w:kern w:val="0"/>
          <w:sz w:val="24"/>
        </w:rPr>
        <w:t>；急流槽</w:t>
      </w:r>
      <w:r>
        <w:rPr>
          <w:rFonts w:ascii="宋体" w:eastAsia="宋体" w:hAnsi="宋体" w:hint="eastAsia"/>
          <w:b/>
          <w:bCs/>
          <w:spacing w:val="10"/>
          <w:kern w:val="0"/>
          <w:sz w:val="24"/>
        </w:rPr>
        <w:t>应补充相应大样图并统计工程量详见排水专业；已在平面图</w:t>
      </w:r>
      <w:r>
        <w:rPr>
          <w:rFonts w:ascii="宋体" w:eastAsia="宋体" w:hAnsi="宋体" w:hint="eastAsia"/>
          <w:b/>
          <w:bCs/>
          <w:spacing w:val="10"/>
          <w:kern w:val="0"/>
          <w:sz w:val="24"/>
        </w:rPr>
        <w:t>K0+380~K0+490</w:t>
      </w:r>
      <w:r>
        <w:rPr>
          <w:rFonts w:ascii="宋体" w:eastAsia="宋体" w:hAnsi="宋体" w:hint="eastAsia"/>
          <w:b/>
          <w:bCs/>
          <w:spacing w:val="10"/>
          <w:kern w:val="0"/>
          <w:sz w:val="24"/>
        </w:rPr>
        <w:t>右侧渠化展宽段和渐变段长度及渐变方式说明。</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12</w:t>
      </w:r>
      <w:r>
        <w:rPr>
          <w:rFonts w:ascii="宋体" w:eastAsia="宋体" w:hAnsi="宋体" w:hint="eastAsia"/>
          <w:spacing w:val="10"/>
          <w:kern w:val="0"/>
          <w:sz w:val="24"/>
        </w:rPr>
        <w:t>、</w:t>
      </w:r>
      <w:r>
        <w:rPr>
          <w:rFonts w:ascii="宋体" w:eastAsia="宋体" w:hAnsi="宋体" w:hint="eastAsia"/>
          <w:spacing w:val="10"/>
          <w:kern w:val="0"/>
          <w:sz w:val="24"/>
        </w:rPr>
        <w:t>L-5-01-03</w:t>
      </w:r>
      <w:r>
        <w:rPr>
          <w:rFonts w:ascii="宋体" w:eastAsia="宋体" w:hAnsi="宋体" w:hint="eastAsia"/>
          <w:spacing w:val="10"/>
          <w:kern w:val="0"/>
          <w:sz w:val="24"/>
        </w:rPr>
        <w:t>路面结构设计说明中基层和底基层厚度与本图不一致；中分带缘石与说明不一致。</w:t>
      </w:r>
    </w:p>
    <w:p w:rsidR="00D9225E">
      <w:pPr>
        <w:snapToGrid w:val="0"/>
        <w:spacing w:line="360" w:lineRule="auto"/>
        <w:ind w:firstLine="480" w:firstLineChars="200"/>
        <w:rPr>
          <w:rFonts w:ascii="宋体" w:eastAsia="宋体" w:hAnsi="宋体"/>
          <w:b/>
          <w:bCs/>
          <w:spacing w:val="10"/>
          <w:kern w:val="0"/>
          <w:sz w:val="24"/>
        </w:rPr>
      </w:pPr>
      <w:r>
        <w:rPr>
          <w:rFonts w:ascii="宋体" w:eastAsia="宋体" w:hAnsi="宋体" w:hint="eastAsia"/>
          <w:b/>
          <w:bCs/>
          <w:spacing w:val="10"/>
          <w:kern w:val="0"/>
          <w:sz w:val="24"/>
        </w:rPr>
        <w:t>回复：已按专家意见修改。已复核修改图纸</w:t>
      </w:r>
      <w:r>
        <w:rPr>
          <w:rFonts w:ascii="宋体" w:eastAsia="宋体" w:hAnsi="宋体" w:hint="eastAsia"/>
          <w:b/>
          <w:bCs/>
          <w:spacing w:val="10"/>
          <w:kern w:val="0"/>
          <w:sz w:val="24"/>
        </w:rPr>
        <w:t>L-5-01-03</w:t>
      </w:r>
      <w:r>
        <w:rPr>
          <w:rFonts w:ascii="宋体" w:eastAsia="宋体" w:hAnsi="宋体" w:hint="eastAsia"/>
          <w:b/>
          <w:bCs/>
          <w:spacing w:val="10"/>
          <w:kern w:val="0"/>
          <w:sz w:val="24"/>
        </w:rPr>
        <w:t>中基层与底基层厚度，已复核修改说明中中分带路缘石尺寸。</w:t>
      </w:r>
    </w:p>
    <w:p w:rsidR="00D9225E">
      <w:pPr>
        <w:pStyle w:val="LW31"/>
        <w:spacing w:line="360" w:lineRule="auto"/>
      </w:pPr>
      <w:r>
        <w:rPr>
          <w:rFonts w:hint="eastAsia"/>
        </w:rPr>
        <w:t>初步设计阶段建议修改完善的意见</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1</w:t>
      </w:r>
      <w:r>
        <w:rPr>
          <w:rFonts w:ascii="宋体" w:eastAsia="宋体" w:hAnsi="宋体" w:hint="eastAsia"/>
          <w:spacing w:val="10"/>
          <w:kern w:val="0"/>
          <w:sz w:val="24"/>
        </w:rPr>
        <w:t>、路面结构设计说明中下面层设置抗车辙剂效果不佳，应在中面层设置抗车辙剂；人行道面与智慧跑道是否均采用透水砼应核实。</w:t>
      </w:r>
    </w:p>
    <w:p w:rsidR="00D9225E">
      <w:pPr>
        <w:snapToGrid w:val="0"/>
        <w:spacing w:line="360" w:lineRule="auto"/>
        <w:ind w:firstLine="480" w:firstLineChars="200"/>
        <w:rPr>
          <w:rFonts w:ascii="宋体" w:eastAsia="宋体" w:hAnsi="宋体"/>
          <w:b/>
          <w:bCs/>
          <w:spacing w:val="10"/>
          <w:kern w:val="0"/>
          <w:sz w:val="24"/>
        </w:rPr>
      </w:pPr>
      <w:r>
        <w:rPr>
          <w:rFonts w:ascii="宋体" w:eastAsia="宋体" w:hAnsi="宋体" w:hint="eastAsia"/>
          <w:b/>
          <w:bCs/>
          <w:spacing w:val="10"/>
          <w:kern w:val="0"/>
          <w:sz w:val="24"/>
        </w:rPr>
        <w:t>回复：已按专家意见修改，将抗车辙设置在中面层。已核实，人行道面与智慧跑道是均采用透水砼设计。</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2</w:t>
      </w:r>
      <w:r>
        <w:rPr>
          <w:rFonts w:ascii="宋体" w:eastAsia="宋体" w:hAnsi="宋体" w:hint="eastAsia"/>
          <w:spacing w:val="10"/>
          <w:kern w:val="0"/>
          <w:sz w:val="24"/>
        </w:rPr>
        <w:t>、</w:t>
      </w:r>
      <w:r>
        <w:rPr>
          <w:rFonts w:ascii="宋体" w:eastAsia="宋体" w:hAnsi="宋体" w:hint="eastAsia"/>
          <w:spacing w:val="10"/>
          <w:kern w:val="0"/>
          <w:sz w:val="24"/>
        </w:rPr>
        <w:t>L-03</w:t>
      </w:r>
      <w:r>
        <w:rPr>
          <w:rFonts w:ascii="宋体" w:eastAsia="宋体" w:hAnsi="宋体" w:hint="eastAsia"/>
          <w:spacing w:val="10"/>
          <w:kern w:val="0"/>
          <w:sz w:val="24"/>
        </w:rPr>
        <w:t>道路纵断面起点纵坡未与学府大道和渝秀大道横坡顺接，应补充交叉口竖向设</w:t>
      </w:r>
      <w:r>
        <w:rPr>
          <w:rFonts w:ascii="宋体" w:eastAsia="宋体" w:hAnsi="宋体" w:hint="eastAsia"/>
          <w:spacing w:val="10"/>
          <w:kern w:val="0"/>
          <w:sz w:val="24"/>
        </w:rPr>
        <w:t>计以便控制交叉口标高。</w:t>
      </w:r>
    </w:p>
    <w:p w:rsidR="00D9225E">
      <w:pPr>
        <w:snapToGrid w:val="0"/>
        <w:spacing w:line="360" w:lineRule="auto"/>
        <w:ind w:firstLine="480" w:firstLineChars="200"/>
        <w:rPr>
          <w:rFonts w:ascii="宋体" w:eastAsia="宋体" w:hAnsi="宋体"/>
          <w:b/>
          <w:bCs/>
          <w:spacing w:val="10"/>
          <w:kern w:val="0"/>
          <w:sz w:val="24"/>
        </w:rPr>
      </w:pPr>
      <w:r>
        <w:rPr>
          <w:rFonts w:ascii="宋体" w:eastAsia="宋体" w:hAnsi="宋体" w:hint="eastAsia"/>
          <w:b/>
          <w:bCs/>
          <w:spacing w:val="10"/>
          <w:kern w:val="0"/>
          <w:sz w:val="24"/>
        </w:rPr>
        <w:t>回复：已按专家意见修改，已在</w:t>
      </w:r>
      <w:r>
        <w:rPr>
          <w:rFonts w:ascii="宋体" w:eastAsia="宋体" w:hAnsi="宋体" w:hint="eastAsia"/>
          <w:b/>
          <w:bCs/>
          <w:spacing w:val="10"/>
          <w:kern w:val="0"/>
          <w:sz w:val="24"/>
        </w:rPr>
        <w:t>L-04-25</w:t>
      </w:r>
      <w:r>
        <w:rPr>
          <w:rFonts w:ascii="宋体" w:eastAsia="宋体" w:hAnsi="宋体" w:hint="eastAsia"/>
          <w:b/>
          <w:bCs/>
          <w:spacing w:val="10"/>
          <w:kern w:val="0"/>
          <w:sz w:val="24"/>
        </w:rPr>
        <w:t>中补充起点交叉口竖向设计图。</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3</w:t>
      </w:r>
      <w:r>
        <w:rPr>
          <w:rFonts w:ascii="宋体" w:eastAsia="宋体" w:hAnsi="宋体" w:hint="eastAsia"/>
          <w:spacing w:val="10"/>
          <w:kern w:val="0"/>
          <w:sz w:val="24"/>
        </w:rPr>
        <w:t>、</w:t>
      </w:r>
      <w:r>
        <w:rPr>
          <w:rFonts w:ascii="宋体" w:eastAsia="宋体" w:hAnsi="宋体" w:hint="eastAsia"/>
          <w:spacing w:val="10"/>
          <w:kern w:val="0"/>
          <w:sz w:val="24"/>
        </w:rPr>
        <w:t>L-04</w:t>
      </w:r>
      <w:r>
        <w:rPr>
          <w:rFonts w:ascii="宋体" w:eastAsia="宋体" w:hAnsi="宋体" w:hint="eastAsia"/>
          <w:spacing w:val="10"/>
          <w:kern w:val="0"/>
          <w:sz w:val="24"/>
        </w:rPr>
        <w:t>根据《重庆市市政工程初步设计文件编制技术规定》（</w:t>
      </w:r>
      <w:r>
        <w:rPr>
          <w:rFonts w:ascii="宋体" w:eastAsia="宋体" w:hAnsi="宋体" w:hint="eastAsia"/>
          <w:spacing w:val="10"/>
          <w:kern w:val="0"/>
          <w:sz w:val="24"/>
        </w:rPr>
        <w:t>2017</w:t>
      </w:r>
      <w:r>
        <w:rPr>
          <w:rFonts w:ascii="宋体" w:eastAsia="宋体" w:hAnsi="宋体" w:hint="eastAsia"/>
          <w:spacing w:val="10"/>
          <w:kern w:val="0"/>
          <w:sz w:val="24"/>
        </w:rPr>
        <w:t>年版）</w:t>
      </w:r>
      <w:r>
        <w:rPr>
          <w:rFonts w:ascii="宋体" w:eastAsia="宋体" w:hAnsi="宋体" w:hint="eastAsia"/>
          <w:spacing w:val="10"/>
          <w:kern w:val="0"/>
          <w:sz w:val="24"/>
        </w:rPr>
        <w:t>3.2.6</w:t>
      </w:r>
      <w:r>
        <w:rPr>
          <w:rFonts w:ascii="宋体" w:eastAsia="宋体" w:hAnsi="宋体" w:hint="eastAsia"/>
          <w:spacing w:val="10"/>
          <w:kern w:val="0"/>
          <w:sz w:val="24"/>
        </w:rPr>
        <w:t>条标准横断面图补充标示车行道路面结构、非机动车路面结构、人行道面结构；标示路缘石、花带石、路边石、植树圈材料尺寸；</w:t>
      </w:r>
      <w:r>
        <w:rPr>
          <w:rFonts w:ascii="宋体" w:eastAsia="宋体" w:hAnsi="宋体" w:hint="eastAsia"/>
          <w:spacing w:val="10"/>
          <w:kern w:val="0"/>
          <w:sz w:val="24"/>
        </w:rPr>
        <w:t>L-04-25</w:t>
      </w:r>
      <w:r>
        <w:rPr>
          <w:rFonts w:ascii="宋体" w:eastAsia="宋体" w:hAnsi="宋体" w:hint="eastAsia"/>
          <w:spacing w:val="10"/>
          <w:kern w:val="0"/>
          <w:sz w:val="24"/>
        </w:rPr>
        <w:t>补充起终点交叉口竖向设计图。</w:t>
      </w:r>
    </w:p>
    <w:p w:rsidR="00D9225E">
      <w:pPr>
        <w:snapToGrid w:val="0"/>
        <w:spacing w:line="360" w:lineRule="auto"/>
        <w:ind w:firstLine="480" w:firstLineChars="200"/>
        <w:rPr>
          <w:rFonts w:ascii="宋体" w:eastAsia="宋体" w:hAnsi="宋体"/>
          <w:b/>
          <w:bCs/>
          <w:spacing w:val="10"/>
          <w:kern w:val="0"/>
          <w:sz w:val="24"/>
        </w:rPr>
      </w:pPr>
      <w:r>
        <w:rPr>
          <w:rFonts w:ascii="宋体" w:eastAsia="宋体" w:hAnsi="宋体" w:hint="eastAsia"/>
          <w:b/>
          <w:bCs/>
          <w:spacing w:val="10"/>
          <w:kern w:val="0"/>
          <w:sz w:val="24"/>
        </w:rPr>
        <w:t>回复：已按专家意见修改。已在补充</w:t>
      </w:r>
      <w:r>
        <w:rPr>
          <w:rFonts w:ascii="宋体" w:eastAsia="宋体" w:hAnsi="宋体" w:hint="eastAsia"/>
          <w:b/>
          <w:bCs/>
          <w:spacing w:val="10"/>
          <w:kern w:val="0"/>
          <w:sz w:val="24"/>
        </w:rPr>
        <w:t>L-04-01</w:t>
      </w:r>
      <w:r>
        <w:rPr>
          <w:rFonts w:ascii="宋体" w:eastAsia="宋体" w:hAnsi="宋体" w:hint="eastAsia"/>
          <w:b/>
          <w:bCs/>
          <w:spacing w:val="10"/>
          <w:kern w:val="0"/>
          <w:sz w:val="24"/>
        </w:rPr>
        <w:t>标准横断面中补充标示车行道路面结构、非机动车路面结构、人行道面结构；标示路缘石、花带石、路边石材料尺寸；已在</w:t>
      </w:r>
      <w:r>
        <w:rPr>
          <w:rFonts w:ascii="宋体" w:eastAsia="宋体" w:hAnsi="宋体" w:hint="eastAsia"/>
          <w:b/>
          <w:bCs/>
          <w:spacing w:val="10"/>
          <w:kern w:val="0"/>
          <w:sz w:val="24"/>
        </w:rPr>
        <w:t>L-04-25</w:t>
      </w:r>
      <w:r>
        <w:rPr>
          <w:rFonts w:ascii="宋体" w:eastAsia="宋体" w:hAnsi="宋体" w:hint="eastAsia"/>
          <w:b/>
          <w:bCs/>
          <w:spacing w:val="10"/>
          <w:kern w:val="0"/>
          <w:sz w:val="24"/>
        </w:rPr>
        <w:t>、</w:t>
      </w:r>
      <w:r>
        <w:rPr>
          <w:rFonts w:ascii="宋体" w:eastAsia="宋体" w:hAnsi="宋体" w:hint="eastAsia"/>
          <w:b/>
          <w:bCs/>
          <w:spacing w:val="10"/>
          <w:kern w:val="0"/>
          <w:sz w:val="24"/>
        </w:rPr>
        <w:t>L-04-29</w:t>
      </w:r>
      <w:r>
        <w:rPr>
          <w:rFonts w:ascii="宋体" w:eastAsia="宋体" w:hAnsi="宋体" w:hint="eastAsia"/>
          <w:b/>
          <w:bCs/>
          <w:spacing w:val="10"/>
          <w:kern w:val="0"/>
          <w:sz w:val="24"/>
        </w:rPr>
        <w:t>中补充起终点起终点交叉口竖向设计图。</w:t>
      </w:r>
    </w:p>
    <w:p w:rsidR="00D9225E">
      <w:pPr>
        <w:pStyle w:val="LW31"/>
        <w:spacing w:line="360" w:lineRule="auto"/>
      </w:pPr>
      <w:r>
        <w:rPr>
          <w:rFonts w:hint="eastAsia"/>
        </w:rPr>
        <w:t>施工图设计阶段须修改完善的意见</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1</w:t>
      </w:r>
      <w:r>
        <w:rPr>
          <w:rFonts w:ascii="宋体" w:eastAsia="宋体" w:hAnsi="宋体" w:hint="eastAsia"/>
          <w:spacing w:val="10"/>
          <w:kern w:val="0"/>
          <w:sz w:val="24"/>
        </w:rPr>
        <w:t>、补充纵横向填挖交界处处治，红粘土处治等大样图。</w:t>
      </w:r>
    </w:p>
    <w:p w:rsidR="00D9225E">
      <w:pPr>
        <w:snapToGrid w:val="0"/>
        <w:spacing w:line="360" w:lineRule="auto"/>
        <w:ind w:firstLine="480" w:firstLineChars="200"/>
        <w:rPr>
          <w:rFonts w:ascii="宋体" w:eastAsia="宋体" w:hAnsi="宋体"/>
          <w:b/>
          <w:bCs/>
          <w:spacing w:val="10"/>
          <w:kern w:val="0"/>
          <w:sz w:val="24"/>
        </w:rPr>
      </w:pPr>
      <w:r>
        <w:rPr>
          <w:rFonts w:ascii="宋体" w:eastAsia="宋体" w:hAnsi="宋体" w:hint="eastAsia"/>
          <w:b/>
          <w:bCs/>
          <w:spacing w:val="10"/>
          <w:kern w:val="0"/>
          <w:sz w:val="24"/>
        </w:rPr>
        <w:t>回复：本项目无纵横向填挖交界</w:t>
      </w:r>
      <w:r>
        <w:rPr>
          <w:rFonts w:ascii="宋体" w:eastAsia="宋体" w:hAnsi="宋体" w:hint="eastAsia"/>
          <w:b/>
          <w:bCs/>
          <w:spacing w:val="10"/>
          <w:kern w:val="0"/>
          <w:sz w:val="24"/>
        </w:rPr>
        <w:t>;</w:t>
      </w:r>
      <w:r>
        <w:rPr>
          <w:rFonts w:ascii="宋体" w:eastAsia="宋体" w:hAnsi="宋体" w:hint="eastAsia"/>
          <w:b/>
          <w:bCs/>
          <w:spacing w:val="10"/>
          <w:kern w:val="0"/>
          <w:sz w:val="24"/>
        </w:rPr>
        <w:t>红粘土处治大样详见初设“</w:t>
      </w:r>
      <w:r>
        <w:rPr>
          <w:rFonts w:ascii="宋体" w:eastAsia="宋体" w:hAnsi="宋体" w:hint="eastAsia"/>
          <w:b/>
          <w:bCs/>
          <w:spacing w:val="10"/>
          <w:kern w:val="0"/>
          <w:sz w:val="24"/>
        </w:rPr>
        <w:t xml:space="preserve">L-5-15 </w:t>
      </w:r>
      <w:r>
        <w:rPr>
          <w:rFonts w:ascii="宋体" w:eastAsia="宋体" w:hAnsi="宋体" w:hint="eastAsia"/>
          <w:b/>
          <w:bCs/>
          <w:spacing w:val="10"/>
          <w:kern w:val="0"/>
          <w:sz w:val="24"/>
        </w:rPr>
        <w:t>路基处理设计图。”</w:t>
      </w:r>
    </w:p>
    <w:p w:rsidR="00D9225E">
      <w:pPr>
        <w:snapToGrid w:val="0"/>
        <w:spacing w:line="360" w:lineRule="auto"/>
        <w:ind w:firstLine="480" w:firstLineChars="200"/>
        <w:rPr>
          <w:rFonts w:ascii="宋体" w:eastAsia="宋体" w:hAnsi="宋体"/>
          <w:spacing w:val="10"/>
          <w:kern w:val="0"/>
          <w:sz w:val="24"/>
        </w:rPr>
      </w:pPr>
      <w:r>
        <w:rPr>
          <w:rFonts w:ascii="宋体" w:eastAsia="宋体" w:hAnsi="宋体" w:hint="eastAsia"/>
          <w:spacing w:val="10"/>
          <w:kern w:val="0"/>
          <w:sz w:val="24"/>
        </w:rPr>
        <w:t>2</w:t>
      </w:r>
      <w:r>
        <w:rPr>
          <w:rFonts w:ascii="宋体" w:eastAsia="宋体" w:hAnsi="宋体" w:hint="eastAsia"/>
          <w:spacing w:val="10"/>
          <w:kern w:val="0"/>
          <w:sz w:val="24"/>
        </w:rPr>
        <w:t>、补充坡面防护设计图。</w:t>
      </w:r>
    </w:p>
    <w:p w:rsidR="00D9225E">
      <w:pPr>
        <w:pStyle w:val="LW"/>
        <w:spacing w:line="360" w:lineRule="auto"/>
        <w:ind w:firstLine="522"/>
        <w:rPr>
          <w:b/>
          <w:bCs/>
        </w:rPr>
      </w:pPr>
      <w:r>
        <w:rPr>
          <w:rFonts w:hint="eastAsia"/>
          <w:b/>
          <w:bCs/>
        </w:rPr>
        <w:t>回复：坡面防护设计图详见岩土专业图纸。</w:t>
      </w:r>
    </w:p>
    <w:p w:rsidR="00D9225E">
      <w:pPr>
        <w:pStyle w:val="LW11"/>
        <w:spacing w:line="360" w:lineRule="auto"/>
      </w:pPr>
      <w:r>
        <w:rPr>
          <w:rFonts w:hint="eastAsia"/>
        </w:rPr>
        <w:t>建设条件</w:t>
      </w:r>
      <w:bookmarkEnd w:id="13"/>
      <w:r>
        <w:rPr>
          <w:rFonts w:hint="eastAsia"/>
        </w:rPr>
        <w:t>（摘</w:t>
      </w:r>
      <w:r>
        <w:t>自地勘报告</w:t>
      </w:r>
      <w:r>
        <w:rPr>
          <w:rFonts w:hint="eastAsia"/>
        </w:rPr>
        <w:t>）</w:t>
      </w:r>
      <w:bookmarkEnd w:id="14"/>
      <w:bookmarkEnd w:id="15"/>
      <w:bookmarkEnd w:id="16"/>
      <w:bookmarkEnd w:id="17"/>
    </w:p>
    <w:p w:rsidR="00D9225E">
      <w:pPr>
        <w:pStyle w:val="LW21"/>
      </w:pPr>
      <w:bookmarkStart w:id="18" w:name="_Toc68246742"/>
      <w:bookmarkStart w:id="19" w:name="_Toc57148386"/>
      <w:bookmarkStart w:id="20" w:name="_Toc88148440"/>
      <w:bookmarkStart w:id="21" w:name="_Toc57148235"/>
      <w:bookmarkStart w:id="22" w:name="_Toc529402117"/>
      <w:bookmarkStart w:id="23" w:name="_Toc9397"/>
      <w:bookmarkStart w:id="24" w:name="_Toc88141319"/>
      <w:bookmarkStart w:id="25" w:name="_Toc68246578"/>
      <w:bookmarkStart w:id="26" w:name="_Toc88140155"/>
      <w:bookmarkStart w:id="27" w:name="_Toc68246905"/>
      <w:bookmarkStart w:id="28" w:name="_Toc523105356"/>
      <w:r>
        <w:rPr>
          <w:rFonts w:hint="eastAsia"/>
        </w:rPr>
        <w:t>建设区域的自然条件</w:t>
      </w:r>
      <w:bookmarkEnd w:id="18"/>
      <w:bookmarkEnd w:id="19"/>
      <w:bookmarkEnd w:id="20"/>
      <w:bookmarkEnd w:id="21"/>
      <w:bookmarkEnd w:id="22"/>
      <w:bookmarkEnd w:id="23"/>
      <w:bookmarkEnd w:id="24"/>
      <w:bookmarkEnd w:id="25"/>
      <w:bookmarkEnd w:id="26"/>
      <w:bookmarkEnd w:id="27"/>
    </w:p>
    <w:p w:rsidR="00D9225E">
      <w:pPr>
        <w:pStyle w:val="LW31"/>
      </w:pPr>
      <w:bookmarkStart w:id="29" w:name="_Toc529402118"/>
      <w:bookmarkStart w:id="30" w:name="_Toc68246743"/>
      <w:bookmarkStart w:id="31" w:name="_Toc57148387"/>
      <w:bookmarkStart w:id="32" w:name="_Toc88140156"/>
      <w:bookmarkStart w:id="33" w:name="_Toc9354"/>
      <w:bookmarkStart w:id="34" w:name="_Toc88148441"/>
      <w:bookmarkStart w:id="35" w:name="_Toc68246579"/>
      <w:bookmarkStart w:id="36" w:name="_Toc57148236"/>
      <w:bookmarkStart w:id="37" w:name="_Toc88141320"/>
      <w:bookmarkStart w:id="38" w:name="_Toc68246906"/>
      <w:bookmarkEnd w:id="28"/>
      <w:r>
        <w:rPr>
          <w:rFonts w:hint="eastAsia"/>
        </w:rPr>
        <w:t>地理位置</w:t>
      </w:r>
      <w:bookmarkEnd w:id="29"/>
      <w:bookmarkEnd w:id="30"/>
      <w:bookmarkEnd w:id="31"/>
      <w:bookmarkEnd w:id="32"/>
      <w:bookmarkEnd w:id="33"/>
      <w:bookmarkEnd w:id="34"/>
      <w:bookmarkEnd w:id="35"/>
      <w:bookmarkEnd w:id="36"/>
      <w:bookmarkEnd w:id="37"/>
      <w:bookmarkEnd w:id="38"/>
    </w:p>
    <w:p w:rsidR="00D9225E">
      <w:pPr>
        <w:pStyle w:val="LW"/>
        <w:ind w:firstLine="520"/>
      </w:pPr>
      <w:bookmarkStart w:id="39" w:name="_Toc373595777"/>
      <w:r>
        <w:rPr>
          <w:rFonts w:hint="eastAsia"/>
        </w:rPr>
        <w:t>本次设计的道路位于重庆市秀山县中和街道秀山高中附近，拟建道路起点接规划渝秀大道相交，终点与</w:t>
      </w:r>
      <w:r>
        <w:rPr>
          <w:rFonts w:hint="eastAsia"/>
        </w:rPr>
        <w:t>现状学府大道</w:t>
      </w:r>
      <w:r>
        <w:rPr>
          <w:rFonts w:hint="eastAsia"/>
        </w:rPr>
        <w:t>相交，场地内有乡村公路相通，交通便利，地理位置优越。</w:t>
      </w:r>
    </w:p>
    <w:p w:rsidR="00D9225E">
      <w:pPr>
        <w:pStyle w:val="LW31"/>
      </w:pPr>
      <w:bookmarkStart w:id="40" w:name="_Toc88140157"/>
      <w:bookmarkStart w:id="41" w:name="_Toc88148442"/>
      <w:bookmarkStart w:id="42" w:name="_Toc22494"/>
      <w:bookmarkStart w:id="43" w:name="_Toc12491"/>
      <w:bookmarkStart w:id="44" w:name="_Toc88141321"/>
      <w:r>
        <w:rPr>
          <w:rFonts w:hint="eastAsia"/>
        </w:rPr>
        <w:t>气象、水文</w:t>
      </w:r>
      <w:bookmarkEnd w:id="40"/>
      <w:bookmarkEnd w:id="41"/>
      <w:bookmarkEnd w:id="42"/>
      <w:bookmarkEnd w:id="43"/>
      <w:bookmarkEnd w:id="44"/>
    </w:p>
    <w:p w:rsidR="00D9225E">
      <w:pPr>
        <w:pStyle w:val="LW"/>
        <w:ind w:firstLine="520"/>
        <w:sectPr>
          <w:headerReference w:type="even" r:id="rId14"/>
          <w:footerReference w:type="even" r:id="rId15"/>
          <w:type w:val="nextPage"/>
          <w:pgSz w:w="23811" w:h="16838" w:orient="landscape"/>
          <w:pgMar w:top="851" w:right="851" w:bottom="3119" w:left="1985" w:header="879" w:footer="765" w:gutter="0"/>
          <w:pgNumType w:start="5"/>
          <w:cols w:num="2" w:space="425"/>
          <w:titlePg w:val="0"/>
          <w:docGrid w:type="lines" w:linePitch="312"/>
        </w:sectPr>
      </w:pPr>
      <w:bookmarkStart w:id="45" w:name="_Toc88140158"/>
      <w:bookmarkStart w:id="46" w:name="_Toc88148443"/>
      <w:bookmarkStart w:id="47" w:name="_Toc88141322"/>
      <w:bookmarkEnd w:id="39"/>
      <w:r>
        <w:rPr>
          <w:rFonts w:hint="eastAsia"/>
        </w:rPr>
        <w:t>项目区域气候属亚热带湿润季风气候区，四季较明显，具有冬暖夏热，春秋多变，降水丰沛，分配不均，空气湿润，常有春旱、伏旱与秋绵雨，寒潮、大风、暴雨、冰雹偶有出现等特点。据秀山县气象局资料：最大年降雨量</w:t>
      </w:r>
      <w:r>
        <w:rPr>
          <w:rFonts w:hint="eastAsia"/>
        </w:rPr>
        <w:t>1350.3mm</w:t>
      </w:r>
      <w:r>
        <w:rPr>
          <w:rFonts w:hint="eastAsia"/>
        </w:rPr>
        <w:t>（</w:t>
      </w:r>
      <w:r>
        <w:rPr>
          <w:rFonts w:hint="eastAsia"/>
        </w:rPr>
        <w:t>1981</w:t>
      </w:r>
      <w:r>
        <w:rPr>
          <w:rFonts w:hint="eastAsia"/>
        </w:rPr>
        <w:t>年），最小年降雨量</w:t>
      </w:r>
    </w:p>
    <w:p w:rsidR="00D9225E">
      <w:pPr>
        <w:pStyle w:val="LW"/>
        <w:ind w:firstLine="520"/>
      </w:pPr>
      <w:r>
        <w:rPr>
          <w:rFonts w:hint="eastAsia"/>
        </w:rPr>
        <w:t>783.2mm</w:t>
      </w:r>
      <w:r>
        <w:rPr>
          <w:rFonts w:hint="eastAsia"/>
        </w:rPr>
        <w:t>（</w:t>
      </w:r>
      <w:r>
        <w:rPr>
          <w:rFonts w:hint="eastAsia"/>
        </w:rPr>
        <w:t>1990</w:t>
      </w:r>
      <w:r>
        <w:rPr>
          <w:rFonts w:hint="eastAsia"/>
        </w:rPr>
        <w:t>年），多年平均降雨量</w:t>
      </w:r>
      <w:r>
        <w:rPr>
          <w:rFonts w:hint="eastAsia"/>
        </w:rPr>
        <w:t>1199.4mm</w:t>
      </w:r>
      <w:r>
        <w:rPr>
          <w:rFonts w:hint="eastAsia"/>
        </w:rPr>
        <w:t>，降雨集中在每年的</w:t>
      </w:r>
      <w:r>
        <w:rPr>
          <w:rFonts w:hint="eastAsia"/>
        </w:rPr>
        <w:t>4</w:t>
      </w:r>
      <w:r>
        <w:rPr>
          <w:rFonts w:hint="eastAsia"/>
        </w:rPr>
        <w:t>～</w:t>
      </w:r>
      <w:r>
        <w:rPr>
          <w:rFonts w:hint="eastAsia"/>
        </w:rPr>
        <w:t>7</w:t>
      </w:r>
      <w:r>
        <w:rPr>
          <w:rFonts w:hint="eastAsia"/>
        </w:rPr>
        <w:t>月，降雨量</w:t>
      </w:r>
      <w:r>
        <w:rPr>
          <w:rFonts w:hint="eastAsia"/>
        </w:rPr>
        <w:t>约占全年降雨量的</w:t>
      </w:r>
      <w:r>
        <w:rPr>
          <w:rFonts w:hint="eastAsia"/>
        </w:rPr>
        <w:t>65%</w:t>
      </w:r>
      <w:r>
        <w:rPr>
          <w:rFonts w:hint="eastAsia"/>
        </w:rPr>
        <w:t>，多年平均最大日降雨量</w:t>
      </w:r>
      <w:r>
        <w:rPr>
          <w:rFonts w:hint="eastAsia"/>
        </w:rPr>
        <w:t>100mm</w:t>
      </w:r>
      <w:r>
        <w:rPr>
          <w:rFonts w:hint="eastAsia"/>
        </w:rPr>
        <w:t>，最大日降雨量</w:t>
      </w:r>
      <w:r>
        <w:rPr>
          <w:rFonts w:hint="eastAsia"/>
        </w:rPr>
        <w:t>178.3mm(1971</w:t>
      </w:r>
      <w:r>
        <w:rPr>
          <w:rFonts w:hint="eastAsia"/>
        </w:rPr>
        <w:t>年</w:t>
      </w:r>
      <w:r>
        <w:rPr>
          <w:rFonts w:hint="eastAsia"/>
        </w:rPr>
        <w:t>6</w:t>
      </w:r>
      <w:r>
        <w:rPr>
          <w:rFonts w:hint="eastAsia"/>
        </w:rPr>
        <w:t>月</w:t>
      </w:r>
      <w:r>
        <w:rPr>
          <w:rFonts w:hint="eastAsia"/>
        </w:rPr>
        <w:t>1</w:t>
      </w:r>
      <w:r>
        <w:rPr>
          <w:rFonts w:hint="eastAsia"/>
        </w:rPr>
        <w:t>日</w:t>
      </w:r>
      <w:r>
        <w:rPr>
          <w:rFonts w:hint="eastAsia"/>
        </w:rPr>
        <w:t>)</w:t>
      </w:r>
      <w:r>
        <w:rPr>
          <w:rFonts w:hint="eastAsia"/>
        </w:rPr>
        <w:t>。多年平均气温</w:t>
      </w:r>
      <w:r>
        <w:rPr>
          <w:rFonts w:hint="eastAsia"/>
        </w:rPr>
        <w:t>16.0</w:t>
      </w:r>
      <w:r>
        <w:rPr>
          <w:rFonts w:hint="eastAsia"/>
        </w:rPr>
        <w:t>℃；极端最低气温</w:t>
      </w:r>
      <w:r>
        <w:rPr>
          <w:rFonts w:hint="eastAsia"/>
        </w:rPr>
        <w:t>-10.5</w:t>
      </w:r>
      <w:r>
        <w:rPr>
          <w:rFonts w:hint="eastAsia"/>
        </w:rPr>
        <w:t>℃（</w:t>
      </w:r>
      <w:r>
        <w:rPr>
          <w:rFonts w:hint="eastAsia"/>
        </w:rPr>
        <w:t>1977</w:t>
      </w:r>
      <w:r>
        <w:rPr>
          <w:rFonts w:hint="eastAsia"/>
        </w:rPr>
        <w:t>年</w:t>
      </w:r>
      <w:r>
        <w:rPr>
          <w:rFonts w:hint="eastAsia"/>
        </w:rPr>
        <w:t>1</w:t>
      </w:r>
      <w:r>
        <w:rPr>
          <w:rFonts w:hint="eastAsia"/>
        </w:rPr>
        <w:t>月</w:t>
      </w:r>
      <w:r>
        <w:rPr>
          <w:rFonts w:hint="eastAsia"/>
        </w:rPr>
        <w:t>29</w:t>
      </w:r>
      <w:r>
        <w:rPr>
          <w:rFonts w:hint="eastAsia"/>
        </w:rPr>
        <w:t>日），极端最高气温</w:t>
      </w:r>
      <w:r>
        <w:rPr>
          <w:rFonts w:hint="eastAsia"/>
        </w:rPr>
        <w:t>43.0</w:t>
      </w:r>
      <w:r>
        <w:rPr>
          <w:rFonts w:hint="eastAsia"/>
        </w:rPr>
        <w:t>℃，（</w:t>
      </w:r>
      <w:r>
        <w:rPr>
          <w:rFonts w:hint="eastAsia"/>
        </w:rPr>
        <w:t>2006</w:t>
      </w:r>
      <w:r>
        <w:rPr>
          <w:rFonts w:hint="eastAsia"/>
        </w:rPr>
        <w:t>年</w:t>
      </w:r>
      <w:r>
        <w:rPr>
          <w:rFonts w:hint="eastAsia"/>
        </w:rPr>
        <w:t>8</w:t>
      </w:r>
      <w:r>
        <w:rPr>
          <w:rFonts w:hint="eastAsia"/>
        </w:rPr>
        <w:t>月</w:t>
      </w:r>
      <w:r>
        <w:rPr>
          <w:rFonts w:hint="eastAsia"/>
        </w:rPr>
        <w:t>26</w:t>
      </w:r>
      <w:r>
        <w:rPr>
          <w:rFonts w:hint="eastAsia"/>
        </w:rPr>
        <w:t>日），年无霜期</w:t>
      </w:r>
      <w:r>
        <w:rPr>
          <w:rFonts w:hint="eastAsia"/>
        </w:rPr>
        <w:t>260</w:t>
      </w:r>
      <w:r>
        <w:rPr>
          <w:rFonts w:hint="eastAsia"/>
        </w:rPr>
        <w:t>～</w:t>
      </w:r>
      <w:r>
        <w:rPr>
          <w:rFonts w:hint="eastAsia"/>
        </w:rPr>
        <w:t>270d</w:t>
      </w:r>
      <w:r>
        <w:rPr>
          <w:rFonts w:hint="eastAsia"/>
        </w:rPr>
        <w:t>。平均相对湿度</w:t>
      </w:r>
      <w:r>
        <w:rPr>
          <w:rFonts w:hint="eastAsia"/>
        </w:rPr>
        <w:t>81%</w:t>
      </w:r>
      <w:r>
        <w:rPr>
          <w:rFonts w:hint="eastAsia"/>
        </w:rPr>
        <w:t>，绝对湿度</w:t>
      </w:r>
      <w:r>
        <w:rPr>
          <w:rFonts w:hint="eastAsia"/>
        </w:rPr>
        <w:t>17.6mb</w:t>
      </w:r>
      <w:r>
        <w:rPr>
          <w:rFonts w:hint="eastAsia"/>
        </w:rPr>
        <w:t>，多为偏北风，年平均风速</w:t>
      </w:r>
      <w:r>
        <w:rPr>
          <w:rFonts w:hint="eastAsia"/>
        </w:rPr>
        <w:t>1.9m/s</w:t>
      </w:r>
      <w:r>
        <w:rPr>
          <w:rFonts w:hint="eastAsia"/>
        </w:rPr>
        <w:t>，年最大瞬时风速达</w:t>
      </w:r>
      <w:r>
        <w:rPr>
          <w:rFonts w:hint="eastAsia"/>
        </w:rPr>
        <w:t>20m/s</w:t>
      </w:r>
      <w:r>
        <w:rPr>
          <w:rFonts w:hint="eastAsia"/>
        </w:rPr>
        <w:t>。</w:t>
      </w:r>
    </w:p>
    <w:p w:rsidR="00D9225E">
      <w:pPr>
        <w:pStyle w:val="LW"/>
        <w:ind w:firstLine="520"/>
      </w:pPr>
      <w:r>
        <w:rPr>
          <w:rFonts w:hint="eastAsia"/>
        </w:rPr>
        <w:t>通过对现场调查，拟建场地内及其附近无河流通过，沟谷地带中鱼塘、农田等多为干枯状，部分表层存在积水，场区水文条件简单。</w:t>
      </w:r>
    </w:p>
    <w:p w:rsidR="00D9225E">
      <w:pPr>
        <w:pStyle w:val="LW21"/>
      </w:pPr>
      <w:bookmarkStart w:id="48" w:name="_Toc21981"/>
      <w:r>
        <w:rPr>
          <w:rFonts w:hint="eastAsia"/>
        </w:rPr>
        <w:t>建设场地工程地质条件</w:t>
      </w:r>
      <w:bookmarkEnd w:id="45"/>
      <w:bookmarkEnd w:id="46"/>
      <w:bookmarkEnd w:id="47"/>
      <w:bookmarkEnd w:id="48"/>
    </w:p>
    <w:p w:rsidR="00D9225E">
      <w:pPr>
        <w:pStyle w:val="LW31"/>
      </w:pPr>
      <w:bookmarkStart w:id="49" w:name="_Toc88148444"/>
      <w:bookmarkStart w:id="50" w:name="_Toc88141323"/>
      <w:bookmarkStart w:id="51" w:name="_Toc17051"/>
      <w:bookmarkStart w:id="52" w:name="_Toc88140159"/>
      <w:r>
        <w:rPr>
          <w:rFonts w:hint="eastAsia"/>
        </w:rPr>
        <w:t>地形地貌</w:t>
      </w:r>
      <w:bookmarkEnd w:id="49"/>
      <w:bookmarkEnd w:id="50"/>
      <w:bookmarkEnd w:id="51"/>
      <w:bookmarkEnd w:id="52"/>
    </w:p>
    <w:p w:rsidR="00D9225E">
      <w:pPr>
        <w:pStyle w:val="LW"/>
        <w:ind w:firstLine="520"/>
      </w:pPr>
      <w:bookmarkStart w:id="53" w:name="_Toc88140160"/>
      <w:bookmarkStart w:id="54" w:name="_Toc88141324"/>
      <w:bookmarkStart w:id="55" w:name="_Toc88148445"/>
      <w:r>
        <w:rPr>
          <w:rFonts w:hint="eastAsia"/>
        </w:rPr>
        <w:t>项目区域原始地貌属梅江河一级阶地堆积地貌，整体上呈沟谷相间。场地地形较平缓，一般地形坡度</w:t>
      </w:r>
      <w:r>
        <w:rPr>
          <w:rFonts w:hint="eastAsia"/>
        </w:rPr>
        <w:t>3</w:t>
      </w:r>
      <w:r>
        <w:rPr>
          <w:rFonts w:hint="eastAsia"/>
        </w:rPr>
        <w:t>°～</w:t>
      </w:r>
      <w:r>
        <w:rPr>
          <w:rFonts w:hint="eastAsia"/>
        </w:rPr>
        <w:t>10</w:t>
      </w:r>
      <w:r>
        <w:rPr>
          <w:rFonts w:hint="eastAsia"/>
        </w:rPr>
        <w:t>°；场地局部地段地形坡度较大，地形坡度</w:t>
      </w:r>
      <w:r>
        <w:rPr>
          <w:rFonts w:hint="eastAsia"/>
        </w:rPr>
        <w:t>15</w:t>
      </w:r>
      <w:r>
        <w:rPr>
          <w:rFonts w:hint="eastAsia"/>
        </w:rPr>
        <w:t>°～</w:t>
      </w:r>
      <w:r>
        <w:rPr>
          <w:rFonts w:hint="eastAsia"/>
        </w:rPr>
        <w:t>20</w:t>
      </w:r>
      <w:r>
        <w:rPr>
          <w:rFonts w:hint="eastAsia"/>
        </w:rPr>
        <w:t>°。勘探点内地貌高程在</w:t>
      </w:r>
      <w:r>
        <w:rPr>
          <w:rFonts w:hint="eastAsia"/>
        </w:rPr>
        <w:t>362.12</w:t>
      </w:r>
      <w:r>
        <w:rPr>
          <w:rFonts w:hint="eastAsia"/>
        </w:rPr>
        <w:t>～</w:t>
      </w:r>
      <w:r>
        <w:rPr>
          <w:rFonts w:hint="eastAsia"/>
        </w:rPr>
        <w:t>374.70m</w:t>
      </w:r>
      <w:r>
        <w:rPr>
          <w:rFonts w:hint="eastAsia"/>
        </w:rPr>
        <w:t>，地形相对高差约</w:t>
      </w:r>
      <w:r>
        <w:rPr>
          <w:rFonts w:hint="eastAsia"/>
        </w:rPr>
        <w:t>12.58m</w:t>
      </w:r>
      <w:r>
        <w:rPr>
          <w:rFonts w:hint="eastAsia"/>
        </w:rPr>
        <w:t>，整体地形呈现西高东低，地形条件较复杂。</w:t>
      </w:r>
    </w:p>
    <w:p w:rsidR="00D9225E">
      <w:pPr>
        <w:pStyle w:val="LW31"/>
      </w:pPr>
      <w:bookmarkStart w:id="56" w:name="_Toc31774"/>
      <w:r>
        <w:rPr>
          <w:rFonts w:hint="eastAsia"/>
        </w:rPr>
        <w:t>地质构造</w:t>
      </w:r>
      <w:bookmarkEnd w:id="53"/>
      <w:bookmarkEnd w:id="54"/>
      <w:bookmarkEnd w:id="55"/>
      <w:bookmarkEnd w:id="56"/>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勘察场地位于川、湘、黔褶皱带。本场地地质构造属秀山复式背斜北西翼。岩层呈单斜状产出，其产状为倾向</w:t>
      </w:r>
      <w:r>
        <w:rPr>
          <w:rFonts w:ascii="宋体" w:eastAsia="宋体" w:hAnsi="宋体" w:cs="Times New Roman" w:hint="eastAsia"/>
          <w:spacing w:val="10"/>
          <w:kern w:val="0"/>
          <w:sz w:val="24"/>
          <w:szCs w:val="24"/>
        </w:rPr>
        <w:t>310</w:t>
      </w:r>
      <w:r>
        <w:rPr>
          <w:rFonts w:ascii="宋体" w:eastAsia="宋体" w:hAnsi="宋体" w:cs="Times New Roman" w:hint="eastAsia"/>
          <w:spacing w:val="10"/>
          <w:kern w:val="0"/>
          <w:sz w:val="24"/>
          <w:szCs w:val="24"/>
        </w:rPr>
        <w:t>°，倾角</w:t>
      </w:r>
      <w:r>
        <w:rPr>
          <w:rFonts w:ascii="宋体" w:eastAsia="宋体" w:hAnsi="宋体" w:cs="Times New Roman" w:hint="eastAsia"/>
          <w:spacing w:val="10"/>
          <w:kern w:val="0"/>
          <w:sz w:val="24"/>
          <w:szCs w:val="24"/>
        </w:rPr>
        <w:t>26</w:t>
      </w:r>
      <w:r>
        <w:rPr>
          <w:rFonts w:ascii="宋体" w:eastAsia="宋体" w:hAnsi="宋体" w:cs="Times New Roman" w:hint="eastAsia"/>
          <w:spacing w:val="10"/>
          <w:kern w:val="0"/>
          <w:sz w:val="24"/>
          <w:szCs w:val="24"/>
        </w:rPr>
        <w:t>°。岩层层面平直，张开度约</w:t>
      </w:r>
      <w:r>
        <w:rPr>
          <w:rFonts w:ascii="宋体" w:eastAsia="宋体" w:hAnsi="宋体" w:cs="Times New Roman" w:hint="eastAsia"/>
          <w:spacing w:val="10"/>
          <w:kern w:val="0"/>
          <w:sz w:val="24"/>
          <w:szCs w:val="24"/>
        </w:rPr>
        <w:t>1.5mm</w:t>
      </w:r>
      <w:r>
        <w:rPr>
          <w:rFonts w:ascii="宋体" w:eastAsia="宋体" w:hAnsi="宋体" w:cs="Times New Roman" w:hint="eastAsia"/>
          <w:spacing w:val="10"/>
          <w:kern w:val="0"/>
          <w:sz w:val="24"/>
          <w:szCs w:val="24"/>
        </w:rPr>
        <w:t>，黏土充填，结合程度很差，属软弱结构面。场地周边调查及附近地质资料表明：</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岩体中见两组裂隙：裂隙</w:t>
      </w:r>
      <w:r>
        <w:rPr>
          <w:rFonts w:ascii="宋体" w:eastAsia="宋体" w:hAnsi="宋体" w:cs="Times New Roman" w:hint="eastAsia"/>
          <w:spacing w:val="10"/>
          <w:kern w:val="0"/>
          <w:sz w:val="24"/>
          <w:szCs w:val="24"/>
        </w:rPr>
        <w:t>1</w:t>
      </w:r>
      <w:r>
        <w:rPr>
          <w:rFonts w:ascii="宋体" w:eastAsia="宋体" w:hAnsi="宋体" w:cs="Times New Roman" w:hint="eastAsia"/>
          <w:spacing w:val="10"/>
          <w:kern w:val="0"/>
          <w:sz w:val="24"/>
          <w:szCs w:val="24"/>
        </w:rPr>
        <w:t>：其倾向为</w:t>
      </w:r>
      <w:r>
        <w:rPr>
          <w:rFonts w:ascii="宋体" w:eastAsia="宋体" w:hAnsi="宋体" w:cs="Times New Roman" w:hint="eastAsia"/>
          <w:spacing w:val="10"/>
          <w:kern w:val="0"/>
          <w:sz w:val="24"/>
          <w:szCs w:val="24"/>
        </w:rPr>
        <w:t>100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120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倾角为</w:t>
      </w:r>
      <w:r>
        <w:rPr>
          <w:rFonts w:ascii="宋体" w:eastAsia="宋体" w:hAnsi="宋体" w:cs="Times New Roman" w:hint="eastAsia"/>
          <w:spacing w:val="10"/>
          <w:kern w:val="0"/>
          <w:sz w:val="24"/>
          <w:szCs w:val="24"/>
        </w:rPr>
        <w:t>60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75</w:t>
      </w:r>
      <w:r>
        <w:rPr>
          <w:rFonts w:ascii="宋体" w:eastAsia="宋体" w:hAnsi="宋体" w:cs="Times New Roman" w:hint="eastAsia"/>
          <w:spacing w:val="10"/>
          <w:kern w:val="0"/>
          <w:sz w:val="24"/>
          <w:szCs w:val="24"/>
        </w:rPr>
        <w:t>°，裂隙间距</w:t>
      </w:r>
      <w:r>
        <w:rPr>
          <w:rFonts w:ascii="宋体" w:eastAsia="宋体" w:hAnsi="宋体" w:cs="Times New Roman" w:hint="eastAsia"/>
          <w:spacing w:val="10"/>
          <w:kern w:val="0"/>
          <w:sz w:val="24"/>
          <w:szCs w:val="24"/>
        </w:rPr>
        <w:t>0.3</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2.0m</w:t>
      </w:r>
      <w:r>
        <w:rPr>
          <w:rFonts w:ascii="宋体" w:eastAsia="宋体" w:hAnsi="宋体" w:cs="Times New Roman" w:hint="eastAsia"/>
          <w:spacing w:val="10"/>
          <w:kern w:val="0"/>
          <w:sz w:val="24"/>
          <w:szCs w:val="24"/>
        </w:rPr>
        <w:t>，裂隙面张开宽度</w:t>
      </w:r>
      <w:r>
        <w:rPr>
          <w:rFonts w:ascii="宋体" w:eastAsia="宋体" w:hAnsi="宋体" w:cs="Times New Roman" w:hint="eastAsia"/>
          <w:spacing w:val="10"/>
          <w:kern w:val="0"/>
          <w:sz w:val="24"/>
          <w:szCs w:val="24"/>
        </w:rPr>
        <w:t>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50mm</w:t>
      </w:r>
      <w:r>
        <w:rPr>
          <w:rFonts w:ascii="宋体" w:eastAsia="宋体" w:hAnsi="宋体" w:cs="Times New Roman" w:hint="eastAsia"/>
          <w:spacing w:val="10"/>
          <w:kern w:val="0"/>
          <w:sz w:val="24"/>
          <w:szCs w:val="24"/>
        </w:rPr>
        <w:t>，裂面较粗糙，结合程度很差，压扭性裂隙，未充填或少量黏土充填，不充水，贯通性长度</w:t>
      </w:r>
      <w:r>
        <w:rPr>
          <w:rFonts w:ascii="宋体" w:eastAsia="宋体" w:hAnsi="宋体" w:cs="Times New Roman" w:hint="eastAsia"/>
          <w:spacing w:val="10"/>
          <w:kern w:val="0"/>
          <w:sz w:val="24"/>
          <w:szCs w:val="24"/>
        </w:rPr>
        <w:t>3.0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10.0m</w:t>
      </w:r>
      <w:r>
        <w:rPr>
          <w:rFonts w:ascii="宋体" w:eastAsia="宋体" w:hAnsi="宋体" w:cs="Times New Roman" w:hint="eastAsia"/>
          <w:spacing w:val="10"/>
          <w:kern w:val="0"/>
          <w:sz w:val="24"/>
          <w:szCs w:val="24"/>
        </w:rPr>
        <w:t>，属软弱结构面。优势裂隙倾向为</w:t>
      </w:r>
      <w:r>
        <w:rPr>
          <w:rFonts w:ascii="宋体" w:eastAsia="宋体" w:hAnsi="宋体" w:cs="Times New Roman" w:hint="eastAsia"/>
          <w:spacing w:val="10"/>
          <w:kern w:val="0"/>
          <w:sz w:val="24"/>
          <w:szCs w:val="24"/>
        </w:rPr>
        <w:t>110</w:t>
      </w:r>
      <w:r>
        <w:rPr>
          <w:rFonts w:ascii="宋体" w:eastAsia="宋体" w:hAnsi="宋体" w:cs="Times New Roman" w:hint="eastAsia"/>
          <w:spacing w:val="10"/>
          <w:kern w:val="0"/>
          <w:sz w:val="24"/>
          <w:szCs w:val="24"/>
        </w:rPr>
        <w:t>°，倾角为</w:t>
      </w:r>
      <w:r>
        <w:rPr>
          <w:rFonts w:ascii="宋体" w:eastAsia="宋体" w:hAnsi="宋体" w:cs="Times New Roman" w:hint="eastAsia"/>
          <w:spacing w:val="10"/>
          <w:kern w:val="0"/>
          <w:sz w:val="24"/>
          <w:szCs w:val="24"/>
        </w:rPr>
        <w:t>65</w:t>
      </w:r>
      <w:r>
        <w:rPr>
          <w:rFonts w:ascii="宋体" w:eastAsia="宋体" w:hAnsi="宋体" w:cs="Times New Roman" w:hint="eastAsia"/>
          <w:spacing w:val="10"/>
          <w:kern w:val="0"/>
          <w:sz w:val="24"/>
          <w:szCs w:val="24"/>
        </w:rPr>
        <w:t>°。</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裂隙</w:t>
      </w:r>
      <w:r>
        <w:rPr>
          <w:rFonts w:ascii="宋体" w:eastAsia="宋体" w:hAnsi="宋体" w:cs="Times New Roman" w:hint="eastAsia"/>
          <w:spacing w:val="10"/>
          <w:kern w:val="0"/>
          <w:sz w:val="24"/>
          <w:szCs w:val="24"/>
        </w:rPr>
        <w:t>2</w:t>
      </w:r>
      <w:r>
        <w:rPr>
          <w:rFonts w:ascii="宋体" w:eastAsia="宋体" w:hAnsi="宋体" w:cs="Times New Roman" w:hint="eastAsia"/>
          <w:spacing w:val="10"/>
          <w:kern w:val="0"/>
          <w:sz w:val="24"/>
          <w:szCs w:val="24"/>
        </w:rPr>
        <w:t>：其倾向为</w:t>
      </w:r>
      <w:r>
        <w:rPr>
          <w:rFonts w:ascii="宋体" w:eastAsia="宋体" w:hAnsi="宋体" w:cs="Times New Roman" w:hint="eastAsia"/>
          <w:spacing w:val="10"/>
          <w:kern w:val="0"/>
          <w:sz w:val="24"/>
          <w:szCs w:val="24"/>
        </w:rPr>
        <w:t>10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20</w:t>
      </w:r>
      <w:r>
        <w:rPr>
          <w:rFonts w:ascii="宋体" w:eastAsia="宋体" w:hAnsi="宋体" w:cs="Times New Roman" w:hint="eastAsia"/>
          <w:spacing w:val="10"/>
          <w:kern w:val="0"/>
          <w:sz w:val="24"/>
          <w:szCs w:val="24"/>
        </w:rPr>
        <w:t>°，倾角为</w:t>
      </w:r>
      <w:r>
        <w:rPr>
          <w:rFonts w:ascii="宋体" w:eastAsia="宋体" w:hAnsi="宋体" w:cs="Times New Roman" w:hint="eastAsia"/>
          <w:spacing w:val="10"/>
          <w:kern w:val="0"/>
          <w:sz w:val="24"/>
          <w:szCs w:val="24"/>
        </w:rPr>
        <w:t>55</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65</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裂隙间距</w:t>
      </w:r>
      <w:r>
        <w:rPr>
          <w:rFonts w:ascii="宋体" w:eastAsia="宋体" w:hAnsi="宋体" w:cs="Times New Roman" w:hint="eastAsia"/>
          <w:spacing w:val="10"/>
          <w:kern w:val="0"/>
          <w:sz w:val="24"/>
          <w:szCs w:val="24"/>
        </w:rPr>
        <w:t>0.5</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1.5m</w:t>
      </w:r>
      <w:r>
        <w:rPr>
          <w:rFonts w:ascii="宋体" w:eastAsia="宋体" w:hAnsi="宋体" w:cs="Times New Roman" w:hint="eastAsia"/>
          <w:spacing w:val="10"/>
          <w:kern w:val="0"/>
          <w:sz w:val="24"/>
          <w:szCs w:val="24"/>
        </w:rPr>
        <w:t>，裂隙面张开宽度</w:t>
      </w:r>
      <w:r>
        <w:rPr>
          <w:rFonts w:ascii="宋体" w:eastAsia="宋体" w:hAnsi="宋体" w:cs="Times New Roman" w:hint="eastAsia"/>
          <w:spacing w:val="10"/>
          <w:kern w:val="0"/>
          <w:sz w:val="24"/>
          <w:szCs w:val="24"/>
        </w:rPr>
        <w:t>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60mm</w:t>
      </w:r>
      <w:r>
        <w:rPr>
          <w:rFonts w:ascii="宋体" w:eastAsia="宋体" w:hAnsi="宋体" w:cs="Times New Roman" w:hint="eastAsia"/>
          <w:spacing w:val="10"/>
          <w:kern w:val="0"/>
          <w:sz w:val="24"/>
          <w:szCs w:val="24"/>
        </w:rPr>
        <w:t>，裂面较粗糙，结合程度很差，压扭性裂隙，未充填或少量黏土充填，不充水，贯通性长度</w:t>
      </w:r>
      <w:r>
        <w:rPr>
          <w:rFonts w:ascii="宋体" w:eastAsia="宋体" w:hAnsi="宋体" w:cs="Times New Roman" w:hint="eastAsia"/>
          <w:spacing w:val="10"/>
          <w:kern w:val="0"/>
          <w:sz w:val="24"/>
          <w:szCs w:val="24"/>
        </w:rPr>
        <w:t>5.0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15.0m</w:t>
      </w:r>
      <w:r>
        <w:rPr>
          <w:rFonts w:ascii="宋体" w:eastAsia="宋体" w:hAnsi="宋体" w:cs="Times New Roman" w:hint="eastAsia"/>
          <w:spacing w:val="10"/>
          <w:kern w:val="0"/>
          <w:sz w:val="24"/>
          <w:szCs w:val="24"/>
        </w:rPr>
        <w:t>，属软弱结构面。优势裂隙倾</w:t>
      </w:r>
      <w:r>
        <w:rPr>
          <w:rFonts w:ascii="宋体" w:eastAsia="宋体" w:hAnsi="宋体" w:cs="Times New Roman" w:hint="eastAsia"/>
          <w:spacing w:val="10"/>
          <w:kern w:val="0"/>
          <w:sz w:val="24"/>
          <w:szCs w:val="24"/>
        </w:rPr>
        <w:t>向为</w:t>
      </w:r>
      <w:r>
        <w:rPr>
          <w:rFonts w:ascii="宋体" w:eastAsia="宋体" w:hAnsi="宋体" w:cs="Times New Roman" w:hint="eastAsia"/>
          <w:spacing w:val="10"/>
          <w:kern w:val="0"/>
          <w:sz w:val="24"/>
          <w:szCs w:val="24"/>
        </w:rPr>
        <w:t>10</w:t>
      </w:r>
      <w:r>
        <w:rPr>
          <w:rFonts w:ascii="宋体" w:eastAsia="宋体" w:hAnsi="宋体" w:cs="Times New Roman" w:hint="eastAsia"/>
          <w:spacing w:val="10"/>
          <w:kern w:val="0"/>
          <w:sz w:val="24"/>
          <w:szCs w:val="24"/>
        </w:rPr>
        <w:t>°，倾角为</w:t>
      </w:r>
      <w:r>
        <w:rPr>
          <w:rFonts w:ascii="宋体" w:eastAsia="宋体" w:hAnsi="宋体" w:cs="Times New Roman" w:hint="eastAsia"/>
          <w:spacing w:val="10"/>
          <w:kern w:val="0"/>
          <w:sz w:val="24"/>
          <w:szCs w:val="24"/>
        </w:rPr>
        <w:t>60</w:t>
      </w:r>
      <w:r>
        <w:rPr>
          <w:rFonts w:ascii="宋体" w:eastAsia="宋体" w:hAnsi="宋体" w:cs="Times New Roman" w:hint="eastAsia"/>
          <w:spacing w:val="10"/>
          <w:kern w:val="0"/>
          <w:sz w:val="24"/>
          <w:szCs w:val="24"/>
        </w:rPr>
        <w:t>°。</w:t>
      </w:r>
    </w:p>
    <w:p w:rsidR="00D9225E">
      <w:pPr>
        <w:pStyle w:val="LW"/>
        <w:ind w:firstLine="520"/>
        <w:rPr>
          <w:rFonts w:cs="Times New Roman"/>
          <w:szCs w:val="24"/>
        </w:rPr>
      </w:pPr>
      <w:r>
        <w:rPr>
          <w:rFonts w:cs="Times New Roman" w:hint="eastAsia"/>
          <w:szCs w:val="24"/>
        </w:rPr>
        <w:t>按照《岩土工程勘察规范》</w:t>
      </w:r>
      <w:r>
        <w:rPr>
          <w:rFonts w:cs="Times New Roman" w:hint="eastAsia"/>
          <w:szCs w:val="24"/>
        </w:rPr>
        <w:t>(GB50021-2001)2009</w:t>
      </w:r>
      <w:r>
        <w:rPr>
          <w:rFonts w:cs="Times New Roman" w:hint="eastAsia"/>
          <w:szCs w:val="24"/>
        </w:rPr>
        <w:t>年版附录</w:t>
      </w:r>
      <w:r>
        <w:rPr>
          <w:rFonts w:cs="Times New Roman" w:hint="eastAsia"/>
          <w:szCs w:val="24"/>
        </w:rPr>
        <w:t>A</w:t>
      </w:r>
      <w:r>
        <w:rPr>
          <w:rFonts w:cs="Times New Roman" w:hint="eastAsia"/>
          <w:szCs w:val="24"/>
        </w:rPr>
        <w:t>表</w:t>
      </w:r>
      <w:r>
        <w:rPr>
          <w:rFonts w:cs="Times New Roman" w:hint="eastAsia"/>
          <w:szCs w:val="24"/>
        </w:rPr>
        <w:t>A.0.4</w:t>
      </w:r>
      <w:r>
        <w:rPr>
          <w:rFonts w:cs="Times New Roman" w:hint="eastAsia"/>
          <w:szCs w:val="24"/>
        </w:rPr>
        <w:t>判定岩体属层状结构。</w:t>
      </w:r>
    </w:p>
    <w:p w:rsidR="00D9225E">
      <w:pPr>
        <w:pStyle w:val="LW31"/>
      </w:pPr>
      <w:bookmarkStart w:id="57" w:name="_Toc88148446"/>
      <w:bookmarkStart w:id="58" w:name="_Toc29842"/>
      <w:bookmarkStart w:id="59" w:name="_Toc88141325"/>
      <w:bookmarkStart w:id="60" w:name="_Toc88140161"/>
      <w:r>
        <w:rPr>
          <w:rFonts w:hint="eastAsia"/>
        </w:rPr>
        <w:t>地层岩性</w:t>
      </w:r>
      <w:bookmarkEnd w:id="57"/>
      <w:bookmarkEnd w:id="58"/>
      <w:bookmarkEnd w:id="59"/>
      <w:bookmarkEnd w:id="60"/>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据地面调查及钻探揭露，场地勘察深度范围内揭露的地层有第四系人工填土层（</w:t>
      </w:r>
      <w:r>
        <w:rPr>
          <w:rFonts w:ascii="宋体" w:eastAsia="宋体" w:hAnsi="宋体" w:cs="Times New Roman" w:hint="eastAsia"/>
          <w:spacing w:val="10"/>
          <w:kern w:val="0"/>
          <w:sz w:val="24"/>
          <w:szCs w:val="24"/>
        </w:rPr>
        <w:t>Q</w:t>
      </w:r>
      <w:r>
        <w:rPr>
          <w:rFonts w:ascii="宋体" w:eastAsia="宋体" w:hAnsi="宋体" w:cs="Times New Roman" w:hint="eastAsia"/>
          <w:spacing w:val="10"/>
          <w:kern w:val="0"/>
          <w:sz w:val="24"/>
          <w:szCs w:val="24"/>
          <w:vertAlign w:val="subscript"/>
        </w:rPr>
        <w:t>4</w:t>
      </w:r>
      <w:r>
        <w:rPr>
          <w:rFonts w:ascii="宋体" w:eastAsia="宋体" w:hAnsi="宋体" w:cs="Times New Roman" w:hint="eastAsia"/>
          <w:spacing w:val="10"/>
          <w:kern w:val="0"/>
          <w:sz w:val="24"/>
          <w:szCs w:val="24"/>
          <w:vertAlign w:val="superscript"/>
        </w:rPr>
        <w:t>ml</w:t>
      </w:r>
      <w:r>
        <w:rPr>
          <w:rFonts w:ascii="宋体" w:eastAsia="宋体" w:hAnsi="宋体" w:cs="Times New Roman" w:hint="eastAsia"/>
          <w:spacing w:val="10"/>
          <w:kern w:val="0"/>
          <w:sz w:val="24"/>
          <w:szCs w:val="24"/>
        </w:rPr>
        <w:t>）、冲洪积层红黏土（</w:t>
      </w:r>
      <w:r>
        <w:rPr>
          <w:rFonts w:ascii="宋体" w:eastAsia="宋体" w:hAnsi="宋体" w:cs="Times New Roman" w:hint="eastAsia"/>
          <w:spacing w:val="10"/>
          <w:kern w:val="0"/>
          <w:sz w:val="24"/>
          <w:szCs w:val="24"/>
        </w:rPr>
        <w:t>Q</w:t>
      </w:r>
      <w:r>
        <w:rPr>
          <w:rFonts w:ascii="宋体" w:eastAsia="宋体" w:hAnsi="宋体" w:cs="Times New Roman" w:hint="eastAsia"/>
          <w:spacing w:val="10"/>
          <w:kern w:val="0"/>
          <w:sz w:val="24"/>
          <w:szCs w:val="24"/>
          <w:vertAlign w:val="subscript"/>
        </w:rPr>
        <w:t>4</w:t>
      </w:r>
      <w:r>
        <w:rPr>
          <w:rFonts w:ascii="宋体" w:eastAsia="宋体" w:hAnsi="宋体" w:cs="Times New Roman" w:hint="eastAsia"/>
          <w:spacing w:val="10"/>
          <w:kern w:val="0"/>
          <w:sz w:val="24"/>
          <w:szCs w:val="24"/>
          <w:vertAlign w:val="superscript"/>
        </w:rPr>
        <w:t>al+pl</w:t>
      </w:r>
      <w:r>
        <w:rPr>
          <w:rFonts w:ascii="宋体" w:eastAsia="宋体" w:hAnsi="宋体" w:cs="Times New Roman" w:hint="eastAsia"/>
          <w:spacing w:val="10"/>
          <w:kern w:val="0"/>
          <w:sz w:val="24"/>
          <w:szCs w:val="24"/>
        </w:rPr>
        <w:t>），下伏寒武系中统平井组（∈</w:t>
      </w:r>
      <w:r>
        <w:rPr>
          <w:rFonts w:ascii="宋体" w:eastAsia="宋体" w:hAnsi="宋体" w:cs="Times New Roman" w:hint="eastAsia"/>
          <w:spacing w:val="10"/>
          <w:kern w:val="0"/>
          <w:sz w:val="24"/>
          <w:szCs w:val="24"/>
          <w:vertAlign w:val="subscript"/>
        </w:rPr>
        <w:t>2</w:t>
      </w:r>
      <w:r>
        <w:rPr>
          <w:rFonts w:ascii="宋体" w:eastAsia="宋体" w:hAnsi="宋体" w:cs="Times New Roman" w:hint="eastAsia"/>
          <w:spacing w:val="10"/>
          <w:kern w:val="0"/>
          <w:sz w:val="24"/>
          <w:szCs w:val="24"/>
        </w:rPr>
        <w:t>p</w:t>
      </w:r>
      <w:r>
        <w:rPr>
          <w:rFonts w:ascii="宋体" w:eastAsia="宋体" w:hAnsi="宋体" w:cs="Times New Roman" w:hint="eastAsia"/>
          <w:spacing w:val="10"/>
          <w:kern w:val="0"/>
          <w:sz w:val="24"/>
          <w:szCs w:val="24"/>
        </w:rPr>
        <w:t>）灰岩。其岩性由上至下分述如下：</w:t>
      </w:r>
    </w:p>
    <w:p w:rsidR="00D9225E">
      <w:pPr>
        <w:pStyle w:val="LW"/>
        <w:ind w:firstLine="520"/>
      </w:pPr>
      <w:r>
        <w:rPr>
          <w:rFonts w:hint="eastAsia"/>
        </w:rPr>
        <w:t>（</w:t>
      </w:r>
      <w:r>
        <w:rPr>
          <w:rFonts w:hint="eastAsia"/>
        </w:rPr>
        <w:t>1</w:t>
      </w:r>
      <w:r>
        <w:rPr>
          <w:rFonts w:hint="eastAsia"/>
        </w:rPr>
        <w:t>）第四系人工填土层（</w:t>
      </w:r>
      <w:r>
        <w:rPr>
          <w:rFonts w:hint="eastAsia"/>
        </w:rPr>
        <w:t>Q</w:t>
      </w:r>
      <w:r>
        <w:rPr>
          <w:rFonts w:hint="eastAsia"/>
          <w:spacing w:val="11"/>
          <w:vertAlign w:val="subscript"/>
        </w:rPr>
        <w:t>4</w:t>
      </w:r>
      <w:r>
        <w:rPr>
          <w:rFonts w:hint="eastAsia"/>
          <w:spacing w:val="11"/>
          <w:vertAlign w:val="superscript"/>
        </w:rPr>
        <w:t>ml</w:t>
      </w:r>
      <w:r>
        <w:rPr>
          <w:rFonts w:hint="eastAsia"/>
        </w:rPr>
        <w:t>）</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素填土：褐色、黄褐色，主要由粘性土，灰岩、砂岩碎块石及少量建筑垃圾组成，硬质物粒径</w:t>
      </w:r>
      <w:r>
        <w:rPr>
          <w:rFonts w:ascii="宋体" w:eastAsia="宋体" w:hAnsi="宋体" w:cs="Times New Roman" w:hint="eastAsia"/>
          <w:spacing w:val="10"/>
          <w:kern w:val="0"/>
          <w:sz w:val="24"/>
          <w:szCs w:val="24"/>
        </w:rPr>
        <w:t>2</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100cm</w:t>
      </w:r>
      <w:r>
        <w:rPr>
          <w:rFonts w:ascii="宋体" w:eastAsia="宋体" w:hAnsi="宋体" w:cs="Times New Roman" w:hint="eastAsia"/>
          <w:spacing w:val="10"/>
          <w:kern w:val="0"/>
          <w:sz w:val="24"/>
          <w:szCs w:val="24"/>
        </w:rPr>
        <w:t>，含量</w:t>
      </w:r>
      <w:r>
        <w:rPr>
          <w:rFonts w:ascii="宋体" w:eastAsia="宋体" w:hAnsi="宋体" w:cs="Times New Roman" w:hint="eastAsia"/>
          <w:spacing w:val="10"/>
          <w:kern w:val="0"/>
          <w:sz w:val="24"/>
          <w:szCs w:val="24"/>
        </w:rPr>
        <w:t>30%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40%</w:t>
      </w:r>
      <w:r>
        <w:rPr>
          <w:rFonts w:ascii="宋体" w:eastAsia="宋体" w:hAnsi="宋体" w:cs="Times New Roman" w:hint="eastAsia"/>
          <w:spacing w:val="10"/>
          <w:kern w:val="0"/>
          <w:sz w:val="24"/>
          <w:szCs w:val="24"/>
        </w:rPr>
        <w:t>，分布不均，结构稍密、稍湿，由机械抛填形成约</w:t>
      </w:r>
      <w:r>
        <w:rPr>
          <w:rFonts w:ascii="宋体" w:eastAsia="宋体" w:hAnsi="宋体" w:cs="Times New Roman" w:hint="eastAsia"/>
          <w:spacing w:val="10"/>
          <w:kern w:val="0"/>
          <w:sz w:val="24"/>
          <w:szCs w:val="24"/>
        </w:rPr>
        <w:t>5</w:t>
      </w:r>
      <w:r>
        <w:rPr>
          <w:rFonts w:ascii="宋体" w:eastAsia="宋体" w:hAnsi="宋体" w:cs="Times New Roman" w:hint="eastAsia"/>
          <w:spacing w:val="10"/>
          <w:kern w:val="0"/>
          <w:sz w:val="24"/>
          <w:szCs w:val="24"/>
        </w:rPr>
        <w:t>年以上，土层厚度</w:t>
      </w:r>
      <w:r>
        <w:rPr>
          <w:rFonts w:ascii="宋体" w:eastAsia="宋体" w:hAnsi="宋体" w:cs="Times New Roman" w:hint="eastAsia"/>
          <w:spacing w:val="10"/>
          <w:kern w:val="0"/>
          <w:sz w:val="24"/>
          <w:szCs w:val="24"/>
        </w:rPr>
        <w:t>0.5</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1.5m</w:t>
      </w:r>
      <w:r>
        <w:rPr>
          <w:rFonts w:ascii="宋体" w:eastAsia="宋体" w:hAnsi="宋体" w:cs="Times New Roman" w:hint="eastAsia"/>
          <w:spacing w:val="10"/>
          <w:kern w:val="0"/>
          <w:sz w:val="24"/>
          <w:szCs w:val="24"/>
        </w:rPr>
        <w:t>，主要零星分布于场地中部。</w:t>
      </w:r>
    </w:p>
    <w:p w:rsidR="00D9225E">
      <w:pPr>
        <w:pStyle w:val="LW"/>
        <w:ind w:firstLine="520"/>
      </w:pPr>
      <w:r>
        <w:rPr>
          <w:rFonts w:hint="eastAsia"/>
        </w:rPr>
        <w:t>（</w:t>
      </w:r>
      <w:r>
        <w:rPr>
          <w:rFonts w:hint="eastAsia"/>
        </w:rPr>
        <w:t>2</w:t>
      </w:r>
      <w:r>
        <w:rPr>
          <w:rFonts w:hint="eastAsia"/>
        </w:rPr>
        <w:t>）第四系冲洪积层：（</w:t>
      </w:r>
      <w:r>
        <w:rPr>
          <w:rFonts w:hint="eastAsia"/>
        </w:rPr>
        <w:t>Q</w:t>
      </w:r>
      <w:r>
        <w:rPr>
          <w:rFonts w:hint="eastAsia"/>
          <w:spacing w:val="11"/>
          <w:vertAlign w:val="subscript"/>
        </w:rPr>
        <w:t>4</w:t>
      </w:r>
      <w:r>
        <w:rPr>
          <w:rFonts w:hint="eastAsia"/>
          <w:spacing w:val="11"/>
          <w:vertAlign w:val="superscript"/>
        </w:rPr>
        <w:t>al+pl</w:t>
      </w:r>
      <w:r>
        <w:rPr>
          <w:rFonts w:hint="eastAsia"/>
        </w:rPr>
        <w:t>）</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红黏土：褐色，由粘土矿物组成，夹少量灰岩碎石及卵石，碎石块径</w:t>
      </w:r>
      <w:r>
        <w:rPr>
          <w:rFonts w:ascii="宋体" w:eastAsia="宋体" w:hAnsi="宋体" w:cs="Times New Roman" w:hint="eastAsia"/>
          <w:spacing w:val="10"/>
          <w:kern w:val="0"/>
          <w:sz w:val="24"/>
          <w:szCs w:val="24"/>
        </w:rPr>
        <w:t>1</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3cm</w:t>
      </w:r>
      <w:r>
        <w:rPr>
          <w:rFonts w:ascii="宋体" w:eastAsia="宋体" w:hAnsi="宋体" w:cs="Times New Roman" w:hint="eastAsia"/>
          <w:spacing w:val="10"/>
          <w:kern w:val="0"/>
          <w:sz w:val="24"/>
          <w:szCs w:val="24"/>
        </w:rPr>
        <w:t>，含量</w:t>
      </w:r>
      <w:r>
        <w:rPr>
          <w:rFonts w:ascii="宋体" w:eastAsia="宋体" w:hAnsi="宋体" w:cs="Times New Roman" w:hint="eastAsia"/>
          <w:spacing w:val="10"/>
          <w:kern w:val="0"/>
          <w:sz w:val="24"/>
          <w:szCs w:val="24"/>
        </w:rPr>
        <w:t>10%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20%</w:t>
      </w:r>
      <w:r>
        <w:rPr>
          <w:rFonts w:ascii="宋体" w:eastAsia="宋体" w:hAnsi="宋体" w:cs="Times New Roman" w:hint="eastAsia"/>
          <w:spacing w:val="10"/>
          <w:kern w:val="0"/>
          <w:sz w:val="24"/>
          <w:szCs w:val="24"/>
        </w:rPr>
        <w:t>，干强度、韧性中等～高，刀切面稍有光泽，无摇震反应。场地内广泛分布。</w:t>
      </w:r>
    </w:p>
    <w:p w:rsidR="00D9225E">
      <w:pPr>
        <w:pStyle w:val="LW"/>
        <w:ind w:firstLine="520"/>
      </w:pPr>
      <w:r>
        <w:rPr>
          <w:rFonts w:hint="eastAsia"/>
        </w:rPr>
        <w:t>（</w:t>
      </w:r>
      <w:r>
        <w:rPr>
          <w:rFonts w:hint="eastAsia"/>
        </w:rPr>
        <w:t>3</w:t>
      </w:r>
      <w:r>
        <w:rPr>
          <w:rFonts w:hint="eastAsia"/>
        </w:rPr>
        <w:t>）寒武系中统平井组灰岩（∈</w:t>
      </w:r>
      <w:r>
        <w:rPr>
          <w:rFonts w:hint="eastAsia"/>
          <w:spacing w:val="11"/>
          <w:vertAlign w:val="subscript"/>
        </w:rPr>
        <w:t>2</w:t>
      </w:r>
      <w:r>
        <w:rPr>
          <w:rFonts w:hint="eastAsia"/>
        </w:rPr>
        <w:t>P-Dm</w:t>
      </w:r>
      <w:r>
        <w:rPr>
          <w:rFonts w:hint="eastAsia"/>
        </w:rPr>
        <w:t>）</w:t>
      </w:r>
    </w:p>
    <w:p w:rsidR="00D9225E">
      <w:pPr>
        <w:spacing w:line="360" w:lineRule="auto"/>
        <w:ind w:firstLine="480" w:firstLineChars="200"/>
        <w:rPr>
          <w:rFonts w:ascii="宋体" w:eastAsia="宋体" w:hAnsi="宋体" w:cs="Times New Roman"/>
          <w:spacing w:val="10"/>
          <w:kern w:val="0"/>
          <w:sz w:val="24"/>
          <w:szCs w:val="24"/>
        </w:rPr>
      </w:pPr>
      <w:bookmarkStart w:id="61" w:name="_Toc88148447"/>
      <w:bookmarkStart w:id="62" w:name="_Toc88140162"/>
      <w:bookmarkStart w:id="63" w:name="_Toc88141326"/>
      <w:bookmarkStart w:id="64" w:name="_Toc80888607"/>
      <w:r>
        <w:rPr>
          <w:rFonts w:ascii="宋体" w:eastAsia="宋体" w:hAnsi="宋体" w:cs="Times New Roman" w:hint="eastAsia"/>
          <w:spacing w:val="10"/>
          <w:kern w:val="0"/>
          <w:sz w:val="24"/>
          <w:szCs w:val="24"/>
        </w:rPr>
        <w:t>白云岩</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2P)</w:t>
      </w:r>
      <w:r>
        <w:rPr>
          <w:rFonts w:ascii="宋体" w:eastAsia="宋体" w:hAnsi="宋体" w:cs="Times New Roman" w:hint="eastAsia"/>
          <w:spacing w:val="10"/>
          <w:kern w:val="0"/>
          <w:sz w:val="24"/>
          <w:szCs w:val="24"/>
        </w:rPr>
        <w:t>：浅灰色、褐灰色，由碳酸盐矿</w:t>
      </w:r>
      <w:r>
        <w:rPr>
          <w:rFonts w:ascii="宋体" w:eastAsia="宋体" w:hAnsi="宋体" w:cs="Times New Roman" w:hint="eastAsia"/>
          <w:spacing w:val="10"/>
          <w:kern w:val="0"/>
          <w:sz w:val="24"/>
          <w:szCs w:val="24"/>
        </w:rPr>
        <w:t>物组成，微晶质结构，薄～中厚层状构造。强风化层裂隙发育，岩芯破碎，呈碎块状，强度低；中风化岩芯破碎</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较完整，为粗颗粒状、碎块状、短柱状，节长一般为</w:t>
      </w:r>
      <w:r>
        <w:rPr>
          <w:rFonts w:ascii="宋体" w:eastAsia="宋体" w:hAnsi="宋体" w:cs="Times New Roman" w:hint="eastAsia"/>
          <w:spacing w:val="10"/>
          <w:kern w:val="0"/>
          <w:sz w:val="24"/>
          <w:szCs w:val="24"/>
        </w:rPr>
        <w:t>5</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28cm,</w:t>
      </w:r>
      <w:r>
        <w:rPr>
          <w:rFonts w:ascii="宋体" w:eastAsia="宋体" w:hAnsi="宋体" w:cs="Times New Roman" w:hint="eastAsia"/>
          <w:spacing w:val="10"/>
          <w:kern w:val="0"/>
          <w:sz w:val="24"/>
          <w:szCs w:val="24"/>
        </w:rPr>
        <w:t>局部因陡倾裂隙及方解石脉发育，岩芯呈碎块及砂砾状，岩质较硬，强度较高。整个场地均有分布。据野外识别，部分岩芯颗粒状、碎块状是因为受风化和构造裂隙的共同作用，岩溶现象为中等发育。</w:t>
      </w:r>
    </w:p>
    <w:p w:rsidR="00D9225E">
      <w:pPr>
        <w:pStyle w:val="LW31"/>
      </w:pPr>
      <w:bookmarkStart w:id="65" w:name="_Toc28589"/>
      <w:r>
        <w:t>基岩面及岩体风化特征</w:t>
      </w:r>
      <w:bookmarkEnd w:id="61"/>
      <w:bookmarkEnd w:id="62"/>
      <w:bookmarkEnd w:id="63"/>
      <w:bookmarkEnd w:id="64"/>
      <w:bookmarkEnd w:id="65"/>
    </w:p>
    <w:p w:rsidR="00D9225E">
      <w:pPr>
        <w:spacing w:line="360" w:lineRule="auto"/>
        <w:ind w:firstLine="480" w:firstLineChars="200"/>
        <w:rPr>
          <w:rFonts w:ascii="宋体" w:eastAsia="宋体" w:hAnsi="宋体" w:cs="Times New Roman"/>
          <w:spacing w:val="10"/>
          <w:kern w:val="0"/>
          <w:sz w:val="24"/>
          <w:szCs w:val="24"/>
        </w:rPr>
      </w:pPr>
      <w:bookmarkStart w:id="66" w:name="_Toc260687191"/>
      <w:r>
        <w:rPr>
          <w:rFonts w:ascii="宋体" w:eastAsia="宋体" w:hAnsi="宋体" w:cs="Times New Roman" w:hint="eastAsia"/>
          <w:spacing w:val="10"/>
          <w:kern w:val="0"/>
          <w:sz w:val="24"/>
          <w:szCs w:val="24"/>
        </w:rPr>
        <w:t>第四系地层与下伏寒武系地层呈不整合接触。第四系覆盖层厚度</w:t>
      </w:r>
      <w:r>
        <w:rPr>
          <w:rFonts w:ascii="宋体" w:eastAsia="宋体" w:hAnsi="宋体" w:cs="Times New Roman" w:hint="eastAsia"/>
          <w:spacing w:val="10"/>
          <w:kern w:val="0"/>
          <w:sz w:val="24"/>
          <w:szCs w:val="24"/>
        </w:rPr>
        <w:t>3.70</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16.70m</w:t>
      </w:r>
      <w:r>
        <w:rPr>
          <w:rFonts w:ascii="宋体" w:eastAsia="宋体" w:hAnsi="宋体" w:cs="Times New Roman" w:hint="eastAsia"/>
          <w:spacing w:val="10"/>
          <w:kern w:val="0"/>
          <w:sz w:val="24"/>
          <w:szCs w:val="24"/>
        </w:rPr>
        <w:t>，拟建场地局部受地形地貌及溶蚀影响，相对较为平缓，局部呈跳跃式起伏。基岩面</w:t>
      </w:r>
      <w:r>
        <w:rPr>
          <w:rFonts w:ascii="宋体" w:eastAsia="宋体" w:hAnsi="宋体" w:cs="Times New Roman" w:hint="eastAsia"/>
          <w:spacing w:val="10"/>
          <w:kern w:val="0"/>
          <w:sz w:val="24"/>
          <w:szCs w:val="24"/>
        </w:rPr>
        <w:t>高程范围</w:t>
      </w:r>
      <w:r>
        <w:rPr>
          <w:rFonts w:ascii="宋体" w:eastAsia="宋体" w:hAnsi="宋体" w:cs="Times New Roman" w:hint="eastAsia"/>
          <w:spacing w:val="10"/>
          <w:kern w:val="0"/>
          <w:sz w:val="24"/>
          <w:szCs w:val="24"/>
        </w:rPr>
        <w:t>348.28</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BK15</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366.02m</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BK3</w:t>
      </w:r>
      <w:r>
        <w:rPr>
          <w:rFonts w:ascii="宋体" w:eastAsia="宋体" w:hAnsi="宋体" w:cs="Times New Roman" w:hint="eastAsia"/>
          <w:spacing w:val="10"/>
          <w:kern w:val="0"/>
          <w:sz w:val="24"/>
          <w:szCs w:val="24"/>
        </w:rPr>
        <w:t>），相对高差</w:t>
      </w:r>
      <w:r>
        <w:rPr>
          <w:rFonts w:ascii="宋体" w:eastAsia="宋体" w:hAnsi="宋体" w:cs="Times New Roman" w:hint="eastAsia"/>
          <w:spacing w:val="10"/>
          <w:kern w:val="0"/>
          <w:sz w:val="24"/>
          <w:szCs w:val="24"/>
        </w:rPr>
        <w:t>17.74m</w:t>
      </w:r>
      <w:r>
        <w:rPr>
          <w:rFonts w:ascii="宋体" w:eastAsia="宋体" w:hAnsi="宋体" w:cs="Times New Roman" w:hint="eastAsia"/>
          <w:spacing w:val="10"/>
          <w:kern w:val="0"/>
          <w:sz w:val="24"/>
          <w:szCs w:val="24"/>
        </w:rPr>
        <w:t>。</w:t>
      </w:r>
    </w:p>
    <w:p w:rsidR="00D9225E">
      <w:pPr>
        <w:spacing w:line="360" w:lineRule="auto"/>
        <w:ind w:firstLine="480" w:firstLineChars="200"/>
      </w:pPr>
      <w:r>
        <w:rPr>
          <w:rFonts w:ascii="宋体" w:eastAsia="宋体" w:hAnsi="宋体" w:cs="Times New Roman" w:hint="eastAsia"/>
          <w:spacing w:val="10"/>
          <w:kern w:val="0"/>
          <w:sz w:val="24"/>
          <w:szCs w:val="24"/>
        </w:rPr>
        <w:t>按《岩土工程勘察规范》（</w:t>
      </w:r>
      <w:r>
        <w:rPr>
          <w:rFonts w:ascii="宋体" w:eastAsia="宋体" w:hAnsi="宋体" w:cs="Times New Roman" w:hint="eastAsia"/>
          <w:spacing w:val="10"/>
          <w:kern w:val="0"/>
          <w:sz w:val="24"/>
          <w:szCs w:val="24"/>
        </w:rPr>
        <w:t>GB50021-2001</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2009</w:t>
      </w:r>
      <w:r>
        <w:rPr>
          <w:rFonts w:ascii="宋体" w:eastAsia="宋体" w:hAnsi="宋体" w:cs="Times New Roman" w:hint="eastAsia"/>
          <w:spacing w:val="10"/>
          <w:kern w:val="0"/>
          <w:sz w:val="24"/>
          <w:szCs w:val="24"/>
        </w:rPr>
        <w:t>年版）规范并结合重庆地区经验，将场地钻探深度范围内的基岩总体划分为强风化带和中等风化带。基岩强风化层底界随基岩面起伏。强风化层风化强烈，岩芯破碎，呈颗粒状或碎块状，质软。中风化岩芯较破碎～较完整，多呈短柱状、柱状、局部较破碎，呈碎块状，颗粒状。</w:t>
      </w:r>
    </w:p>
    <w:p w:rsidR="00D9225E">
      <w:pPr>
        <w:pStyle w:val="LW31"/>
      </w:pPr>
      <w:bookmarkStart w:id="67" w:name="_Toc88141327"/>
      <w:bookmarkStart w:id="68" w:name="_Toc80888608"/>
      <w:bookmarkStart w:id="69" w:name="_Toc88148448"/>
      <w:bookmarkStart w:id="70" w:name="_Toc88140163"/>
      <w:bookmarkStart w:id="71" w:name="_Toc5802"/>
      <w:bookmarkEnd w:id="66"/>
      <w:r>
        <w:t>水文地质</w:t>
      </w:r>
      <w:bookmarkEnd w:id="67"/>
      <w:bookmarkEnd w:id="68"/>
      <w:bookmarkEnd w:id="69"/>
      <w:bookmarkEnd w:id="70"/>
      <w:bookmarkEnd w:id="71"/>
    </w:p>
    <w:p w:rsidR="00D9225E">
      <w:pPr>
        <w:pStyle w:val="LW"/>
        <w:ind w:firstLine="520"/>
        <w:rPr>
          <w:rFonts w:cs="Times New Roman"/>
          <w:szCs w:val="24"/>
        </w:rPr>
      </w:pPr>
      <w:bookmarkStart w:id="72" w:name="_Toc50970701"/>
      <w:r>
        <w:rPr>
          <w:rFonts w:cs="Times New Roman" w:hint="eastAsia"/>
          <w:szCs w:val="24"/>
        </w:rPr>
        <w:t>勘察场地地下水类型主要为第四系松散孔隙水及基岩岩溶裂隙水。</w:t>
      </w:r>
    </w:p>
    <w:p w:rsidR="00D9225E">
      <w:pPr>
        <w:pStyle w:val="LW"/>
        <w:ind w:firstLine="520"/>
        <w:sectPr>
          <w:headerReference w:type="even" r:id="rId16"/>
          <w:footerReference w:type="even" r:id="rId17"/>
          <w:type w:val="nextPage"/>
          <w:pgSz w:w="23811" w:h="16838" w:orient="landscape"/>
          <w:pgMar w:top="851" w:right="851" w:bottom="3119" w:left="1985" w:header="879" w:footer="765" w:gutter="0"/>
          <w:pgNumType w:start="6"/>
          <w:cols w:num="2" w:space="425"/>
          <w:titlePg w:val="0"/>
          <w:docGrid w:type="lines" w:linePitch="312"/>
        </w:sectPr>
      </w:pPr>
      <w:r>
        <w:rPr>
          <w:rFonts w:hint="eastAsia"/>
        </w:rPr>
        <w:t>（</w:t>
      </w:r>
      <w:r>
        <w:rPr>
          <w:rFonts w:hint="eastAsia"/>
        </w:rPr>
        <w:t>1</w:t>
      </w:r>
      <w:r>
        <w:rPr>
          <w:rFonts w:hint="eastAsia"/>
        </w:rPr>
        <w:t>）松散岩类孔隙水</w:t>
      </w:r>
    </w:p>
    <w:p w:rsidR="00D9225E">
      <w:pPr>
        <w:pStyle w:val="LW"/>
        <w:ind w:firstLine="520"/>
        <w:rPr>
          <w:rFonts w:cs="Times New Roman"/>
          <w:szCs w:val="24"/>
        </w:rPr>
      </w:pPr>
      <w:r>
        <w:rPr>
          <w:rFonts w:cs="Times New Roman" w:hint="eastAsia"/>
          <w:szCs w:val="24"/>
        </w:rPr>
        <w:t>该类地下水赋存于第四系全新统人</w:t>
      </w:r>
      <w:r>
        <w:rPr>
          <w:rFonts w:cs="Times New Roman" w:hint="eastAsia"/>
          <w:szCs w:val="24"/>
        </w:rPr>
        <w:t>工填土层、残坡积层中，地下水补给来源主要为大气降水。斜坡高处向地势较低的区域渗流排泄。由于该层孔隙率大，透水性好，厚度小，含水性差，水量贫乏，在暴雨后有短暂孔隙水存在。地下水以第四系松散孔隙水为主，地下水接受大气降水补给，受季节影响明显。</w:t>
      </w:r>
    </w:p>
    <w:p w:rsidR="00D9225E">
      <w:pPr>
        <w:pStyle w:val="LW"/>
        <w:ind w:firstLine="520"/>
      </w:pPr>
      <w:r>
        <w:rPr>
          <w:rFonts w:hint="eastAsia"/>
        </w:rPr>
        <w:t>（</w:t>
      </w:r>
      <w:r>
        <w:rPr>
          <w:rFonts w:hint="eastAsia"/>
        </w:rPr>
        <w:t>2</w:t>
      </w:r>
      <w:r>
        <w:rPr>
          <w:rFonts w:hint="eastAsia"/>
        </w:rPr>
        <w:t>）基岩岩溶裂隙水</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勘察区属岩溶地貌，岩溶发育状况为局部发育较强烈，外业钻孔局部发育有溶蚀破碎带；地表未见溶沟、溶槽、落水洞发育，受地表水补给，地下水汇集在岩溶破碎带及溶蚀沟槽中，场地基岩岩溶裂隙水较贫乏。</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根据钻孔水位观测：钻孔中不存在地下水，地下水贫乏。根据相邻场地</w:t>
      </w:r>
      <w:r>
        <w:rPr>
          <w:rFonts w:ascii="宋体" w:eastAsia="宋体" w:hAnsi="宋体" w:cs="Times New Roman" w:hint="eastAsia"/>
          <w:spacing w:val="10"/>
          <w:kern w:val="0"/>
          <w:sz w:val="24"/>
          <w:szCs w:val="24"/>
        </w:rPr>
        <w:t>及区域经验：场地内覆盖层及强风化基岩透水性较好，属强透水层，受大气降雨补给作用明显。计算得综合渗透系数为</w:t>
      </w:r>
      <w:r>
        <w:rPr>
          <w:rFonts w:ascii="宋体" w:eastAsia="宋体" w:hAnsi="宋体" w:cs="Times New Roman" w:hint="eastAsia"/>
          <w:spacing w:val="10"/>
          <w:kern w:val="0"/>
          <w:sz w:val="24"/>
          <w:szCs w:val="24"/>
        </w:rPr>
        <w:t>4.547m/d</w:t>
      </w:r>
      <w:r>
        <w:rPr>
          <w:rFonts w:ascii="宋体" w:eastAsia="宋体" w:hAnsi="宋体" w:cs="Times New Roman" w:hint="eastAsia"/>
          <w:spacing w:val="10"/>
          <w:kern w:val="0"/>
          <w:sz w:val="24"/>
          <w:szCs w:val="24"/>
        </w:rPr>
        <w:t>。</w:t>
      </w:r>
    </w:p>
    <w:p w:rsidR="00D9225E">
      <w:pPr>
        <w:pStyle w:val="LW31"/>
      </w:pPr>
      <w:bookmarkStart w:id="73" w:name="_Toc18359"/>
      <w:r>
        <w:rPr>
          <w:rFonts w:hint="eastAsia"/>
        </w:rPr>
        <w:t>水土腐蚀性</w:t>
      </w:r>
      <w:r>
        <w:t>判定</w:t>
      </w:r>
      <w:bookmarkEnd w:id="73"/>
    </w:p>
    <w:bookmarkEnd w:id="72"/>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勘察区周边无污水排放，无化工厂，根据《岩土工程勘察规范》</w:t>
      </w:r>
      <w:r>
        <w:rPr>
          <w:rFonts w:ascii="宋体" w:eastAsia="宋体" w:hAnsi="宋体" w:cs="Times New Roman" w:hint="eastAsia"/>
          <w:spacing w:val="10"/>
          <w:kern w:val="0"/>
          <w:sz w:val="24"/>
          <w:szCs w:val="24"/>
        </w:rPr>
        <w:t>(GB50021-2001)</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2009</w:t>
      </w:r>
      <w:r>
        <w:rPr>
          <w:rFonts w:ascii="宋体" w:eastAsia="宋体" w:hAnsi="宋体" w:cs="Times New Roman" w:hint="eastAsia"/>
          <w:spacing w:val="10"/>
          <w:kern w:val="0"/>
          <w:sz w:val="24"/>
          <w:szCs w:val="24"/>
        </w:rPr>
        <w:t>版）结合地区区域经验：拟建场地环境类型属Ⅱ类，土对混凝土结构有微腐蚀；对钢筋混凝土结构中钢筋有微腐蚀。</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根据所取水样测试成果判定，拟建场地地表水及地下水对混凝土结构有微腐蚀；对钢筋混凝土结构中钢筋有微腐蚀。</w:t>
      </w:r>
    </w:p>
    <w:p w:rsidR="00D9225E">
      <w:pPr>
        <w:pStyle w:val="LW31"/>
      </w:pPr>
      <w:bookmarkStart w:id="74" w:name="_Toc13751"/>
      <w:r>
        <w:rPr>
          <w:rFonts w:hint="eastAsia"/>
        </w:rPr>
        <w:t>不良地质现象</w:t>
      </w:r>
      <w:r>
        <w:t>及</w:t>
      </w:r>
      <w:r>
        <w:rPr>
          <w:rFonts w:hint="eastAsia"/>
        </w:rPr>
        <w:t>特殊性</w:t>
      </w:r>
      <w:r>
        <w:t>岩土</w:t>
      </w:r>
      <w:bookmarkEnd w:id="74"/>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经地表工程地质测绘和工程地质钻探揭露表明：本</w:t>
      </w:r>
      <w:r>
        <w:rPr>
          <w:rFonts w:ascii="宋体" w:eastAsia="宋体" w:hAnsi="宋体" w:cs="Times New Roman" w:hint="eastAsia"/>
          <w:spacing w:val="10"/>
          <w:kern w:val="0"/>
          <w:sz w:val="24"/>
          <w:szCs w:val="24"/>
        </w:rPr>
        <w:t>建筑场地在钻探深度范围内无滑坡、崩塌、泥石流、地下采空区等不良地质作用。无防空洞、孤石、墓穴等对工程不利的埋藏物。</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本场地特殊性岩土主要为红粘土和素填土。</w:t>
      </w:r>
    </w:p>
    <w:p w:rsidR="00D9225E">
      <w:pPr>
        <w:pStyle w:val="LW31"/>
      </w:pPr>
      <w:bookmarkStart w:id="75" w:name="_Toc20147"/>
      <w:r>
        <w:rPr>
          <w:rFonts w:hint="eastAsia"/>
        </w:rPr>
        <w:t>场地岩溶发育</w:t>
      </w:r>
      <w:r>
        <w:t>特征</w:t>
      </w:r>
      <w:bookmarkEnd w:id="75"/>
    </w:p>
    <w:p w:rsidR="00D9225E">
      <w:pPr>
        <w:spacing w:line="360" w:lineRule="auto"/>
        <w:ind w:firstLine="480" w:firstLineChars="200"/>
        <w:rPr>
          <w:rFonts w:ascii="宋体" w:eastAsia="宋体" w:hAnsi="宋体" w:cs="Times New Roman"/>
          <w:spacing w:val="10"/>
          <w:kern w:val="0"/>
          <w:sz w:val="24"/>
          <w:szCs w:val="24"/>
        </w:rPr>
      </w:pPr>
      <w:bookmarkStart w:id="76" w:name="_Toc88141329"/>
      <w:bookmarkStart w:id="77" w:name="_Toc88140165"/>
      <w:bookmarkStart w:id="78" w:name="_Toc88148450"/>
      <w:r>
        <w:rPr>
          <w:rFonts w:ascii="宋体" w:eastAsia="宋体" w:hAnsi="宋体" w:cs="Times New Roman" w:hint="eastAsia"/>
          <w:spacing w:val="10"/>
          <w:kern w:val="0"/>
          <w:sz w:val="24"/>
          <w:szCs w:val="24"/>
        </w:rPr>
        <w:t>本场地地表多被冲洪积土层及填土覆盖，据钻孔揭露，勘察深度范围内岩芯中多见微观岩溶溶隙现象。</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勘察区为寒武系中统平井组（∈</w:t>
      </w:r>
      <w:r>
        <w:rPr>
          <w:rFonts w:ascii="宋体" w:eastAsia="宋体" w:hAnsi="宋体" w:cs="Times New Roman" w:hint="eastAsia"/>
          <w:spacing w:val="10"/>
          <w:kern w:val="0"/>
          <w:sz w:val="24"/>
          <w:szCs w:val="24"/>
          <w:vertAlign w:val="subscript"/>
        </w:rPr>
        <w:t>2</w:t>
      </w:r>
      <w:r>
        <w:rPr>
          <w:rFonts w:ascii="宋体" w:eastAsia="宋体" w:hAnsi="宋体" w:cs="Times New Roman" w:hint="eastAsia"/>
          <w:spacing w:val="10"/>
          <w:kern w:val="0"/>
          <w:sz w:val="24"/>
          <w:szCs w:val="24"/>
        </w:rPr>
        <w:t>p</w:t>
      </w:r>
      <w:r>
        <w:rPr>
          <w:rFonts w:ascii="宋体" w:eastAsia="宋体" w:hAnsi="宋体" w:cs="Times New Roman" w:hint="eastAsia"/>
          <w:spacing w:val="10"/>
          <w:kern w:val="0"/>
          <w:sz w:val="24"/>
          <w:szCs w:val="24"/>
        </w:rPr>
        <w:t>）地层，主要由白云岩组成，其上为冲洪积层红粘土。地面调查、钻探成果表明，勘察深度范围内溶隙较发育，但规模较小，分布无序，对拟建道路影响小。</w:t>
      </w:r>
    </w:p>
    <w:p w:rsidR="00D9225E">
      <w:pPr>
        <w:pStyle w:val="LW31"/>
        <w:numPr>
          <w:numId w:val="3"/>
        </w:numPr>
      </w:pPr>
      <w:bookmarkStart w:id="79" w:name="_Toc26492"/>
      <w:r>
        <w:rPr>
          <w:rFonts w:hint="eastAsia"/>
        </w:rPr>
        <w:t>岩土物理力</w:t>
      </w:r>
      <w:bookmarkEnd w:id="76"/>
      <w:bookmarkEnd w:id="77"/>
      <w:bookmarkEnd w:id="78"/>
      <w:r>
        <w:rPr>
          <w:rFonts w:hint="eastAsia"/>
        </w:rPr>
        <w:t>学参数确定</w:t>
      </w:r>
      <w:bookmarkEnd w:id="79"/>
    </w:p>
    <w:p w:rsidR="00D9225E">
      <w:pPr>
        <w:pStyle w:val="LW41"/>
      </w:pPr>
      <w:bookmarkStart w:id="80" w:name="_Toc80888612"/>
      <w:r>
        <w:t>岩</w:t>
      </w:r>
      <w:r>
        <w:rPr>
          <w:rFonts w:hint="eastAsia"/>
        </w:rPr>
        <w:t>土</w:t>
      </w:r>
      <w:bookmarkEnd w:id="80"/>
      <w:r>
        <w:rPr>
          <w:rFonts w:hint="eastAsia"/>
        </w:rPr>
        <w:t>物理力学</w:t>
      </w:r>
      <w:r>
        <w:t>指标</w:t>
      </w:r>
      <w:r>
        <w:rPr>
          <w:rFonts w:hint="eastAsia"/>
        </w:rPr>
        <w:t>可靠性</w:t>
      </w:r>
      <w:r>
        <w:t>及实用性分析</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本次勘察对拟建场地内</w:t>
      </w:r>
      <w:r>
        <w:rPr>
          <w:rFonts w:ascii="宋体" w:eastAsia="宋体" w:hAnsi="宋体" w:cs="Times New Roman" w:hint="eastAsia"/>
          <w:spacing w:val="10"/>
          <w:kern w:val="0"/>
          <w:sz w:val="24"/>
          <w:szCs w:val="24"/>
        </w:rPr>
        <w:t>3</w:t>
      </w:r>
      <w:r>
        <w:rPr>
          <w:rFonts w:ascii="宋体" w:eastAsia="宋体" w:hAnsi="宋体" w:cs="Times New Roman" w:hint="eastAsia"/>
          <w:spacing w:val="10"/>
          <w:kern w:val="0"/>
          <w:sz w:val="24"/>
          <w:szCs w:val="24"/>
        </w:rPr>
        <w:t>组中风化岩石、</w:t>
      </w:r>
      <w:r>
        <w:rPr>
          <w:rFonts w:ascii="宋体" w:eastAsia="宋体" w:hAnsi="宋体" w:cs="Times New Roman" w:hint="eastAsia"/>
          <w:spacing w:val="10"/>
          <w:kern w:val="0"/>
          <w:sz w:val="24"/>
          <w:szCs w:val="24"/>
        </w:rPr>
        <w:t>6</w:t>
      </w:r>
      <w:r>
        <w:rPr>
          <w:rFonts w:ascii="宋体" w:eastAsia="宋体" w:hAnsi="宋体" w:cs="Times New Roman" w:hint="eastAsia"/>
          <w:spacing w:val="10"/>
          <w:kern w:val="0"/>
          <w:sz w:val="24"/>
          <w:szCs w:val="24"/>
        </w:rPr>
        <w:t>件原状土进行了取样。样品测试工作委托具</w:t>
      </w:r>
      <w:r>
        <w:rPr>
          <w:rFonts w:ascii="宋体" w:eastAsia="宋体" w:hAnsi="宋体" w:cs="Times New Roman" w:hint="eastAsia"/>
          <w:spacing w:val="10"/>
          <w:kern w:val="0"/>
          <w:sz w:val="24"/>
          <w:szCs w:val="24"/>
        </w:rPr>
        <w:t>有相应资质的重庆市地质矿产勘查开发集团检验检测有限公司承担。样品采集后，及时密封，运输途中采取防震处理，减小了样品的人为扰动影响，确保室内测试数据的真实、客观，测试结果可靠性高。</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本次勘察对中风化岩石样品进行了岩石物理性质指标测试以及天然、饱和抗压强度；对原状土样品进行了土质物理性质指标测试以及天然、饱和快剪、压缩量测试。所取样品的室内测试项目较齐全，试验成果资料经数理统计、分析整理后，最后进行综合取值。所提供的岩土参数指标客观、可</w:t>
      </w:r>
      <w:r>
        <w:rPr>
          <w:rFonts w:ascii="宋体" w:eastAsia="宋体" w:hAnsi="宋体" w:cs="Times New Roman" w:hint="eastAsia"/>
          <w:spacing w:val="10"/>
          <w:kern w:val="0"/>
          <w:sz w:val="24"/>
          <w:szCs w:val="24"/>
        </w:rPr>
        <w:t>靠，对本工程设计针对性较强，能满足设计所需岩土参数的要求，适用性较好。</w:t>
      </w:r>
    </w:p>
    <w:p w:rsidR="00D9225E">
      <w:pPr>
        <w:pStyle w:val="LW41"/>
      </w:pPr>
      <w:r>
        <w:t>岩</w:t>
      </w:r>
      <w:r>
        <w:rPr>
          <w:rFonts w:hint="eastAsia"/>
        </w:rPr>
        <w:t>土参数</w:t>
      </w:r>
      <w:r>
        <w:t>的数理统计</w:t>
      </w:r>
    </w:p>
    <w:p w:rsidR="00D9225E">
      <w:pPr>
        <w:pStyle w:val="LW"/>
        <w:ind w:firstLine="520"/>
        <w:rPr>
          <w:kern w:val="2"/>
        </w:rPr>
      </w:pPr>
      <w:r>
        <w:rPr>
          <w:rFonts w:hint="eastAsia"/>
        </w:rPr>
        <w:t>为客观、合理提供岩土物理力学参数，便于设计选用，在数理统计所取样品的测试数据时，试验数据均按《岩土工程勘察规范》</w:t>
      </w:r>
      <w:r>
        <w:rPr>
          <w:rFonts w:hint="eastAsia"/>
        </w:rPr>
        <w:t>(GB50021-2001) 2009</w:t>
      </w:r>
      <w:r>
        <w:rPr>
          <w:rFonts w:hint="eastAsia"/>
        </w:rPr>
        <w:t>年版第</w:t>
      </w:r>
      <w:r>
        <w:rPr>
          <w:rFonts w:hint="eastAsia"/>
        </w:rPr>
        <w:t>14.2</w:t>
      </w:r>
      <w:r>
        <w:rPr>
          <w:rFonts w:hint="eastAsia"/>
        </w:rPr>
        <w:t>节有关公式统计计算。统计公式如下：</w:t>
      </w:r>
    </w:p>
    <w:p w:rsidR="00D9225E">
      <w:pPr>
        <w:pStyle w:val="LW"/>
        <w:ind w:firstLine="520"/>
      </w:pPr>
      <w:r>
        <w:rPr>
          <w:rFonts w:hint="eastAsia"/>
        </w:rPr>
        <w:t>平均值：</w:t>
      </w:r>
      <w:r>
        <w:rPr>
          <w:noProof/>
        </w:rPr>
        <w:drawing>
          <wp:inline distT="0" distB="0" distL="0" distR="0">
            <wp:extent cx="800100" cy="438150"/>
            <wp:effectExtent l="0" t="0" r="0" b="0"/>
            <wp:docPr id="1883" name="图片 1883" descr="C:\Users\ADMINI~1\AppData\Local\Temp\ksohtml75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 name="图片 1883" descr="C:\Users\ADMINI~1\AppData\Local\Temp\ksohtml7576\wps1.png"/>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800100" cy="438150"/>
                    </a:xfrm>
                    <a:prstGeom prst="rect">
                      <a:avLst/>
                    </a:prstGeom>
                    <a:noFill/>
                    <a:ln>
                      <a:noFill/>
                    </a:ln>
                  </pic:spPr>
                </pic:pic>
              </a:graphicData>
            </a:graphic>
          </wp:inline>
        </w:drawing>
      </w:r>
    </w:p>
    <w:p w:rsidR="00D9225E">
      <w:pPr>
        <w:pStyle w:val="LW"/>
        <w:ind w:firstLine="520"/>
      </w:pPr>
      <w:r>
        <w:rPr>
          <w:rFonts w:hint="eastAsia"/>
        </w:rPr>
        <w:t>标准差：</w:t>
      </w:r>
      <w:r>
        <w:rPr>
          <w:noProof/>
        </w:rPr>
        <w:drawing>
          <wp:inline distT="0" distB="0" distL="0" distR="0">
            <wp:extent cx="1962150" cy="914400"/>
            <wp:effectExtent l="0" t="0" r="0" b="0"/>
            <wp:docPr id="1882" name="图片 1882" descr="C:\Users\ADMINI~1\AppData\Local\Temp\ksohtml757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 name="图片 1882" descr="C:\Users\ADMINI~1\AppData\Local\Temp\ksohtml7576\wps2.png"/>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962150" cy="914400"/>
                    </a:xfrm>
                    <a:prstGeom prst="rect">
                      <a:avLst/>
                    </a:prstGeom>
                    <a:noFill/>
                    <a:ln>
                      <a:noFill/>
                    </a:ln>
                  </pic:spPr>
                </pic:pic>
              </a:graphicData>
            </a:graphic>
          </wp:inline>
        </w:drawing>
      </w:r>
    </w:p>
    <w:p w:rsidR="00D9225E">
      <w:pPr>
        <w:pStyle w:val="LW"/>
        <w:ind w:firstLine="520"/>
      </w:pPr>
      <w:r>
        <w:rPr>
          <w:rFonts w:hint="eastAsia"/>
        </w:rPr>
        <w:t>变异系数：</w:t>
      </w:r>
      <w:r>
        <w:rPr>
          <w:noProof/>
        </w:rPr>
        <w:drawing>
          <wp:inline distT="0" distB="0" distL="0" distR="0">
            <wp:extent cx="476250" cy="438150"/>
            <wp:effectExtent l="0" t="0" r="0" b="0"/>
            <wp:docPr id="1881" name="图片 1881" descr="C:\Users\ADMINI~1\AppData\Local\Temp\ksohtml757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 name="图片 1881" descr="C:\Users\ADMINI~1\AppData\Local\Temp\ksohtml7576\wps3.png"/>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476250" cy="438150"/>
                    </a:xfrm>
                    <a:prstGeom prst="rect">
                      <a:avLst/>
                    </a:prstGeom>
                    <a:noFill/>
                    <a:ln>
                      <a:noFill/>
                    </a:ln>
                  </pic:spPr>
                </pic:pic>
              </a:graphicData>
            </a:graphic>
          </wp:inline>
        </w:drawing>
      </w:r>
    </w:p>
    <w:p w:rsidR="00D9225E">
      <w:pPr>
        <w:pStyle w:val="LW"/>
        <w:ind w:firstLine="520"/>
      </w:pPr>
      <w:r>
        <w:rPr>
          <w:rFonts w:hint="eastAsia"/>
        </w:rPr>
        <w:t>标准值：</w:t>
      </w:r>
      <w:r>
        <w:rPr>
          <w:noProof/>
        </w:rPr>
        <w:drawing>
          <wp:inline distT="0" distB="0" distL="0" distR="0">
            <wp:extent cx="790575" cy="228600"/>
            <wp:effectExtent l="0" t="0" r="9525" b="0"/>
            <wp:docPr id="1879" name="图片 1879" descr="C:\Users\ADMINI~1\AppData\Local\Temp\ksohtml757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 name="图片 1879" descr="C:\Users\ADMINI~1\AppData\Local\Temp\ksohtml7576\wps4.png"/>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790575" cy="228600"/>
                    </a:xfrm>
                    <a:prstGeom prst="rect">
                      <a:avLst/>
                    </a:prstGeom>
                    <a:noFill/>
                    <a:ln>
                      <a:noFill/>
                    </a:ln>
                  </pic:spPr>
                </pic:pic>
              </a:graphicData>
            </a:graphic>
          </wp:inline>
        </w:drawing>
      </w:r>
    </w:p>
    <w:p w:rsidR="00D9225E">
      <w:pPr>
        <w:pStyle w:val="LW"/>
        <w:ind w:firstLine="520"/>
        <w:sectPr>
          <w:headerReference w:type="even" r:id="rId22"/>
          <w:footerReference w:type="even" r:id="rId23"/>
          <w:type w:val="nextPage"/>
          <w:pgSz w:w="23811" w:h="16838" w:orient="landscape"/>
          <w:pgMar w:top="851" w:right="851" w:bottom="3119" w:left="1985" w:header="879" w:footer="765" w:gutter="0"/>
          <w:pgNumType w:start="7"/>
          <w:cols w:num="2" w:space="425"/>
          <w:titlePg w:val="0"/>
          <w:docGrid w:type="lines" w:linePitch="312"/>
        </w:sectPr>
      </w:pPr>
      <w:r>
        <w:rPr>
          <w:rFonts w:hint="eastAsia"/>
        </w:rPr>
        <w:t>修正系数：</w:t>
      </w:r>
      <w:r>
        <w:rPr>
          <w:noProof/>
        </w:rPr>
        <w:drawing>
          <wp:inline distT="0" distB="0" distL="0" distR="0">
            <wp:extent cx="819150" cy="457200"/>
            <wp:effectExtent l="0" t="0" r="0" b="0"/>
            <wp:docPr id="56" name="图片 56" descr="C:\Users\ADMINI~1\AppData\Local\Temp\ksohtml757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C:\Users\ADMINI~1\AppData\Local\Temp\ksohtml7576\wps5.png"/>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819150" cy="457200"/>
                    </a:xfrm>
                    <a:prstGeom prst="rect">
                      <a:avLst/>
                    </a:prstGeom>
                    <a:noFill/>
                    <a:ln>
                      <a:noFill/>
                    </a:ln>
                  </pic:spPr>
                </pic:pic>
              </a:graphicData>
            </a:graphic>
          </wp:inline>
        </w:drawing>
      </w:r>
    </w:p>
    <w:p w:rsidR="00D9225E">
      <w:pPr>
        <w:pStyle w:val="LW"/>
        <w:ind w:firstLine="520"/>
      </w:pPr>
      <w:r>
        <w:rPr>
          <w:rFonts w:hint="eastAsia"/>
        </w:rPr>
        <w:t>式中：</w:t>
      </w:r>
      <w:r>
        <w:rPr>
          <w:noProof/>
        </w:rPr>
        <w:drawing>
          <wp:inline distT="0" distB="0" distL="0" distR="0">
            <wp:extent cx="133350" cy="142875"/>
            <wp:effectExtent l="0" t="0" r="0" b="6985"/>
            <wp:docPr id="55" name="图片 55" descr="C:\Users\ADMINI~1\AppData\Local\Temp\ksohtml757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C:\Users\ADMINI~1\AppData\Local\Temp\ksohtml7576\wps6.png"/>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33350" cy="142875"/>
                    </a:xfrm>
                    <a:prstGeom prst="rect">
                      <a:avLst/>
                    </a:prstGeom>
                    <a:noFill/>
                    <a:ln>
                      <a:noFill/>
                    </a:ln>
                  </pic:spPr>
                </pic:pic>
              </a:graphicData>
            </a:graphic>
          </wp:inline>
        </w:drawing>
      </w:r>
      <w:r>
        <w:rPr>
          <w:rFonts w:hint="eastAsia"/>
        </w:rPr>
        <w:t>—参与统计的样本数量；</w:t>
      </w:r>
      <w:r>
        <w:rPr>
          <w:rFonts w:hint="eastAsia"/>
        </w:rPr>
        <w:t xml:space="preserve"> </w:t>
      </w:r>
      <w:r>
        <w:rPr>
          <w:noProof/>
        </w:rPr>
        <w:drawing>
          <wp:inline distT="0" distB="0" distL="0" distR="0">
            <wp:extent cx="171450" cy="228600"/>
            <wp:effectExtent l="0" t="0" r="0" b="0"/>
            <wp:docPr id="54" name="图片 54" descr="C:\Users\ADMINI~1\AppData\Local\Temp\ksohtml757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C:\Users\ADMINI~1\AppData\Local\Temp\ksohtml7576\wps7.png"/>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71450" cy="228600"/>
                    </a:xfrm>
                    <a:prstGeom prst="rect">
                      <a:avLst/>
                    </a:prstGeom>
                    <a:noFill/>
                    <a:ln>
                      <a:noFill/>
                    </a:ln>
                  </pic:spPr>
                </pic:pic>
              </a:graphicData>
            </a:graphic>
          </wp:inline>
        </w:drawing>
      </w:r>
      <w:r>
        <w:rPr>
          <w:rFonts w:hint="eastAsia"/>
        </w:rPr>
        <w:t>—岩土性质指标测试值；</w:t>
      </w:r>
      <w:r>
        <w:rPr>
          <w:rFonts w:hint="eastAsia"/>
        </w:rPr>
        <w:t xml:space="preserve"> </w:t>
      </w:r>
      <w:r>
        <w:rPr>
          <w:noProof/>
        </w:rPr>
        <w:drawing>
          <wp:inline distT="0" distB="0" distL="0" distR="0">
            <wp:extent cx="180975" cy="228600"/>
            <wp:effectExtent l="0" t="0" r="9525" b="0"/>
            <wp:docPr id="6" name="图片 6" descr="C:\Users\ADMINI~1\AppData\Local\Temp\ksohtml757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7576\wps8.png"/>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rPr>
        <w:t>—某一风险概率</w:t>
      </w:r>
      <w:r>
        <w:rPr>
          <w:noProof/>
        </w:rPr>
        <w:drawing>
          <wp:inline distT="0" distB="0" distL="0" distR="0">
            <wp:extent cx="133350" cy="142875"/>
            <wp:effectExtent l="0" t="0" r="0" b="6985"/>
            <wp:docPr id="7" name="图片 7" descr="C:\Users\ADMINI~1\AppData\Local\Temp\ksohtml757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ksohtml7576\wps9.png"/>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133350" cy="142875"/>
                    </a:xfrm>
                    <a:prstGeom prst="rect">
                      <a:avLst/>
                    </a:prstGeom>
                    <a:noFill/>
                    <a:ln>
                      <a:noFill/>
                    </a:ln>
                  </pic:spPr>
                </pic:pic>
              </a:graphicData>
            </a:graphic>
          </wp:inline>
        </w:drawing>
      </w:r>
      <w:r>
        <w:rPr>
          <w:rFonts w:hint="eastAsia"/>
        </w:rPr>
        <w:t>时的修正系数；—风险概率</w:t>
      </w:r>
      <w:r>
        <w:rPr>
          <w:noProof/>
        </w:rPr>
        <w:drawing>
          <wp:inline distT="0" distB="0" distL="0" distR="0">
            <wp:extent cx="133350" cy="142875"/>
            <wp:effectExtent l="0" t="0" r="0" b="8255"/>
            <wp:docPr id="8" name="图片 8" descr="C:\Users\ADMINI~1\AppData\Local\Temp\ksohtml757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ksohtml7576\wps10.png"/>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133350" cy="142875"/>
                    </a:xfrm>
                    <a:prstGeom prst="rect">
                      <a:avLst/>
                    </a:prstGeom>
                    <a:noFill/>
                    <a:ln>
                      <a:noFill/>
                    </a:ln>
                  </pic:spPr>
                </pic:pic>
              </a:graphicData>
            </a:graphic>
          </wp:inline>
        </w:drawing>
      </w:r>
      <w:r>
        <w:rPr>
          <w:rFonts w:hint="eastAsia"/>
        </w:rPr>
        <w:t>时的概率系数。</w:t>
      </w:r>
    </w:p>
    <w:p w:rsidR="00D9225E">
      <w:pPr>
        <w:pStyle w:val="LW"/>
        <w:ind w:firstLine="520"/>
      </w:pPr>
      <w:r>
        <w:rPr>
          <w:rFonts w:hint="eastAsia"/>
        </w:rPr>
        <w:t>样品统计结果见附表</w:t>
      </w:r>
      <w:r>
        <w:t>2.2.9</w:t>
      </w:r>
      <w:r>
        <w:rPr>
          <w:rFonts w:hint="eastAsia"/>
        </w:rPr>
        <w:t>.3-1</w:t>
      </w:r>
      <w:r>
        <w:rPr>
          <w:rFonts w:hint="eastAsia"/>
        </w:rPr>
        <w:t>、</w:t>
      </w:r>
      <w:r>
        <w:t>2.2.9</w:t>
      </w:r>
      <w:r>
        <w:rPr>
          <w:rFonts w:hint="eastAsia"/>
        </w:rPr>
        <w:t>.3-2</w:t>
      </w:r>
      <w:r>
        <w:rPr>
          <w:rFonts w:hint="eastAsia"/>
        </w:rPr>
        <w:t>。</w:t>
      </w:r>
    </w:p>
    <w:p w:rsidR="00D9225E">
      <w:pPr>
        <w:pStyle w:val="LW41"/>
      </w:pPr>
      <w:r>
        <w:t>岩</w:t>
      </w:r>
      <w:r>
        <w:rPr>
          <w:rFonts w:hint="eastAsia"/>
        </w:rPr>
        <w:t>土物理</w:t>
      </w:r>
      <w:r>
        <w:t>参数统计结果</w:t>
      </w:r>
    </w:p>
    <w:p w:rsidR="00D9225E">
      <w:pPr>
        <w:pStyle w:val="LW"/>
        <w:ind w:firstLine="520"/>
        <w:rPr>
          <w:rFonts w:cs="Times New Roman"/>
          <w:szCs w:val="24"/>
        </w:rPr>
      </w:pPr>
      <w:r>
        <w:rPr>
          <w:rFonts w:cs="Times New Roman" w:hint="eastAsia"/>
          <w:szCs w:val="24"/>
        </w:rPr>
        <w:t>本次岩土试验统计结果数据为引用原详细勘察的</w:t>
      </w:r>
      <w:r>
        <w:rPr>
          <w:rFonts w:cs="Times New Roman" w:hint="eastAsia"/>
          <w:szCs w:val="24"/>
        </w:rPr>
        <w:t>11</w:t>
      </w:r>
      <w:r>
        <w:rPr>
          <w:rFonts w:cs="Times New Roman" w:hint="eastAsia"/>
          <w:szCs w:val="24"/>
        </w:rPr>
        <w:t>件土样</w:t>
      </w:r>
      <w:r>
        <w:rPr>
          <w:rFonts w:cs="Times New Roman" w:hint="eastAsia"/>
          <w:szCs w:val="24"/>
        </w:rPr>
        <w:t>3</w:t>
      </w:r>
      <w:r>
        <w:rPr>
          <w:rFonts w:cs="Times New Roman" w:hint="eastAsia"/>
          <w:szCs w:val="24"/>
        </w:rPr>
        <w:t>组岩样以及本次补充勘察取样的</w:t>
      </w:r>
      <w:r>
        <w:rPr>
          <w:rFonts w:cs="Times New Roman" w:hint="eastAsia"/>
          <w:szCs w:val="24"/>
        </w:rPr>
        <w:t>6</w:t>
      </w:r>
      <w:r>
        <w:rPr>
          <w:rFonts w:cs="Times New Roman" w:hint="eastAsia"/>
          <w:szCs w:val="24"/>
        </w:rPr>
        <w:t>件土样</w:t>
      </w:r>
      <w:r>
        <w:rPr>
          <w:rFonts w:cs="Times New Roman" w:hint="eastAsia"/>
          <w:szCs w:val="24"/>
        </w:rPr>
        <w:t>3</w:t>
      </w:r>
      <w:r>
        <w:rPr>
          <w:rFonts w:cs="Times New Roman" w:hint="eastAsia"/>
          <w:szCs w:val="24"/>
        </w:rPr>
        <w:t>组岩样进行统计，本次勘察红粘土以及中风化岩石物理力学参数统计结果见</w:t>
      </w:r>
      <w:r>
        <w:rPr>
          <w:rFonts w:cs="Times New Roman" w:hint="eastAsia"/>
          <w:szCs w:val="24"/>
        </w:rPr>
        <w:t>表</w:t>
      </w:r>
      <w:r>
        <w:rPr>
          <w:rFonts w:cs="Times New Roman" w:hint="eastAsia"/>
          <w:szCs w:val="24"/>
        </w:rPr>
        <w:t>2.2.9.3-1</w:t>
      </w:r>
      <w:r>
        <w:rPr>
          <w:rFonts w:cs="Times New Roman" w:hint="eastAsia"/>
          <w:szCs w:val="24"/>
        </w:rPr>
        <w:t>～</w:t>
      </w:r>
      <w:r>
        <w:rPr>
          <w:rFonts w:cs="Times New Roman" w:hint="eastAsia"/>
          <w:szCs w:val="24"/>
        </w:rPr>
        <w:t>2</w:t>
      </w:r>
      <w:r>
        <w:rPr>
          <w:rFonts w:cs="Times New Roman" w:hint="eastAsia"/>
          <w:szCs w:val="24"/>
        </w:rPr>
        <w:t>。</w:t>
      </w:r>
    </w:p>
    <w:p w:rsidR="00D9225E">
      <w:pPr>
        <w:pStyle w:val="LW6"/>
      </w:pPr>
      <w:r>
        <w:rPr>
          <w:rFonts w:hint="eastAsia"/>
        </w:rPr>
        <w:t>表</w:t>
      </w:r>
      <w:r>
        <w:rPr>
          <w:rFonts w:hint="eastAsia"/>
        </w:rPr>
        <w:t>4</w:t>
      </w:r>
      <w:r>
        <w:rPr>
          <w:rFonts w:hint="eastAsia"/>
        </w:rPr>
        <w:t>.</w:t>
      </w:r>
      <w:r>
        <w:t>2.9.3</w:t>
      </w:r>
      <w:r>
        <w:rPr>
          <w:rFonts w:hint="eastAsia"/>
        </w:rPr>
        <w:t xml:space="preserve">-1    </w:t>
      </w:r>
      <w:r>
        <w:rPr>
          <w:rFonts w:hint="eastAsia"/>
        </w:rPr>
        <w:t>红粘土物理力学指标统计值</w:t>
      </w:r>
    </w:p>
    <w:tbl>
      <w:tblPr>
        <w:tblStyle w:val="TableNormal"/>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tblPr>
      <w:tblGrid>
        <w:gridCol w:w="744"/>
        <w:gridCol w:w="812"/>
        <w:gridCol w:w="726"/>
        <w:gridCol w:w="646"/>
        <w:gridCol w:w="645"/>
        <w:gridCol w:w="666"/>
        <w:gridCol w:w="645"/>
        <w:gridCol w:w="645"/>
        <w:gridCol w:w="645"/>
        <w:gridCol w:w="653"/>
        <w:gridCol w:w="985"/>
        <w:gridCol w:w="772"/>
        <w:gridCol w:w="819"/>
        <w:gridCol w:w="838"/>
      </w:tblGrid>
      <w:tr>
        <w:tblPrEx>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tblPrEx>
        <w:trPr>
          <w:trHeight w:val="345"/>
          <w:jc w:val="center"/>
        </w:trPr>
        <w:tc>
          <w:tcPr>
            <w:tcW w:w="363" w:type="pct"/>
            <w:vMerge w:val="restart"/>
            <w:tcBorders>
              <w:tl2br w:val="nil"/>
              <w:tr2bl w:val="nil"/>
            </w:tcBorders>
            <w:vAlign w:val="center"/>
          </w:tcPr>
          <w:p w:rsidR="00D9225E">
            <w:pPr>
              <w:pStyle w:val="LW17"/>
              <w:jc w:val="center"/>
            </w:pPr>
            <w:r>
              <w:rPr>
                <w:rFonts w:hint="eastAsia"/>
              </w:rPr>
              <w:t>名称</w:t>
            </w:r>
          </w:p>
        </w:tc>
        <w:tc>
          <w:tcPr>
            <w:tcW w:w="2969" w:type="pct"/>
            <w:gridSpan w:val="9"/>
            <w:tcBorders>
              <w:tl2br w:val="nil"/>
              <w:tr2bl w:val="nil"/>
            </w:tcBorders>
            <w:vAlign w:val="center"/>
          </w:tcPr>
          <w:p w:rsidR="00D9225E">
            <w:pPr>
              <w:pStyle w:val="LW15"/>
            </w:pPr>
            <w:r>
              <w:rPr>
                <w:rFonts w:hint="eastAsia"/>
              </w:rPr>
              <w:t>物</w:t>
            </w:r>
            <w:r>
              <w:t xml:space="preserve">    </w:t>
            </w:r>
            <w:r>
              <w:rPr>
                <w:rFonts w:hint="eastAsia"/>
              </w:rPr>
              <w:t>理</w:t>
            </w:r>
            <w:r>
              <w:t xml:space="preserve">    </w:t>
            </w:r>
            <w:r>
              <w:rPr>
                <w:rFonts w:hint="eastAsia"/>
              </w:rPr>
              <w:t>性</w:t>
            </w:r>
            <w:r>
              <w:t xml:space="preserve">    </w:t>
            </w:r>
            <w:r>
              <w:rPr>
                <w:rFonts w:hint="eastAsia"/>
              </w:rPr>
              <w:t>质</w:t>
            </w:r>
          </w:p>
        </w:tc>
        <w:tc>
          <w:tcPr>
            <w:tcW w:w="1667" w:type="pct"/>
            <w:gridSpan w:val="4"/>
            <w:tcBorders>
              <w:tl2br w:val="nil"/>
              <w:tr2bl w:val="nil"/>
            </w:tcBorders>
            <w:vAlign w:val="center"/>
          </w:tcPr>
          <w:p w:rsidR="00D9225E">
            <w:pPr>
              <w:pStyle w:val="LW15"/>
            </w:pPr>
            <w:r>
              <w:rPr>
                <w:rFonts w:hint="eastAsia"/>
              </w:rPr>
              <w:t>力学性质</w:t>
            </w:r>
          </w:p>
        </w:tc>
      </w:tr>
      <w:tr>
        <w:tblPrEx>
          <w:tblW w:w="4998" w:type="pct"/>
          <w:jc w:val="center"/>
          <w:tblCellMar>
            <w:top w:w="15" w:type="dxa"/>
            <w:left w:w="15" w:type="dxa"/>
            <w:bottom w:w="15" w:type="dxa"/>
            <w:right w:w="15" w:type="dxa"/>
          </w:tblCellMar>
          <w:tblLook w:val="04A0"/>
        </w:tblPrEx>
        <w:trPr>
          <w:trHeight w:val="345"/>
          <w:jc w:val="center"/>
        </w:trPr>
        <w:tc>
          <w:tcPr>
            <w:tcW w:w="363" w:type="pct"/>
            <w:vMerge/>
            <w:tcBorders>
              <w:tl2br w:val="nil"/>
              <w:tr2bl w:val="nil"/>
            </w:tcBorders>
            <w:vAlign w:val="center"/>
          </w:tcPr>
          <w:p w:rsidR="00D9225E">
            <w:pPr>
              <w:pStyle w:val="LW17"/>
              <w:jc w:val="center"/>
              <w:rPr>
                <w:kern w:val="2"/>
              </w:rPr>
            </w:pPr>
          </w:p>
        </w:tc>
        <w:tc>
          <w:tcPr>
            <w:tcW w:w="396" w:type="pct"/>
            <w:vMerge w:val="restart"/>
            <w:tcBorders>
              <w:tl2br w:val="nil"/>
              <w:tr2bl w:val="nil"/>
            </w:tcBorders>
            <w:vAlign w:val="center"/>
          </w:tcPr>
          <w:p w:rsidR="00D9225E">
            <w:pPr>
              <w:pStyle w:val="LW17"/>
            </w:pPr>
            <w:r>
              <w:rPr>
                <w:rFonts w:hint="eastAsia"/>
              </w:rPr>
              <w:t>天然含水率</w:t>
            </w:r>
            <w:r>
              <w:t>W</w:t>
            </w:r>
            <w:r>
              <w:rPr>
                <w:rFonts w:hint="eastAsia"/>
              </w:rPr>
              <w:t>（</w:t>
            </w:r>
            <w:r>
              <w:t>%</w:t>
            </w:r>
            <w:r>
              <w:rPr>
                <w:rFonts w:hint="eastAsia"/>
              </w:rPr>
              <w:t>）</w:t>
            </w:r>
          </w:p>
        </w:tc>
        <w:tc>
          <w:tcPr>
            <w:tcW w:w="354" w:type="pct"/>
            <w:vMerge w:val="restart"/>
            <w:tcBorders>
              <w:tl2br w:val="nil"/>
              <w:tr2bl w:val="nil"/>
            </w:tcBorders>
            <w:vAlign w:val="center"/>
          </w:tcPr>
          <w:p w:rsidR="00D9225E">
            <w:pPr>
              <w:pStyle w:val="LW17"/>
              <w:jc w:val="center"/>
            </w:pPr>
            <w:r>
              <w:rPr>
                <w:rFonts w:hint="eastAsia"/>
              </w:rPr>
              <w:t>天然</w:t>
            </w:r>
          </w:p>
          <w:p w:rsidR="00D9225E">
            <w:pPr>
              <w:pStyle w:val="LW17"/>
              <w:jc w:val="center"/>
              <w:rPr>
                <w:kern w:val="2"/>
              </w:rPr>
            </w:pPr>
            <w:r>
              <w:rPr>
                <w:rFonts w:hint="eastAsia"/>
              </w:rPr>
              <w:t>密度</w:t>
            </w:r>
            <w:r>
              <w:rPr>
                <w:rFonts w:hint="eastAsia"/>
              </w:rPr>
              <w:t>(g/cm</w:t>
            </w:r>
            <w:r>
              <w:rPr>
                <w:rFonts w:hint="eastAsia"/>
                <w:vertAlign w:val="superscript"/>
              </w:rPr>
              <w:t>3</w:t>
            </w:r>
            <w:r>
              <w:rPr>
                <w:rFonts w:hint="eastAsia"/>
              </w:rPr>
              <w:t>)</w:t>
            </w:r>
          </w:p>
        </w:tc>
        <w:tc>
          <w:tcPr>
            <w:tcW w:w="315" w:type="pct"/>
            <w:vMerge w:val="restart"/>
            <w:tcBorders>
              <w:tl2br w:val="nil"/>
              <w:tr2bl w:val="nil"/>
            </w:tcBorders>
            <w:vAlign w:val="center"/>
          </w:tcPr>
          <w:p w:rsidR="00D9225E">
            <w:pPr>
              <w:pStyle w:val="LW17"/>
              <w:jc w:val="center"/>
            </w:pPr>
            <w:r>
              <w:rPr>
                <w:rFonts w:hint="eastAsia"/>
              </w:rPr>
              <w:t>比重</w:t>
            </w:r>
            <w:r>
              <w:t>Gs</w:t>
            </w:r>
          </w:p>
        </w:tc>
        <w:tc>
          <w:tcPr>
            <w:tcW w:w="315" w:type="pct"/>
            <w:vMerge w:val="restart"/>
            <w:tcBorders>
              <w:tl2br w:val="nil"/>
              <w:tr2bl w:val="nil"/>
            </w:tcBorders>
            <w:vAlign w:val="center"/>
          </w:tcPr>
          <w:p w:rsidR="00D9225E">
            <w:pPr>
              <w:pStyle w:val="LW17"/>
              <w:jc w:val="center"/>
            </w:pPr>
            <w:r>
              <w:rPr>
                <w:rFonts w:hint="eastAsia"/>
              </w:rPr>
              <w:t>天然孔隙比（</w:t>
            </w:r>
            <w:r>
              <w:t>e</w:t>
            </w:r>
            <w:r>
              <w:rPr>
                <w:vertAlign w:val="subscript"/>
              </w:rPr>
              <w:t>0</w:t>
            </w:r>
            <w:r>
              <w:rPr>
                <w:rFonts w:hint="eastAsia"/>
              </w:rPr>
              <w:t>）</w:t>
            </w:r>
          </w:p>
        </w:tc>
        <w:tc>
          <w:tcPr>
            <w:tcW w:w="325" w:type="pct"/>
            <w:vMerge w:val="restart"/>
            <w:tcBorders>
              <w:tl2br w:val="nil"/>
              <w:tr2bl w:val="nil"/>
            </w:tcBorders>
            <w:vAlign w:val="center"/>
          </w:tcPr>
          <w:p w:rsidR="00D9225E">
            <w:pPr>
              <w:pStyle w:val="LW17"/>
              <w:jc w:val="center"/>
            </w:pPr>
            <w:r>
              <w:rPr>
                <w:rFonts w:hint="eastAsia"/>
              </w:rPr>
              <w:t>饱和度</w:t>
            </w:r>
          </w:p>
          <w:p w:rsidR="00D9225E">
            <w:pPr>
              <w:pStyle w:val="LW17"/>
              <w:jc w:val="center"/>
            </w:pPr>
            <w:r>
              <w:rPr>
                <w:rFonts w:hint="eastAsia"/>
              </w:rPr>
              <w:t>（</w:t>
            </w:r>
            <w:r>
              <w:rPr>
                <w:rFonts w:hint="eastAsia"/>
              </w:rPr>
              <w:t>Sr</w:t>
            </w:r>
            <w:r>
              <w:rPr>
                <w:rFonts w:hint="eastAsia"/>
              </w:rPr>
              <w:t>）</w:t>
            </w:r>
          </w:p>
        </w:tc>
        <w:tc>
          <w:tcPr>
            <w:tcW w:w="315" w:type="pct"/>
            <w:vMerge w:val="restart"/>
            <w:tcBorders>
              <w:tl2br w:val="nil"/>
              <w:tr2bl w:val="nil"/>
            </w:tcBorders>
            <w:vAlign w:val="center"/>
          </w:tcPr>
          <w:p w:rsidR="00D9225E">
            <w:pPr>
              <w:pStyle w:val="LW17"/>
              <w:jc w:val="center"/>
              <w:rPr>
                <w:kern w:val="2"/>
              </w:rPr>
            </w:pPr>
            <w:r>
              <w:rPr>
                <w:rFonts w:hint="eastAsia"/>
              </w:rPr>
              <w:t>液限</w:t>
            </w:r>
          </w:p>
        </w:tc>
        <w:tc>
          <w:tcPr>
            <w:tcW w:w="315" w:type="pct"/>
            <w:vMerge w:val="restart"/>
            <w:tcBorders>
              <w:tl2br w:val="nil"/>
              <w:tr2bl w:val="nil"/>
            </w:tcBorders>
            <w:vAlign w:val="center"/>
          </w:tcPr>
          <w:p w:rsidR="00D9225E">
            <w:pPr>
              <w:pStyle w:val="LW17"/>
              <w:jc w:val="center"/>
            </w:pPr>
            <w:r>
              <w:rPr>
                <w:rFonts w:hint="eastAsia"/>
              </w:rPr>
              <w:t>塑限</w:t>
            </w:r>
          </w:p>
        </w:tc>
        <w:tc>
          <w:tcPr>
            <w:tcW w:w="315" w:type="pct"/>
            <w:vMerge w:val="restart"/>
            <w:tcBorders>
              <w:tl2br w:val="nil"/>
              <w:tr2bl w:val="nil"/>
            </w:tcBorders>
            <w:vAlign w:val="center"/>
          </w:tcPr>
          <w:p w:rsidR="00D9225E">
            <w:pPr>
              <w:pStyle w:val="LW17"/>
              <w:jc w:val="center"/>
            </w:pPr>
            <w:r>
              <w:rPr>
                <w:rFonts w:hint="eastAsia"/>
              </w:rPr>
              <w:t>塑性指数</w:t>
            </w:r>
          </w:p>
        </w:tc>
        <w:tc>
          <w:tcPr>
            <w:tcW w:w="317" w:type="pct"/>
            <w:vMerge w:val="restart"/>
            <w:tcBorders>
              <w:tl2br w:val="nil"/>
              <w:tr2bl w:val="nil"/>
            </w:tcBorders>
            <w:vAlign w:val="center"/>
          </w:tcPr>
          <w:p w:rsidR="00D9225E">
            <w:pPr>
              <w:pStyle w:val="LW17"/>
              <w:jc w:val="center"/>
            </w:pPr>
            <w:r>
              <w:rPr>
                <w:rFonts w:hint="eastAsia"/>
              </w:rPr>
              <w:t>液性</w:t>
            </w:r>
          </w:p>
          <w:p w:rsidR="00D9225E">
            <w:pPr>
              <w:pStyle w:val="LW17"/>
              <w:jc w:val="center"/>
              <w:rPr>
                <w:kern w:val="2"/>
              </w:rPr>
            </w:pPr>
            <w:r>
              <w:rPr>
                <w:rFonts w:hint="eastAsia"/>
              </w:rPr>
              <w:t>指数</w:t>
            </w:r>
          </w:p>
        </w:tc>
        <w:tc>
          <w:tcPr>
            <w:tcW w:w="858" w:type="pct"/>
            <w:gridSpan w:val="2"/>
            <w:tcBorders>
              <w:tl2br w:val="nil"/>
              <w:tr2bl w:val="nil"/>
            </w:tcBorders>
            <w:vAlign w:val="center"/>
          </w:tcPr>
          <w:p w:rsidR="00D9225E">
            <w:pPr>
              <w:pStyle w:val="LW17"/>
              <w:jc w:val="center"/>
            </w:pPr>
            <w:r>
              <w:rPr>
                <w:rFonts w:hint="eastAsia"/>
              </w:rPr>
              <w:t>土的压缩性</w:t>
            </w:r>
          </w:p>
        </w:tc>
        <w:tc>
          <w:tcPr>
            <w:tcW w:w="808" w:type="pct"/>
            <w:gridSpan w:val="2"/>
            <w:tcBorders>
              <w:tl2br w:val="nil"/>
              <w:tr2bl w:val="nil"/>
            </w:tcBorders>
            <w:vAlign w:val="center"/>
          </w:tcPr>
          <w:p w:rsidR="00D9225E">
            <w:pPr>
              <w:pStyle w:val="LW17"/>
              <w:jc w:val="center"/>
            </w:pPr>
            <w:r>
              <w:rPr>
                <w:rFonts w:hint="eastAsia"/>
              </w:rPr>
              <w:t>天然快剪</w:t>
            </w:r>
          </w:p>
        </w:tc>
      </w:tr>
      <w:tr>
        <w:tblPrEx>
          <w:tblW w:w="4998" w:type="pct"/>
          <w:jc w:val="center"/>
          <w:tblCellMar>
            <w:top w:w="15" w:type="dxa"/>
            <w:left w:w="15" w:type="dxa"/>
            <w:bottom w:w="15" w:type="dxa"/>
            <w:right w:w="15" w:type="dxa"/>
          </w:tblCellMar>
          <w:tblLook w:val="04A0"/>
        </w:tblPrEx>
        <w:trPr>
          <w:trHeight w:val="345"/>
          <w:jc w:val="center"/>
        </w:trPr>
        <w:tc>
          <w:tcPr>
            <w:tcW w:w="363" w:type="pct"/>
            <w:vMerge/>
            <w:tcBorders>
              <w:tl2br w:val="nil"/>
              <w:tr2bl w:val="nil"/>
            </w:tcBorders>
            <w:vAlign w:val="center"/>
          </w:tcPr>
          <w:p w:rsidR="00D9225E">
            <w:pPr>
              <w:pStyle w:val="LW17"/>
              <w:jc w:val="center"/>
              <w:rPr>
                <w:kern w:val="2"/>
              </w:rPr>
            </w:pPr>
          </w:p>
        </w:tc>
        <w:tc>
          <w:tcPr>
            <w:tcW w:w="396" w:type="pct"/>
            <w:vMerge/>
            <w:tcBorders>
              <w:tl2br w:val="nil"/>
              <w:tr2bl w:val="nil"/>
            </w:tcBorders>
            <w:vAlign w:val="center"/>
          </w:tcPr>
          <w:p w:rsidR="00D9225E">
            <w:pPr>
              <w:pStyle w:val="LW17"/>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481" w:type="pct"/>
            <w:vMerge w:val="restart"/>
            <w:tcBorders>
              <w:tl2br w:val="nil"/>
              <w:tr2bl w:val="nil"/>
            </w:tcBorders>
            <w:vAlign w:val="center"/>
          </w:tcPr>
          <w:p w:rsidR="00D9225E">
            <w:pPr>
              <w:pStyle w:val="LW17"/>
              <w:jc w:val="center"/>
            </w:pPr>
            <w:r>
              <w:rPr>
                <w:rFonts w:hint="eastAsia"/>
              </w:rPr>
              <w:t>压缩系数</w:t>
            </w:r>
            <w:r>
              <w:t>a</w:t>
            </w:r>
            <w:r>
              <w:rPr>
                <w:vertAlign w:val="subscript"/>
              </w:rPr>
              <w:t>1-2</w:t>
            </w:r>
            <w:r>
              <w:rPr>
                <w:rFonts w:hint="eastAsia"/>
              </w:rPr>
              <w:t>（</w:t>
            </w:r>
            <w:r>
              <w:t>Mpa-1</w:t>
            </w:r>
            <w:r>
              <w:rPr>
                <w:rFonts w:hint="eastAsia"/>
              </w:rPr>
              <w:t>）</w:t>
            </w:r>
          </w:p>
        </w:tc>
        <w:tc>
          <w:tcPr>
            <w:tcW w:w="377" w:type="pct"/>
            <w:vMerge w:val="restart"/>
            <w:tcBorders>
              <w:tl2br w:val="nil"/>
              <w:tr2bl w:val="nil"/>
            </w:tcBorders>
            <w:vAlign w:val="center"/>
          </w:tcPr>
          <w:p w:rsidR="00D9225E">
            <w:pPr>
              <w:pStyle w:val="LW17"/>
              <w:jc w:val="center"/>
            </w:pPr>
            <w:r>
              <w:rPr>
                <w:rFonts w:hint="eastAsia"/>
              </w:rPr>
              <w:t>压缩模量</w:t>
            </w:r>
            <w:r>
              <w:t>E</w:t>
            </w:r>
            <w:r>
              <w:rPr>
                <w:vertAlign w:val="subscript"/>
              </w:rPr>
              <w:t>s</w:t>
            </w:r>
            <w:r>
              <w:rPr>
                <w:rFonts w:hint="eastAsia"/>
              </w:rPr>
              <w:t>（</w:t>
            </w:r>
            <w:r>
              <w:t>MPa</w:t>
            </w:r>
            <w:r>
              <w:rPr>
                <w:rFonts w:hint="eastAsia"/>
              </w:rPr>
              <w:t>）</w:t>
            </w:r>
          </w:p>
        </w:tc>
        <w:tc>
          <w:tcPr>
            <w:tcW w:w="400" w:type="pct"/>
            <w:tcBorders>
              <w:tl2br w:val="nil"/>
              <w:tr2bl w:val="nil"/>
            </w:tcBorders>
            <w:vAlign w:val="center"/>
          </w:tcPr>
          <w:p w:rsidR="00D9225E">
            <w:pPr>
              <w:pStyle w:val="LW17"/>
              <w:jc w:val="center"/>
            </w:pPr>
            <w:r>
              <w:rPr>
                <w:rFonts w:hint="eastAsia"/>
              </w:rPr>
              <w:t>内聚力</w:t>
            </w:r>
          </w:p>
        </w:tc>
        <w:tc>
          <w:tcPr>
            <w:tcW w:w="407" w:type="pct"/>
            <w:tcBorders>
              <w:tl2br w:val="nil"/>
              <w:tr2bl w:val="nil"/>
            </w:tcBorders>
            <w:vAlign w:val="center"/>
          </w:tcPr>
          <w:p w:rsidR="00D9225E">
            <w:pPr>
              <w:pStyle w:val="LW17"/>
              <w:jc w:val="center"/>
            </w:pPr>
            <w:r>
              <w:rPr>
                <w:rFonts w:hint="eastAsia"/>
              </w:rPr>
              <w:t>内摩</w:t>
            </w:r>
          </w:p>
          <w:p w:rsidR="00D9225E">
            <w:pPr>
              <w:pStyle w:val="LW17"/>
              <w:jc w:val="center"/>
              <w:rPr>
                <w:kern w:val="2"/>
              </w:rPr>
            </w:pPr>
            <w:r>
              <w:rPr>
                <w:rFonts w:hint="eastAsia"/>
              </w:rPr>
              <w:t>擦角</w:t>
            </w:r>
          </w:p>
        </w:tc>
      </w:tr>
      <w:tr>
        <w:tblPrEx>
          <w:tblW w:w="4998" w:type="pct"/>
          <w:jc w:val="center"/>
          <w:tblCellMar>
            <w:top w:w="15" w:type="dxa"/>
            <w:left w:w="15" w:type="dxa"/>
            <w:bottom w:w="15" w:type="dxa"/>
            <w:right w:w="15" w:type="dxa"/>
          </w:tblCellMar>
          <w:tblLook w:val="04A0"/>
        </w:tblPrEx>
        <w:trPr>
          <w:trHeight w:val="542"/>
          <w:jc w:val="center"/>
        </w:trPr>
        <w:tc>
          <w:tcPr>
            <w:tcW w:w="363" w:type="pct"/>
            <w:vMerge/>
            <w:tcBorders>
              <w:tl2br w:val="nil"/>
              <w:tr2bl w:val="nil"/>
            </w:tcBorders>
            <w:vAlign w:val="center"/>
          </w:tcPr>
          <w:p w:rsidR="00D9225E">
            <w:pPr>
              <w:pStyle w:val="LW17"/>
              <w:jc w:val="center"/>
              <w:rPr>
                <w:kern w:val="2"/>
              </w:rPr>
            </w:pPr>
          </w:p>
        </w:tc>
        <w:tc>
          <w:tcPr>
            <w:tcW w:w="396" w:type="pct"/>
            <w:vMerge/>
            <w:tcBorders>
              <w:tl2br w:val="nil"/>
              <w:tr2bl w:val="nil"/>
            </w:tcBorders>
            <w:vAlign w:val="center"/>
          </w:tcPr>
          <w:p w:rsidR="00D9225E">
            <w:pPr>
              <w:pStyle w:val="LW17"/>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0" w:type="auto"/>
            <w:vMerge/>
            <w:tcBorders>
              <w:tl2br w:val="nil"/>
              <w:tr2bl w:val="nil"/>
            </w:tcBorders>
            <w:vAlign w:val="center"/>
          </w:tcPr>
          <w:p w:rsidR="00D9225E">
            <w:pPr>
              <w:pStyle w:val="LW17"/>
              <w:jc w:val="center"/>
              <w:rPr>
                <w:kern w:val="2"/>
              </w:rPr>
            </w:pPr>
          </w:p>
        </w:tc>
        <w:tc>
          <w:tcPr>
            <w:tcW w:w="400" w:type="pct"/>
            <w:tcBorders>
              <w:tl2br w:val="nil"/>
              <w:tr2bl w:val="nil"/>
            </w:tcBorders>
            <w:vAlign w:val="center"/>
          </w:tcPr>
          <w:p w:rsidR="00D9225E">
            <w:pPr>
              <w:pStyle w:val="LW17"/>
              <w:jc w:val="center"/>
              <w:rPr>
                <w:rFonts w:ascii="Times New Roman" w:hAnsi="Times New Roman"/>
              </w:rPr>
            </w:pPr>
            <w:r>
              <w:t>Kpa</w:t>
            </w:r>
          </w:p>
        </w:tc>
        <w:tc>
          <w:tcPr>
            <w:tcW w:w="407" w:type="pct"/>
            <w:tcBorders>
              <w:tl2br w:val="nil"/>
              <w:tr2bl w:val="nil"/>
            </w:tcBorders>
            <w:vAlign w:val="center"/>
          </w:tcPr>
          <w:p w:rsidR="00D9225E">
            <w:pPr>
              <w:pStyle w:val="LW17"/>
              <w:jc w:val="center"/>
            </w:pPr>
            <w:r>
              <w:t>(°)</w:t>
            </w:r>
          </w:p>
        </w:tc>
      </w:tr>
      <w:tr>
        <w:tblPrEx>
          <w:tblW w:w="4998" w:type="pct"/>
          <w:jc w:val="center"/>
          <w:tblCellMar>
            <w:top w:w="15" w:type="dxa"/>
            <w:left w:w="15" w:type="dxa"/>
            <w:bottom w:w="15" w:type="dxa"/>
            <w:right w:w="15" w:type="dxa"/>
          </w:tblCellMar>
          <w:tblLook w:val="04A0"/>
        </w:tblPrEx>
        <w:trPr>
          <w:trHeight w:val="540"/>
          <w:jc w:val="center"/>
        </w:trPr>
        <w:tc>
          <w:tcPr>
            <w:tcW w:w="363" w:type="pct"/>
            <w:tcBorders>
              <w:tl2br w:val="nil"/>
              <w:tr2bl w:val="nil"/>
            </w:tcBorders>
            <w:vAlign w:val="center"/>
          </w:tcPr>
          <w:p w:rsidR="00D9225E">
            <w:pPr>
              <w:pStyle w:val="LW17"/>
              <w:jc w:val="center"/>
            </w:pPr>
            <w:r>
              <w:rPr>
                <w:rFonts w:hint="eastAsia"/>
              </w:rPr>
              <w:t>红粘土</w:t>
            </w:r>
          </w:p>
        </w:tc>
        <w:tc>
          <w:tcPr>
            <w:tcW w:w="765"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46.56</w:t>
            </w:r>
          </w:p>
        </w:tc>
        <w:tc>
          <w:tcPr>
            <w:tcW w:w="685"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spacing w:val="10"/>
                <w:kern w:val="0"/>
                <w:sz w:val="18"/>
                <w:szCs w:val="24"/>
              </w:rPr>
              <w:t>1.7</w:t>
            </w:r>
            <w:r>
              <w:rPr>
                <w:rFonts w:ascii="宋体" w:eastAsia="宋体" w:hAnsi="宋体" w:cs="Times New Roman" w:hint="eastAsia"/>
                <w:spacing w:val="10"/>
                <w:kern w:val="0"/>
                <w:sz w:val="18"/>
                <w:szCs w:val="24"/>
              </w:rPr>
              <w:t>2</w:t>
            </w:r>
          </w:p>
        </w:tc>
        <w:tc>
          <w:tcPr>
            <w:tcW w:w="608"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spacing w:val="10"/>
                <w:kern w:val="0"/>
                <w:sz w:val="18"/>
                <w:szCs w:val="24"/>
              </w:rPr>
              <w:t>2.7</w:t>
            </w:r>
            <w:r>
              <w:rPr>
                <w:rFonts w:ascii="宋体" w:eastAsia="宋体" w:hAnsi="宋体" w:cs="Times New Roman" w:hint="eastAsia"/>
                <w:spacing w:val="10"/>
                <w:kern w:val="0"/>
                <w:sz w:val="18"/>
                <w:szCs w:val="24"/>
              </w:rPr>
              <w:t>6</w:t>
            </w:r>
          </w:p>
        </w:tc>
        <w:tc>
          <w:tcPr>
            <w:tcW w:w="608"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spacing w:val="10"/>
                <w:kern w:val="0"/>
                <w:sz w:val="18"/>
                <w:szCs w:val="24"/>
              </w:rPr>
              <w:t>1.</w:t>
            </w:r>
            <w:r>
              <w:rPr>
                <w:rFonts w:ascii="宋体" w:eastAsia="宋体" w:hAnsi="宋体" w:cs="Times New Roman" w:hint="eastAsia"/>
                <w:spacing w:val="10"/>
                <w:kern w:val="0"/>
                <w:sz w:val="18"/>
                <w:szCs w:val="24"/>
              </w:rPr>
              <w:t>36</w:t>
            </w:r>
          </w:p>
        </w:tc>
        <w:tc>
          <w:tcPr>
            <w:tcW w:w="630"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spacing w:val="10"/>
                <w:kern w:val="0"/>
                <w:sz w:val="18"/>
                <w:szCs w:val="24"/>
              </w:rPr>
              <w:t>9</w:t>
            </w:r>
            <w:r>
              <w:rPr>
                <w:rFonts w:ascii="宋体" w:eastAsia="宋体" w:hAnsi="宋体" w:cs="Times New Roman" w:hint="eastAsia"/>
                <w:spacing w:val="10"/>
                <w:kern w:val="0"/>
                <w:sz w:val="18"/>
                <w:szCs w:val="24"/>
              </w:rPr>
              <w:t>4.66</w:t>
            </w:r>
          </w:p>
        </w:tc>
        <w:tc>
          <w:tcPr>
            <w:tcW w:w="608"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spacing w:val="10"/>
                <w:kern w:val="0"/>
                <w:sz w:val="18"/>
                <w:szCs w:val="24"/>
              </w:rPr>
              <w:t>65.</w:t>
            </w:r>
            <w:r>
              <w:rPr>
                <w:rFonts w:ascii="宋体" w:eastAsia="宋体" w:hAnsi="宋体" w:cs="Times New Roman" w:hint="eastAsia"/>
                <w:spacing w:val="10"/>
                <w:kern w:val="0"/>
                <w:sz w:val="18"/>
                <w:szCs w:val="24"/>
              </w:rPr>
              <w:t>52</w:t>
            </w:r>
          </w:p>
        </w:tc>
        <w:tc>
          <w:tcPr>
            <w:tcW w:w="609"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spacing w:val="10"/>
                <w:kern w:val="0"/>
                <w:sz w:val="18"/>
                <w:szCs w:val="24"/>
              </w:rPr>
              <w:t>30.</w:t>
            </w:r>
            <w:r>
              <w:rPr>
                <w:rFonts w:ascii="宋体" w:eastAsia="宋体" w:hAnsi="宋体" w:cs="Times New Roman" w:hint="eastAsia"/>
                <w:spacing w:val="10"/>
                <w:kern w:val="0"/>
                <w:sz w:val="18"/>
                <w:szCs w:val="24"/>
              </w:rPr>
              <w:t>62</w:t>
            </w:r>
          </w:p>
        </w:tc>
        <w:tc>
          <w:tcPr>
            <w:tcW w:w="609"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35.89</w:t>
            </w:r>
          </w:p>
        </w:tc>
        <w:tc>
          <w:tcPr>
            <w:tcW w:w="617"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0.45</w:t>
            </w:r>
          </w:p>
        </w:tc>
        <w:tc>
          <w:tcPr>
            <w:tcW w:w="930"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spacing w:val="10"/>
                <w:kern w:val="0"/>
                <w:sz w:val="18"/>
                <w:szCs w:val="24"/>
              </w:rPr>
              <w:t>0.</w:t>
            </w:r>
            <w:r>
              <w:rPr>
                <w:rFonts w:ascii="宋体" w:eastAsia="宋体" w:hAnsi="宋体" w:cs="Times New Roman" w:hint="eastAsia"/>
                <w:spacing w:val="10"/>
                <w:kern w:val="0"/>
                <w:sz w:val="18"/>
                <w:szCs w:val="24"/>
              </w:rPr>
              <w:t>41</w:t>
            </w:r>
          </w:p>
        </w:tc>
        <w:tc>
          <w:tcPr>
            <w:tcW w:w="730"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spacing w:val="10"/>
                <w:kern w:val="0"/>
                <w:sz w:val="18"/>
                <w:szCs w:val="24"/>
              </w:rPr>
              <w:t>5.9</w:t>
            </w:r>
            <w:r>
              <w:rPr>
                <w:rFonts w:ascii="宋体" w:eastAsia="宋体" w:hAnsi="宋体" w:cs="Times New Roman" w:hint="eastAsia"/>
                <w:spacing w:val="10"/>
                <w:kern w:val="0"/>
                <w:sz w:val="18"/>
                <w:szCs w:val="24"/>
              </w:rPr>
              <w:t>5</w:t>
            </w:r>
          </w:p>
        </w:tc>
        <w:tc>
          <w:tcPr>
            <w:tcW w:w="773"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32.20</w:t>
            </w:r>
          </w:p>
        </w:tc>
        <w:tc>
          <w:tcPr>
            <w:tcW w:w="791" w:type="dxa"/>
            <w:tcBorders>
              <w:tl2br w:val="nil"/>
              <w:tr2bl w:val="nil"/>
            </w:tcBorders>
            <w:vAlign w:val="center"/>
          </w:tcPr>
          <w:p w:rsidR="00D9225E">
            <w:pPr>
              <w:widowControl/>
              <w:jc w:val="center"/>
              <w:textAlignment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11.10</w:t>
            </w:r>
          </w:p>
        </w:tc>
      </w:tr>
    </w:tbl>
    <w:p w:rsidR="00D9225E">
      <w:pPr>
        <w:pStyle w:val="LW6"/>
      </w:pPr>
      <w:r>
        <w:rPr>
          <w:rFonts w:hint="eastAsia"/>
        </w:rPr>
        <w:t xml:space="preserve"> </w:t>
      </w:r>
      <w:r>
        <w:rPr>
          <w:rFonts w:hint="eastAsia"/>
        </w:rPr>
        <w:t>表</w:t>
      </w:r>
      <w:r>
        <w:rPr>
          <w:rFonts w:hint="eastAsia"/>
        </w:rPr>
        <w:t>4</w:t>
      </w:r>
      <w:r>
        <w:t>.2.9</w:t>
      </w:r>
      <w:r>
        <w:rPr>
          <w:rFonts w:hint="eastAsia"/>
        </w:rPr>
        <w:t xml:space="preserve">.3-2    </w:t>
      </w:r>
      <w:r>
        <w:rPr>
          <w:rFonts w:hint="eastAsia"/>
        </w:rPr>
        <w:t>岩石物理力学指标统计值</w:t>
      </w:r>
    </w:p>
    <w:tbl>
      <w:tblPr>
        <w:tblStyle w:val="TableNormal"/>
        <w:tblW w:w="102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461"/>
        <w:gridCol w:w="1873"/>
        <w:gridCol w:w="1734"/>
        <w:gridCol w:w="2013"/>
        <w:gridCol w:w="2137"/>
      </w:tblGrid>
      <w:tr>
        <w:tblPrEx>
          <w:tblW w:w="102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Ex>
        <w:trPr>
          <w:trHeight w:val="1235"/>
          <w:jc w:val="center"/>
        </w:trPr>
        <w:tc>
          <w:tcPr>
            <w:tcW w:w="2461" w:type="dxa"/>
            <w:tcBorders>
              <w:tl2br w:val="nil"/>
              <w:tr2bl w:val="nil"/>
            </w:tcBorders>
            <w:vAlign w:val="center"/>
          </w:tcPr>
          <w:p w:rsidR="00D9225E">
            <w:pPr>
              <w:pStyle w:val="LW15"/>
            </w:pPr>
            <w:r>
              <w:rPr>
                <w:rFonts w:hint="eastAsia"/>
              </w:rPr>
              <w:t>名称</w:t>
            </w:r>
          </w:p>
        </w:tc>
        <w:tc>
          <w:tcPr>
            <w:tcW w:w="1873" w:type="dxa"/>
            <w:tcBorders>
              <w:tl2br w:val="nil"/>
              <w:tr2bl w:val="nil"/>
            </w:tcBorders>
            <w:vAlign w:val="center"/>
          </w:tcPr>
          <w:p w:rsidR="00D9225E">
            <w:pPr>
              <w:pStyle w:val="LW15"/>
            </w:pPr>
            <w:r>
              <w:rPr>
                <w:rFonts w:hint="eastAsia"/>
              </w:rPr>
              <w:t>天然重度</w:t>
            </w:r>
            <w:r>
              <w:rPr>
                <w:rFonts w:hint="eastAsia"/>
              </w:rPr>
              <w:t>(kN/m</w:t>
            </w:r>
            <w:r>
              <w:rPr>
                <w:rFonts w:hint="eastAsia"/>
                <w:vertAlign w:val="superscript"/>
              </w:rPr>
              <w:t>3</w:t>
            </w:r>
            <w:r>
              <w:rPr>
                <w:rFonts w:hint="eastAsia"/>
              </w:rPr>
              <w:t>)</w:t>
            </w:r>
          </w:p>
        </w:tc>
        <w:tc>
          <w:tcPr>
            <w:tcW w:w="1734" w:type="dxa"/>
            <w:tcBorders>
              <w:tl2br w:val="nil"/>
              <w:tr2bl w:val="nil"/>
            </w:tcBorders>
            <w:vAlign w:val="center"/>
          </w:tcPr>
          <w:p w:rsidR="00D9225E">
            <w:pPr>
              <w:pStyle w:val="LW15"/>
            </w:pPr>
            <w:r>
              <w:rPr>
                <w:rFonts w:hint="eastAsia"/>
              </w:rPr>
              <w:t>饱和重度</w:t>
            </w:r>
            <w:r>
              <w:rPr>
                <w:rFonts w:hint="eastAsia"/>
              </w:rPr>
              <w:t>(kN/m</w:t>
            </w:r>
            <w:r>
              <w:rPr>
                <w:rFonts w:hint="eastAsia"/>
                <w:vertAlign w:val="superscript"/>
              </w:rPr>
              <w:t>3</w:t>
            </w:r>
            <w:r>
              <w:rPr>
                <w:rFonts w:hint="eastAsia"/>
              </w:rPr>
              <w:t>)</w:t>
            </w:r>
          </w:p>
        </w:tc>
        <w:tc>
          <w:tcPr>
            <w:tcW w:w="2013" w:type="dxa"/>
            <w:tcBorders>
              <w:tl2br w:val="nil"/>
              <w:tr2bl w:val="nil"/>
            </w:tcBorders>
            <w:vAlign w:val="center"/>
          </w:tcPr>
          <w:p w:rsidR="00D9225E">
            <w:pPr>
              <w:pStyle w:val="LW15"/>
            </w:pPr>
            <w:r>
              <w:rPr>
                <w:rFonts w:hint="eastAsia"/>
              </w:rPr>
              <w:t>天然抗压强度标准值</w:t>
            </w:r>
            <w:r>
              <w:rPr>
                <w:rFonts w:hint="eastAsia"/>
              </w:rPr>
              <w:t>(Mpa)</w:t>
            </w:r>
          </w:p>
        </w:tc>
        <w:tc>
          <w:tcPr>
            <w:tcW w:w="2137" w:type="dxa"/>
            <w:tcBorders>
              <w:tl2br w:val="nil"/>
              <w:tr2bl w:val="nil"/>
            </w:tcBorders>
            <w:vAlign w:val="center"/>
          </w:tcPr>
          <w:p w:rsidR="00D9225E">
            <w:pPr>
              <w:pStyle w:val="LW15"/>
            </w:pPr>
            <w:r>
              <w:rPr>
                <w:rFonts w:hint="eastAsia"/>
              </w:rPr>
              <w:t>饱和抗压强度标准值</w:t>
            </w:r>
            <w:r>
              <w:rPr>
                <w:rFonts w:hint="eastAsia"/>
              </w:rPr>
              <w:t>(Mpa)</w:t>
            </w:r>
          </w:p>
        </w:tc>
      </w:tr>
      <w:tr>
        <w:tblPrEx>
          <w:tblW w:w="10218" w:type="dxa"/>
          <w:jc w:val="center"/>
          <w:tblLayout w:type="fixed"/>
          <w:tblLook w:val="04A0"/>
        </w:tblPrEx>
        <w:trPr>
          <w:trHeight w:val="295"/>
          <w:jc w:val="center"/>
        </w:trPr>
        <w:tc>
          <w:tcPr>
            <w:tcW w:w="2461" w:type="dxa"/>
            <w:tcBorders>
              <w:tl2br w:val="nil"/>
              <w:tr2bl w:val="nil"/>
            </w:tcBorders>
            <w:vAlign w:val="center"/>
          </w:tcPr>
          <w:p w:rsidR="00D9225E">
            <w:pPr>
              <w:pStyle w:val="LW17"/>
              <w:jc w:val="center"/>
            </w:pPr>
            <w:r>
              <w:rPr>
                <w:rFonts w:hint="eastAsia"/>
              </w:rPr>
              <w:t>强风化白云岩</w:t>
            </w:r>
          </w:p>
        </w:tc>
        <w:tc>
          <w:tcPr>
            <w:tcW w:w="1873" w:type="dxa"/>
            <w:tcBorders>
              <w:tl2br w:val="nil"/>
              <w:tr2bl w:val="nil"/>
            </w:tcBorders>
            <w:vAlign w:val="center"/>
          </w:tcPr>
          <w:p w:rsidR="00D9225E">
            <w:pPr>
              <w:pStyle w:val="LW17"/>
              <w:jc w:val="center"/>
            </w:pPr>
            <w:r>
              <w:rPr>
                <w:rFonts w:hint="eastAsia"/>
              </w:rPr>
              <w:t>25.00*</w:t>
            </w:r>
          </w:p>
        </w:tc>
        <w:tc>
          <w:tcPr>
            <w:tcW w:w="1734" w:type="dxa"/>
            <w:tcBorders>
              <w:tl2br w:val="nil"/>
              <w:tr2bl w:val="nil"/>
            </w:tcBorders>
            <w:vAlign w:val="center"/>
          </w:tcPr>
          <w:p w:rsidR="00D9225E">
            <w:pPr>
              <w:pStyle w:val="LW17"/>
              <w:jc w:val="center"/>
            </w:pPr>
            <w:r>
              <w:rPr>
                <w:rFonts w:hint="eastAsia"/>
              </w:rPr>
              <w:t>/</w:t>
            </w:r>
          </w:p>
        </w:tc>
        <w:tc>
          <w:tcPr>
            <w:tcW w:w="2013" w:type="dxa"/>
            <w:tcBorders>
              <w:tl2br w:val="nil"/>
              <w:tr2bl w:val="nil"/>
            </w:tcBorders>
            <w:vAlign w:val="center"/>
          </w:tcPr>
          <w:p w:rsidR="00D9225E">
            <w:pPr>
              <w:pStyle w:val="LW17"/>
              <w:jc w:val="center"/>
            </w:pPr>
            <w:r>
              <w:rPr>
                <w:rFonts w:hint="eastAsia"/>
              </w:rPr>
              <w:t>/</w:t>
            </w:r>
          </w:p>
        </w:tc>
        <w:tc>
          <w:tcPr>
            <w:tcW w:w="2137" w:type="dxa"/>
            <w:tcBorders>
              <w:tl2br w:val="nil"/>
              <w:tr2bl w:val="nil"/>
            </w:tcBorders>
            <w:vAlign w:val="center"/>
          </w:tcPr>
          <w:p w:rsidR="00D9225E">
            <w:pPr>
              <w:pStyle w:val="LW17"/>
              <w:jc w:val="center"/>
            </w:pPr>
            <w:r>
              <w:rPr>
                <w:rFonts w:hint="eastAsia"/>
              </w:rPr>
              <w:t>/</w:t>
            </w:r>
          </w:p>
        </w:tc>
      </w:tr>
      <w:tr>
        <w:tblPrEx>
          <w:tblW w:w="10218" w:type="dxa"/>
          <w:jc w:val="center"/>
          <w:tblLayout w:type="fixed"/>
          <w:tblLook w:val="04A0"/>
        </w:tblPrEx>
        <w:trPr>
          <w:trHeight w:val="316"/>
          <w:jc w:val="center"/>
        </w:trPr>
        <w:tc>
          <w:tcPr>
            <w:tcW w:w="2461" w:type="dxa"/>
            <w:tcBorders>
              <w:tl2br w:val="nil"/>
              <w:tr2bl w:val="nil"/>
            </w:tcBorders>
            <w:vAlign w:val="center"/>
          </w:tcPr>
          <w:p w:rsidR="00D9225E">
            <w:pPr>
              <w:pStyle w:val="LW17"/>
              <w:jc w:val="center"/>
            </w:pPr>
            <w:r>
              <w:rPr>
                <w:rFonts w:hint="eastAsia"/>
              </w:rPr>
              <w:t>中等风白云岩</w:t>
            </w:r>
          </w:p>
        </w:tc>
        <w:tc>
          <w:tcPr>
            <w:tcW w:w="1873" w:type="dxa"/>
            <w:tcBorders>
              <w:tl2br w:val="nil"/>
              <w:tr2bl w:val="nil"/>
            </w:tcBorders>
            <w:vAlign w:val="center"/>
          </w:tcPr>
          <w:p w:rsidR="00D9225E">
            <w:pPr>
              <w:pStyle w:val="LW17"/>
              <w:jc w:val="center"/>
            </w:pPr>
            <w:r>
              <w:rPr>
                <w:rFonts w:hint="eastAsia"/>
              </w:rPr>
              <w:t>25.14</w:t>
            </w:r>
          </w:p>
        </w:tc>
        <w:tc>
          <w:tcPr>
            <w:tcW w:w="1734" w:type="dxa"/>
            <w:tcBorders>
              <w:tl2br w:val="nil"/>
              <w:tr2bl w:val="nil"/>
            </w:tcBorders>
            <w:vAlign w:val="center"/>
          </w:tcPr>
          <w:p w:rsidR="00D9225E">
            <w:pPr>
              <w:pStyle w:val="LW17"/>
              <w:jc w:val="center"/>
              <w:rPr>
                <w:rFonts w:ascii="Times New Roman" w:hAnsi="Times New Roman"/>
              </w:rPr>
            </w:pPr>
            <w:r>
              <w:rPr>
                <w:rFonts w:hint="eastAsia"/>
              </w:rPr>
              <w:t>25.80</w:t>
            </w:r>
          </w:p>
        </w:tc>
        <w:tc>
          <w:tcPr>
            <w:tcW w:w="2013" w:type="dxa"/>
            <w:tcBorders>
              <w:tl2br w:val="nil"/>
              <w:tr2bl w:val="nil"/>
            </w:tcBorders>
            <w:vAlign w:val="center"/>
          </w:tcPr>
          <w:p w:rsidR="00D9225E">
            <w:pPr>
              <w:pStyle w:val="LW17"/>
              <w:jc w:val="center"/>
            </w:pPr>
            <w:r>
              <w:rPr>
                <w:rFonts w:hint="eastAsia"/>
              </w:rPr>
              <w:t>12.30</w:t>
            </w:r>
          </w:p>
        </w:tc>
        <w:tc>
          <w:tcPr>
            <w:tcW w:w="2137" w:type="dxa"/>
            <w:tcBorders>
              <w:tl2br w:val="nil"/>
              <w:tr2bl w:val="nil"/>
            </w:tcBorders>
            <w:vAlign w:val="center"/>
          </w:tcPr>
          <w:p w:rsidR="00D9225E">
            <w:pPr>
              <w:pStyle w:val="LW17"/>
              <w:jc w:val="center"/>
            </w:pPr>
            <w:r>
              <w:rPr>
                <w:rFonts w:hint="eastAsia"/>
              </w:rPr>
              <w:t>9.03</w:t>
            </w:r>
          </w:p>
        </w:tc>
      </w:tr>
    </w:tbl>
    <w:p w:rsidR="00D9225E">
      <w:pPr>
        <w:pStyle w:val="LW41"/>
      </w:pPr>
      <w:r>
        <w:rPr>
          <w:rFonts w:hint="eastAsia"/>
        </w:rPr>
        <w:t>动力触探</w:t>
      </w:r>
    </w:p>
    <w:p w:rsidR="00D9225E">
      <w:pPr>
        <w:spacing w:line="360" w:lineRule="auto"/>
        <w:ind w:firstLine="480" w:firstLineChars="200"/>
        <w:rPr>
          <w:rFonts w:ascii="宋体" w:eastAsia="宋体" w:hAnsi="宋体" w:cs="Times New Roman"/>
          <w:spacing w:val="10"/>
          <w:kern w:val="0"/>
          <w:sz w:val="24"/>
          <w:szCs w:val="24"/>
          <w:lang w:val="zh-CN"/>
        </w:rPr>
      </w:pPr>
      <w:r>
        <w:rPr>
          <w:rFonts w:ascii="宋体" w:eastAsia="宋体" w:hAnsi="宋体" w:cs="Times New Roman" w:hint="eastAsia"/>
          <w:spacing w:val="10"/>
          <w:kern w:val="0"/>
          <w:sz w:val="24"/>
          <w:szCs w:val="24"/>
        </w:rPr>
        <w:t>拟建场地内填土较薄，分布不均，本次勘察未对该填土层进行现场试验，从野外调查及钻探结果分析，人工填土均匀性差，从回填年限、填料以及回填方式判断人工填土结构松散～稍密，不均匀，属欠固结土</w:t>
      </w:r>
      <w:r>
        <w:rPr>
          <w:rFonts w:ascii="宋体" w:eastAsia="宋体" w:hAnsi="宋体" w:cs="Times New Roman" w:hint="eastAsia"/>
          <w:spacing w:val="10"/>
          <w:kern w:val="0"/>
          <w:sz w:val="24"/>
          <w:szCs w:val="24"/>
          <w:lang w:val="zh-CN"/>
        </w:rPr>
        <w:t>。</w:t>
      </w:r>
    </w:p>
    <w:p w:rsidR="00D9225E">
      <w:pPr>
        <w:pStyle w:val="LW41"/>
      </w:pPr>
      <w:r>
        <w:rPr>
          <w:rFonts w:hint="eastAsia"/>
        </w:rPr>
        <w:t>岩体基本</w:t>
      </w:r>
      <w:r>
        <w:t>质量</w:t>
      </w:r>
      <w:r>
        <w:rPr>
          <w:rFonts w:hint="eastAsia"/>
        </w:rPr>
        <w:t>等级</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根据现场调查、物探测试及钻探揭露，场区中风化岩体较完整。中等风化白云岩属软岩，岩体基本质量等级划分为Ⅳ级；强风化基岩岩质较软弱，岩体破碎，基本质量等级划分为</w:t>
      </w:r>
      <w:r>
        <w:rPr>
          <w:rFonts w:ascii="宋体" w:eastAsia="宋体" w:hAnsi="宋体" w:cs="Times New Roman" w:hint="eastAsia"/>
          <w:spacing w:val="10"/>
          <w:kern w:val="0"/>
          <w:sz w:val="24"/>
          <w:szCs w:val="24"/>
        </w:rPr>
        <w:t>V</w:t>
      </w:r>
      <w:r>
        <w:rPr>
          <w:rFonts w:ascii="宋体" w:eastAsia="宋体" w:hAnsi="宋体" w:cs="Times New Roman" w:hint="eastAsia"/>
          <w:spacing w:val="10"/>
          <w:kern w:val="0"/>
          <w:sz w:val="24"/>
          <w:szCs w:val="24"/>
        </w:rPr>
        <w:t>级。</w:t>
      </w:r>
    </w:p>
    <w:p w:rsidR="00D9225E">
      <w:pPr>
        <w:pStyle w:val="LW41"/>
      </w:pPr>
      <w:r>
        <w:rPr>
          <w:rFonts w:hint="eastAsia"/>
        </w:rPr>
        <w:t>岩土物理学</w:t>
      </w:r>
      <w:r>
        <w:t>指标取值</w:t>
      </w:r>
    </w:p>
    <w:p w:rsidR="00D9225E">
      <w:pPr>
        <w:pStyle w:val="LW1"/>
        <w:ind w:firstLine="520"/>
      </w:pPr>
      <w:r>
        <w:rPr>
          <w:rFonts w:hint="eastAsia"/>
        </w:rPr>
        <w:t>素填土</w:t>
      </w:r>
    </w:p>
    <w:p w:rsidR="00D9225E">
      <w:pPr>
        <w:pStyle w:val="LW"/>
        <w:ind w:firstLine="520"/>
      </w:pPr>
      <w:r>
        <w:rPr>
          <w:rFonts w:hint="eastAsia"/>
        </w:rPr>
        <w:t>根据当地经验以及素填土的物质成分、堆填方式综合取参数经验值：天然状态：</w:t>
      </w:r>
      <w:r>
        <w:rPr>
          <w:rFonts w:hint="eastAsia"/>
        </w:rPr>
        <w:t>C</w:t>
      </w:r>
      <w:r>
        <w:rPr>
          <w:rFonts w:hint="eastAsia"/>
        </w:rPr>
        <w:t>取</w:t>
      </w:r>
      <w:r>
        <w:rPr>
          <w:rFonts w:hint="eastAsia"/>
        </w:rPr>
        <w:t>5Kpa</w:t>
      </w:r>
      <w:r>
        <w:rPr>
          <w:rFonts w:hint="eastAsia"/>
        </w:rPr>
        <w:t>，Φ取</w:t>
      </w:r>
      <w:r>
        <w:rPr>
          <w:rFonts w:hint="eastAsia"/>
        </w:rPr>
        <w:t>30</w:t>
      </w:r>
      <w:r>
        <w:rPr>
          <w:rFonts w:hint="eastAsia"/>
        </w:rPr>
        <w:t>°，γ</w:t>
      </w:r>
      <w:r>
        <w:rPr>
          <w:rFonts w:hint="eastAsia"/>
        </w:rPr>
        <w:t>=20.00kN/m</w:t>
      </w:r>
      <w:r>
        <w:rPr>
          <w:rFonts w:ascii="Calibri" w:hAnsi="Calibri" w:cs="Calibri"/>
        </w:rPr>
        <w:t>³</w:t>
      </w:r>
      <w:r>
        <w:rPr>
          <w:rFonts w:hAnsi="仿宋_GB2312" w:cs="仿宋_GB2312" w:hint="eastAsia"/>
        </w:rPr>
        <w:t>，饱和状态：</w:t>
      </w:r>
      <w:r>
        <w:rPr>
          <w:rFonts w:hint="eastAsia"/>
        </w:rPr>
        <w:t>C</w:t>
      </w:r>
      <w:r>
        <w:rPr>
          <w:rFonts w:hint="eastAsia"/>
        </w:rPr>
        <w:t>取</w:t>
      </w:r>
      <w:r>
        <w:rPr>
          <w:rFonts w:hint="eastAsia"/>
        </w:rPr>
        <w:t>2Kpa</w:t>
      </w:r>
      <w:r>
        <w:rPr>
          <w:rFonts w:hint="eastAsia"/>
        </w:rPr>
        <w:t>，Φ取</w:t>
      </w:r>
      <w:r>
        <w:rPr>
          <w:rFonts w:hint="eastAsia"/>
        </w:rPr>
        <w:t>25</w:t>
      </w:r>
      <w:r>
        <w:rPr>
          <w:rFonts w:hint="eastAsia"/>
        </w:rPr>
        <w:t>°，γ</w:t>
      </w:r>
      <w:r>
        <w:rPr>
          <w:rFonts w:hint="eastAsia"/>
        </w:rPr>
        <w:t>=20.50kN/m</w:t>
      </w:r>
      <w:r>
        <w:rPr>
          <w:rFonts w:ascii="Calibri" w:hAnsi="Calibri" w:cs="Calibri"/>
        </w:rPr>
        <w:t>³</w:t>
      </w:r>
      <w:r>
        <w:rPr>
          <w:rFonts w:hAnsi="仿宋_GB2312" w:cs="仿宋_GB2312" w:hint="eastAsia"/>
        </w:rPr>
        <w:t>。</w:t>
      </w:r>
    </w:p>
    <w:p w:rsidR="00D9225E">
      <w:pPr>
        <w:pStyle w:val="LW1"/>
        <w:ind w:firstLine="520"/>
      </w:pPr>
      <w:r>
        <w:rPr>
          <w:rFonts w:hint="eastAsia"/>
        </w:rPr>
        <w:t>红黏土</w:t>
      </w:r>
    </w:p>
    <w:p w:rsidR="00D9225E">
      <w:pPr>
        <w:pStyle w:val="LW"/>
        <w:ind w:firstLine="520"/>
      </w:pPr>
      <w:r>
        <w:rPr>
          <w:rFonts w:hint="eastAsia"/>
        </w:rPr>
        <w:t>根据红黏土室内试验统计结果结合邻近场地工程地质成果资料得到以下参数：天然抗剪强度指标</w:t>
      </w:r>
      <w:r>
        <w:rPr>
          <w:rFonts w:hint="eastAsia"/>
        </w:rPr>
        <w:t>C</w:t>
      </w:r>
      <w:r>
        <w:rPr>
          <w:rFonts w:hint="eastAsia"/>
        </w:rPr>
        <w:t>取</w:t>
      </w:r>
      <w:r>
        <w:rPr>
          <w:rFonts w:hint="eastAsia"/>
        </w:rPr>
        <w:t>37.47kPa</w:t>
      </w:r>
      <w:r>
        <w:rPr>
          <w:rFonts w:hint="eastAsia"/>
        </w:rPr>
        <w:t>，φ取</w:t>
      </w:r>
      <w:r>
        <w:rPr>
          <w:rFonts w:hint="eastAsia"/>
        </w:rPr>
        <w:t>10.04</w:t>
      </w:r>
      <w:r>
        <w:rPr>
          <w:rFonts w:hint="eastAsia"/>
        </w:rPr>
        <w:t>°；饱和抗剪强度指标</w:t>
      </w:r>
      <w:r>
        <w:rPr>
          <w:rFonts w:hint="eastAsia"/>
        </w:rPr>
        <w:t>C</w:t>
      </w:r>
      <w:r>
        <w:rPr>
          <w:rFonts w:hint="eastAsia"/>
        </w:rPr>
        <w:t>取</w:t>
      </w:r>
      <w:r>
        <w:rPr>
          <w:rFonts w:hint="eastAsia"/>
        </w:rPr>
        <w:t>25.76kPa</w:t>
      </w:r>
      <w:r>
        <w:rPr>
          <w:rFonts w:hint="eastAsia"/>
        </w:rPr>
        <w:t>，φ取</w:t>
      </w:r>
      <w:r>
        <w:rPr>
          <w:rFonts w:hint="eastAsia"/>
        </w:rPr>
        <w:t>7.75</w:t>
      </w:r>
      <w:r>
        <w:rPr>
          <w:rFonts w:hint="eastAsia"/>
        </w:rPr>
        <w:t>°，压</w:t>
      </w:r>
      <w:r>
        <w:rPr>
          <w:rFonts w:hint="eastAsia"/>
        </w:rPr>
        <w:t>缩系数</w:t>
      </w:r>
      <w:r>
        <w:rPr>
          <w:rFonts w:hint="eastAsia"/>
        </w:rPr>
        <w:t>=0.42</w:t>
      </w:r>
      <w:r>
        <w:rPr>
          <w:rFonts w:hint="eastAsia"/>
        </w:rPr>
        <w:t>，液限</w:t>
      </w:r>
      <w:r>
        <w:rPr>
          <w:rFonts w:hint="eastAsia"/>
        </w:rPr>
        <w:t>=65.75%</w:t>
      </w:r>
      <w:r>
        <w:rPr>
          <w:rFonts w:hint="eastAsia"/>
        </w:rPr>
        <w:t>，塑限</w:t>
      </w:r>
      <w:r>
        <w:rPr>
          <w:rFonts w:hint="eastAsia"/>
        </w:rPr>
        <w:t>=30.70%</w:t>
      </w:r>
      <w:r>
        <w:rPr>
          <w:rFonts w:hint="eastAsia"/>
        </w:rPr>
        <w:t>，塑性指数</w:t>
      </w:r>
      <w:r>
        <w:rPr>
          <w:rFonts w:hint="eastAsia"/>
        </w:rPr>
        <w:t>=35.04</w:t>
      </w:r>
      <w:r>
        <w:rPr>
          <w:rFonts w:hint="eastAsia"/>
        </w:rPr>
        <w:t>，液性指数</w:t>
      </w:r>
      <w:r>
        <w:rPr>
          <w:rFonts w:hint="eastAsia"/>
        </w:rPr>
        <w:t>=0.45</w:t>
      </w:r>
      <w:r>
        <w:rPr>
          <w:rFonts w:hint="eastAsia"/>
        </w:rPr>
        <w:t>。属中等压缩性可塑状红黏土。根据《工程地</w:t>
      </w:r>
      <w:r>
        <w:rPr>
          <w:rFonts w:hint="eastAsia"/>
        </w:rPr>
        <w:t>质勘察规范》</w:t>
      </w:r>
      <w:r>
        <w:rPr>
          <w:rFonts w:hint="eastAsia"/>
        </w:rPr>
        <w:t>(DBJ50/T-043-2016)</w:t>
      </w:r>
      <w:r>
        <w:rPr>
          <w:rFonts w:hint="eastAsia"/>
        </w:rPr>
        <w:t>表</w:t>
      </w:r>
      <w:r>
        <w:rPr>
          <w:rFonts w:hint="eastAsia"/>
        </w:rPr>
        <w:t>10.4.3-3</w:t>
      </w:r>
      <w:r>
        <w:rPr>
          <w:rFonts w:hint="eastAsia"/>
        </w:rPr>
        <w:t>所得，红黏土地基极限承载力标准值取</w:t>
      </w:r>
      <w:r>
        <w:rPr>
          <w:rFonts w:hint="eastAsia"/>
        </w:rPr>
        <w:t>300kpa</w:t>
      </w:r>
      <w:r>
        <w:rPr>
          <w:rFonts w:hint="eastAsia"/>
        </w:rPr>
        <w:t>，根据《建筑地基基础设计规范》（</w:t>
      </w:r>
      <w:r>
        <w:rPr>
          <w:rFonts w:hint="eastAsia"/>
        </w:rPr>
        <w:t>DBJ50-047-2016</w:t>
      </w:r>
      <w:r>
        <w:rPr>
          <w:rFonts w:hint="eastAsia"/>
        </w:rPr>
        <w:t>）</w:t>
      </w:r>
      <w:r>
        <w:rPr>
          <w:rFonts w:hint="eastAsia"/>
        </w:rPr>
        <w:t>4.2.6</w:t>
      </w:r>
      <w:r>
        <w:rPr>
          <w:rFonts w:hint="eastAsia"/>
        </w:rPr>
        <w:t>条，土质地基极限承载力分项系数取</w:t>
      </w:r>
      <w:r>
        <w:rPr>
          <w:rFonts w:hint="eastAsia"/>
        </w:rPr>
        <w:t>0.5</w:t>
      </w:r>
      <w:r>
        <w:rPr>
          <w:rFonts w:hint="eastAsia"/>
        </w:rPr>
        <w:t>，红黏土地基承载力容许值为</w:t>
      </w:r>
      <w:r>
        <w:rPr>
          <w:rFonts w:hint="eastAsia"/>
        </w:rPr>
        <w:t>150kPa</w:t>
      </w:r>
      <w:r>
        <w:rPr>
          <w:rFonts w:hint="eastAsia"/>
        </w:rPr>
        <w:t>（红黏土极限承载力平均值系查《工程地质勘察规范》</w:t>
      </w:r>
      <w:r>
        <w:rPr>
          <w:rFonts w:hint="eastAsia"/>
        </w:rPr>
        <w:t>(DBJ50/T-043-2016)</w:t>
      </w:r>
      <w:r>
        <w:rPr>
          <w:rFonts w:hint="eastAsia"/>
        </w:rPr>
        <w:t>表</w:t>
      </w:r>
      <w:r>
        <w:rPr>
          <w:rFonts w:hint="eastAsia"/>
        </w:rPr>
        <w:t>10.4.3-4</w:t>
      </w:r>
      <w:r>
        <w:rPr>
          <w:rFonts w:hint="eastAsia"/>
        </w:rPr>
        <w:t>所得。）。</w:t>
      </w:r>
    </w:p>
    <w:p w:rsidR="00D9225E">
      <w:pPr>
        <w:pStyle w:val="LW1"/>
        <w:ind w:firstLine="520"/>
      </w:pPr>
      <w:r>
        <w:rPr>
          <w:rFonts w:hint="eastAsia"/>
        </w:rPr>
        <w:t>强风化白云岩</w:t>
      </w:r>
    </w:p>
    <w:p w:rsidR="00D9225E">
      <w:pPr>
        <w:pStyle w:val="LW"/>
        <w:ind w:firstLine="520"/>
      </w:pPr>
      <w:r>
        <w:rPr>
          <w:rFonts w:hint="eastAsia"/>
        </w:rPr>
        <w:t>结合当地经验，建议地基承载力容许值取</w:t>
      </w:r>
      <w:r>
        <w:rPr>
          <w:rFonts w:hint="eastAsia"/>
        </w:rPr>
        <w:t>400kPa</w:t>
      </w:r>
      <w:r>
        <w:rPr>
          <w:rFonts w:hint="eastAsia"/>
        </w:rPr>
        <w:t>。</w:t>
      </w:r>
    </w:p>
    <w:p w:rsidR="00D9225E">
      <w:pPr>
        <w:pStyle w:val="LW1"/>
        <w:ind w:firstLine="520"/>
      </w:pPr>
      <w:r>
        <w:rPr>
          <w:rFonts w:hint="eastAsia"/>
        </w:rPr>
        <w:t>中风化白云岩</w:t>
      </w:r>
    </w:p>
    <w:p w:rsidR="00D9225E">
      <w:pPr>
        <w:spacing w:line="360" w:lineRule="auto"/>
        <w:ind w:firstLine="480" w:firstLineChars="200"/>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根据场地内中等风化石灰岩室内试验成果统计知，天然抗压强度标</w:t>
      </w:r>
      <w:r>
        <w:rPr>
          <w:rFonts w:ascii="宋体" w:eastAsia="宋体" w:hAnsi="宋体" w:cs="Times New Roman" w:hint="eastAsia"/>
          <w:spacing w:val="10"/>
          <w:kern w:val="0"/>
          <w:sz w:val="24"/>
          <w:szCs w:val="24"/>
        </w:rPr>
        <w:t>准值为</w:t>
      </w:r>
      <w:r>
        <w:rPr>
          <w:rFonts w:ascii="宋体" w:eastAsia="宋体" w:hAnsi="宋体" w:cs="Times New Roman" w:hint="eastAsia"/>
          <w:spacing w:val="10"/>
          <w:kern w:val="0"/>
          <w:sz w:val="24"/>
          <w:szCs w:val="24"/>
        </w:rPr>
        <w:t>12.03MPa</w:t>
      </w:r>
      <w:r>
        <w:rPr>
          <w:rFonts w:ascii="宋体" w:eastAsia="宋体" w:hAnsi="宋体" w:cs="Times New Roman" w:hint="eastAsia"/>
          <w:spacing w:val="10"/>
          <w:kern w:val="0"/>
          <w:sz w:val="24"/>
          <w:szCs w:val="24"/>
        </w:rPr>
        <w:t>，饱和抗压强度标准值为</w:t>
      </w:r>
      <w:r>
        <w:rPr>
          <w:rFonts w:ascii="宋体" w:eastAsia="宋体" w:hAnsi="宋体" w:cs="Times New Roman" w:hint="eastAsia"/>
          <w:spacing w:val="10"/>
          <w:kern w:val="0"/>
          <w:sz w:val="24"/>
          <w:szCs w:val="24"/>
        </w:rPr>
        <w:t>9.03MPa</w:t>
      </w:r>
      <w:r>
        <w:rPr>
          <w:rFonts w:ascii="宋体" w:eastAsia="宋体" w:hAnsi="宋体" w:cs="Times New Roman" w:hint="eastAsia"/>
          <w:spacing w:val="10"/>
          <w:kern w:val="0"/>
          <w:sz w:val="24"/>
          <w:szCs w:val="24"/>
        </w:rPr>
        <w:t>，软化系数为</w:t>
      </w:r>
      <w:r>
        <w:rPr>
          <w:rFonts w:ascii="宋体" w:eastAsia="宋体" w:hAnsi="宋体" w:cs="Times New Roman" w:hint="eastAsia"/>
          <w:spacing w:val="10"/>
          <w:kern w:val="0"/>
          <w:sz w:val="24"/>
          <w:szCs w:val="24"/>
        </w:rPr>
        <w:t>0.66</w:t>
      </w:r>
      <w:r>
        <w:rPr>
          <w:rFonts w:ascii="宋体" w:eastAsia="宋体" w:hAnsi="宋体" w:cs="Times New Roman" w:hint="eastAsia"/>
          <w:spacing w:val="10"/>
          <w:kern w:val="0"/>
          <w:sz w:val="24"/>
          <w:szCs w:val="24"/>
        </w:rPr>
        <w:t>，为软化岩石；根据前文</w:t>
      </w:r>
      <w:r>
        <w:rPr>
          <w:rFonts w:ascii="宋体" w:eastAsia="宋体" w:hAnsi="宋体" w:cs="Times New Roman" w:hint="eastAsia"/>
          <w:spacing w:val="10"/>
          <w:kern w:val="0"/>
          <w:sz w:val="24"/>
          <w:szCs w:val="24"/>
        </w:rPr>
        <w:t>2.4</w:t>
      </w:r>
      <w:r>
        <w:rPr>
          <w:rFonts w:ascii="宋体" w:eastAsia="宋体" w:hAnsi="宋体" w:cs="Times New Roman" w:hint="eastAsia"/>
          <w:spacing w:val="10"/>
          <w:kern w:val="0"/>
          <w:sz w:val="24"/>
          <w:szCs w:val="24"/>
        </w:rPr>
        <w:t>节的地质构造阐述，判定裂隙发育程度为较发育，岩体为中厚层构造（局部破碎），据《工程地质勘察规范》（</w:t>
      </w:r>
      <w:r>
        <w:rPr>
          <w:rFonts w:ascii="宋体" w:eastAsia="宋体" w:hAnsi="宋体" w:cs="Times New Roman" w:hint="eastAsia"/>
          <w:spacing w:val="10"/>
          <w:kern w:val="0"/>
          <w:sz w:val="24"/>
          <w:szCs w:val="24"/>
        </w:rPr>
        <w:t>DBJ50/T-043-2016</w:t>
      </w:r>
      <w:r>
        <w:rPr>
          <w:rFonts w:ascii="宋体" w:eastAsia="宋体" w:hAnsi="宋体" w:cs="Times New Roman" w:hint="eastAsia"/>
          <w:spacing w:val="10"/>
          <w:kern w:val="0"/>
          <w:sz w:val="24"/>
          <w:szCs w:val="24"/>
        </w:rPr>
        <w:t>）表</w:t>
      </w:r>
      <w:r>
        <w:rPr>
          <w:rFonts w:ascii="宋体" w:eastAsia="宋体" w:hAnsi="宋体" w:cs="Times New Roman" w:hint="eastAsia"/>
          <w:spacing w:val="10"/>
          <w:kern w:val="0"/>
          <w:sz w:val="24"/>
          <w:szCs w:val="24"/>
        </w:rPr>
        <w:t>3.1.6-2</w:t>
      </w:r>
      <w:r>
        <w:rPr>
          <w:rFonts w:ascii="宋体" w:eastAsia="宋体" w:hAnsi="宋体" w:cs="Times New Roman" w:hint="eastAsia"/>
          <w:spacing w:val="10"/>
          <w:kern w:val="0"/>
          <w:sz w:val="24"/>
          <w:szCs w:val="24"/>
        </w:rPr>
        <w:t>，定性判定中风化带岩体整体较完整，局部较破碎。</w:t>
      </w:r>
    </w:p>
    <w:p w:rsidR="00D9225E">
      <w:pPr>
        <w:pStyle w:val="LW1"/>
        <w:ind w:firstLine="520"/>
      </w:pPr>
      <w:r>
        <w:rPr>
          <w:rFonts w:hint="eastAsia"/>
        </w:rPr>
        <w:t>岩土物理力学参数取值原则</w:t>
      </w:r>
    </w:p>
    <w:p w:rsidR="00D9225E">
      <w:pPr>
        <w:pStyle w:val="LW"/>
        <w:ind w:firstLine="520"/>
      </w:pPr>
      <w:r>
        <w:rPr>
          <w:rFonts w:hint="eastAsia"/>
        </w:rPr>
        <w:t>①填土物理力学指标根据现场钻探结果，并结合地区经验进行取值。</w:t>
      </w:r>
    </w:p>
    <w:p w:rsidR="00D9225E">
      <w:pPr>
        <w:pStyle w:val="LW"/>
        <w:ind w:firstLine="520"/>
      </w:pPr>
      <w:r>
        <w:rPr>
          <w:rFonts w:hint="eastAsia"/>
        </w:rPr>
        <w:t>②红粘土物理力学指标根据室内试验结果取平均值。</w:t>
      </w:r>
    </w:p>
    <w:p w:rsidR="00D9225E">
      <w:pPr>
        <w:pStyle w:val="LW"/>
        <w:ind w:firstLine="520"/>
      </w:pPr>
      <w:r>
        <w:rPr>
          <w:rFonts w:hint="eastAsia"/>
        </w:rPr>
        <w:t>③岩体物理性质指标根据试验结果取平均值。</w:t>
      </w:r>
    </w:p>
    <w:p w:rsidR="00D9225E">
      <w:pPr>
        <w:pStyle w:val="LW"/>
        <w:ind w:firstLine="520"/>
      </w:pPr>
      <w:r>
        <w:rPr>
          <w:rFonts w:hint="eastAsia"/>
        </w:rPr>
        <w:t>④弹性抗力系数根据岩石试验成果并结合现行国家标准、规范及地区经验提供。</w:t>
      </w:r>
    </w:p>
    <w:p w:rsidR="00D9225E">
      <w:pPr>
        <w:pStyle w:val="LW"/>
        <w:ind w:firstLine="520"/>
      </w:pPr>
      <w:r>
        <w:rPr>
          <w:rFonts w:hint="eastAsia"/>
        </w:rPr>
        <w:t>根据以上取值原则，岩土物理力学参数取值如下表所示。</w:t>
      </w:r>
    </w:p>
    <w:p w:rsidR="00D9225E">
      <w:pPr>
        <w:pStyle w:val="LW6"/>
      </w:pPr>
      <w:r>
        <w:rPr>
          <w:rFonts w:hint="eastAsia"/>
        </w:rPr>
        <w:t>表</w:t>
      </w:r>
      <w:r>
        <w:rPr>
          <w:rFonts w:hint="eastAsia"/>
        </w:rPr>
        <w:t>4</w:t>
      </w:r>
      <w:r>
        <w:t>.2.9</w:t>
      </w:r>
      <w:r>
        <w:rPr>
          <w:rFonts w:hint="eastAsia"/>
        </w:rPr>
        <w:t>.</w:t>
      </w:r>
      <w:r>
        <w:t>6</w:t>
      </w:r>
      <w:r>
        <w:rPr>
          <w:rFonts w:hint="eastAsia"/>
        </w:rPr>
        <w:t xml:space="preserve">-1   </w:t>
      </w:r>
      <w:r>
        <w:rPr>
          <w:rFonts w:hint="eastAsia"/>
        </w:rPr>
        <w:t>岩土物理力学参数取值表</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88"/>
        <w:gridCol w:w="860"/>
        <w:gridCol w:w="757"/>
        <w:gridCol w:w="857"/>
        <w:gridCol w:w="960"/>
        <w:gridCol w:w="1089"/>
        <w:gridCol w:w="985"/>
        <w:gridCol w:w="1260"/>
      </w:tblGrid>
      <w:tr>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tblPrEx>
        <w:trPr>
          <w:trHeight w:val="90"/>
          <w:jc w:val="center"/>
        </w:trPr>
        <w:tc>
          <w:tcPr>
            <w:tcW w:w="988" w:type="dxa"/>
            <w:vMerge w:val="restart"/>
            <w:tcBorders>
              <w:tl2br w:val="nil"/>
              <w:tr2bl w:val="nil"/>
            </w:tcBorders>
            <w:vAlign w:val="center"/>
          </w:tcPr>
          <w:p w:rsidR="00D9225E">
            <w:pPr>
              <w:pStyle w:val="LW15"/>
            </w:pPr>
            <w:r>
              <w:rPr>
                <w:rFonts w:hint="eastAsia"/>
              </w:rPr>
              <w:t>岩性</w:t>
            </w:r>
          </w:p>
        </w:tc>
        <w:tc>
          <w:tcPr>
            <w:tcW w:w="860" w:type="dxa"/>
            <w:vMerge w:val="restart"/>
            <w:tcBorders>
              <w:tl2br w:val="nil"/>
              <w:tr2bl w:val="nil"/>
            </w:tcBorders>
            <w:vAlign w:val="center"/>
          </w:tcPr>
          <w:p w:rsidR="00D9225E">
            <w:pPr>
              <w:pStyle w:val="LW15"/>
            </w:pPr>
            <w:r>
              <w:rPr>
                <w:rFonts w:hint="eastAsia"/>
              </w:rPr>
              <w:t>重度</w:t>
            </w:r>
            <w:r>
              <w:rPr>
                <w:rFonts w:hint="eastAsia"/>
              </w:rPr>
              <w:t>(KN/m3)</w:t>
            </w:r>
          </w:p>
        </w:tc>
        <w:tc>
          <w:tcPr>
            <w:tcW w:w="757" w:type="dxa"/>
            <w:vMerge w:val="restart"/>
            <w:tcBorders>
              <w:tl2br w:val="nil"/>
              <w:tr2bl w:val="nil"/>
            </w:tcBorders>
            <w:vAlign w:val="center"/>
          </w:tcPr>
          <w:p w:rsidR="00D9225E">
            <w:pPr>
              <w:pStyle w:val="LW15"/>
            </w:pPr>
            <w:r>
              <w:rPr>
                <w:rFonts w:hint="eastAsia"/>
              </w:rPr>
              <w:t>天然抗</w:t>
            </w:r>
          </w:p>
          <w:p w:rsidR="00D9225E">
            <w:pPr>
              <w:pStyle w:val="LW15"/>
            </w:pPr>
            <w:r>
              <w:rPr>
                <w:rFonts w:hint="eastAsia"/>
              </w:rPr>
              <w:t>压强度</w:t>
            </w:r>
            <w:r>
              <w:rPr>
                <w:rFonts w:hint="eastAsia"/>
              </w:rPr>
              <w:t>(MPa)</w:t>
            </w:r>
          </w:p>
        </w:tc>
        <w:tc>
          <w:tcPr>
            <w:tcW w:w="857" w:type="dxa"/>
            <w:vMerge w:val="restart"/>
            <w:tcBorders>
              <w:tl2br w:val="nil"/>
              <w:tr2bl w:val="nil"/>
            </w:tcBorders>
            <w:vAlign w:val="center"/>
          </w:tcPr>
          <w:p w:rsidR="00D9225E">
            <w:pPr>
              <w:pStyle w:val="LW15"/>
            </w:pPr>
            <w:r>
              <w:rPr>
                <w:rFonts w:hint="eastAsia"/>
              </w:rPr>
              <w:t>饱和抗压强度（</w:t>
            </w:r>
            <w:r>
              <w:rPr>
                <w:rFonts w:hint="eastAsia"/>
              </w:rPr>
              <w:t>MPa</w:t>
            </w:r>
            <w:r>
              <w:rPr>
                <w:rFonts w:hint="eastAsia"/>
              </w:rPr>
              <w:t>）</w:t>
            </w:r>
          </w:p>
        </w:tc>
        <w:tc>
          <w:tcPr>
            <w:tcW w:w="2049" w:type="dxa"/>
            <w:gridSpan w:val="2"/>
            <w:tcBorders>
              <w:tl2br w:val="nil"/>
              <w:tr2bl w:val="nil"/>
            </w:tcBorders>
            <w:vAlign w:val="center"/>
          </w:tcPr>
          <w:p w:rsidR="00D9225E">
            <w:pPr>
              <w:pStyle w:val="LW15"/>
            </w:pPr>
            <w:r>
              <w:rPr>
                <w:rFonts w:hint="eastAsia"/>
              </w:rPr>
              <w:t>抗剪强度</w:t>
            </w:r>
            <w:r>
              <w:rPr>
                <w:rFonts w:hint="eastAsia"/>
              </w:rPr>
              <w:t xml:space="preserve"> </w:t>
            </w:r>
          </w:p>
        </w:tc>
        <w:tc>
          <w:tcPr>
            <w:tcW w:w="985" w:type="dxa"/>
            <w:vMerge w:val="restart"/>
            <w:tcBorders>
              <w:tl2br w:val="nil"/>
              <w:tr2bl w:val="nil"/>
            </w:tcBorders>
            <w:vAlign w:val="center"/>
          </w:tcPr>
          <w:p w:rsidR="00D9225E">
            <w:pPr>
              <w:pStyle w:val="LW15"/>
            </w:pPr>
            <w:r>
              <w:rPr>
                <w:rFonts w:hint="eastAsia"/>
              </w:rPr>
              <w:t>地基承载力容许值</w:t>
            </w:r>
            <w:r>
              <w:rPr>
                <w:rFonts w:hint="eastAsia"/>
              </w:rPr>
              <w:t>fak(kPa)</w:t>
            </w:r>
          </w:p>
        </w:tc>
        <w:tc>
          <w:tcPr>
            <w:tcW w:w="1260" w:type="dxa"/>
            <w:vMerge w:val="restart"/>
            <w:tcBorders>
              <w:tl2br w:val="nil"/>
              <w:tr2bl w:val="nil"/>
            </w:tcBorders>
            <w:vAlign w:val="center"/>
          </w:tcPr>
          <w:p w:rsidR="00D9225E">
            <w:pPr>
              <w:pStyle w:val="LW15"/>
            </w:pPr>
            <w:r>
              <w:rPr>
                <w:rFonts w:hint="eastAsia"/>
              </w:rPr>
              <w:t>土体水平抗力系数的比例系数</w:t>
            </w:r>
          </w:p>
          <w:p w:rsidR="00D9225E">
            <w:pPr>
              <w:pStyle w:val="LW15"/>
            </w:pPr>
            <w:r>
              <w:rPr>
                <w:rFonts w:hint="eastAsia"/>
              </w:rPr>
              <w:t>(MN/ m4)</w:t>
            </w:r>
          </w:p>
        </w:tc>
      </w:tr>
      <w:tr>
        <w:tblPrEx>
          <w:tblW w:w="0" w:type="auto"/>
          <w:jc w:val="center"/>
          <w:tblLayout w:type="fixed"/>
          <w:tblCellMar>
            <w:top w:w="15" w:type="dxa"/>
            <w:left w:w="15" w:type="dxa"/>
            <w:bottom w:w="15" w:type="dxa"/>
            <w:right w:w="15" w:type="dxa"/>
          </w:tblCellMar>
          <w:tblLook w:val="04A0"/>
        </w:tblPrEx>
        <w:trPr>
          <w:trHeight w:val="90"/>
          <w:jc w:val="center"/>
        </w:trPr>
        <w:tc>
          <w:tcPr>
            <w:tcW w:w="988" w:type="dxa"/>
            <w:vMerge/>
            <w:tcBorders>
              <w:tl2br w:val="nil"/>
              <w:tr2bl w:val="nil"/>
            </w:tcBorders>
            <w:vAlign w:val="center"/>
          </w:tcPr>
          <w:p w:rsidR="00D9225E">
            <w:pPr>
              <w:pStyle w:val="LW15"/>
            </w:pPr>
          </w:p>
        </w:tc>
        <w:tc>
          <w:tcPr>
            <w:tcW w:w="860" w:type="dxa"/>
            <w:vMerge/>
            <w:tcBorders>
              <w:tl2br w:val="nil"/>
              <w:tr2bl w:val="nil"/>
            </w:tcBorders>
            <w:vAlign w:val="center"/>
          </w:tcPr>
          <w:p w:rsidR="00D9225E">
            <w:pPr>
              <w:pStyle w:val="LW15"/>
            </w:pPr>
          </w:p>
        </w:tc>
        <w:tc>
          <w:tcPr>
            <w:tcW w:w="757" w:type="dxa"/>
            <w:vMerge/>
            <w:tcBorders>
              <w:tl2br w:val="nil"/>
              <w:tr2bl w:val="nil"/>
            </w:tcBorders>
            <w:vAlign w:val="center"/>
          </w:tcPr>
          <w:p w:rsidR="00D9225E">
            <w:pPr>
              <w:pStyle w:val="LW15"/>
            </w:pPr>
          </w:p>
        </w:tc>
        <w:tc>
          <w:tcPr>
            <w:tcW w:w="857" w:type="dxa"/>
            <w:vMerge/>
            <w:tcBorders>
              <w:tl2br w:val="nil"/>
              <w:tr2bl w:val="nil"/>
            </w:tcBorders>
            <w:vAlign w:val="center"/>
          </w:tcPr>
          <w:p w:rsidR="00D9225E">
            <w:pPr>
              <w:pStyle w:val="LW15"/>
            </w:pPr>
          </w:p>
        </w:tc>
        <w:tc>
          <w:tcPr>
            <w:tcW w:w="960" w:type="dxa"/>
            <w:tcBorders>
              <w:tl2br w:val="nil"/>
              <w:tr2bl w:val="nil"/>
            </w:tcBorders>
            <w:vAlign w:val="center"/>
          </w:tcPr>
          <w:p w:rsidR="00D9225E">
            <w:pPr>
              <w:pStyle w:val="LW15"/>
            </w:pPr>
            <w:r>
              <w:rPr>
                <w:rFonts w:hint="eastAsia"/>
              </w:rPr>
              <w:t>粘聚力</w:t>
            </w:r>
            <w:r>
              <w:rPr>
                <w:rFonts w:hint="eastAsia"/>
              </w:rPr>
              <w:t>kPa</w:t>
            </w:r>
          </w:p>
        </w:tc>
        <w:tc>
          <w:tcPr>
            <w:tcW w:w="1089" w:type="dxa"/>
            <w:tcBorders>
              <w:tl2br w:val="nil"/>
              <w:tr2bl w:val="nil"/>
            </w:tcBorders>
            <w:vAlign w:val="center"/>
          </w:tcPr>
          <w:p w:rsidR="00D9225E">
            <w:pPr>
              <w:pStyle w:val="LW15"/>
            </w:pPr>
            <w:r>
              <w:rPr>
                <w:rFonts w:hint="eastAsia"/>
              </w:rPr>
              <w:t>内摩擦角</w:t>
            </w:r>
            <w:r>
              <w:rPr>
                <w:rFonts w:hint="eastAsia"/>
              </w:rPr>
              <w:t>(</w:t>
            </w:r>
            <w:r>
              <w:rPr>
                <w:rFonts w:hint="eastAsia"/>
              </w:rPr>
              <w:t>°</w:t>
            </w:r>
            <w:r>
              <w:rPr>
                <w:rFonts w:hint="eastAsia"/>
              </w:rPr>
              <w:t>)</w:t>
            </w:r>
          </w:p>
        </w:tc>
        <w:tc>
          <w:tcPr>
            <w:tcW w:w="985" w:type="dxa"/>
            <w:vMerge/>
            <w:tcBorders>
              <w:tl2br w:val="nil"/>
              <w:tr2bl w:val="nil"/>
            </w:tcBorders>
            <w:vAlign w:val="center"/>
          </w:tcPr>
          <w:p w:rsidR="00D9225E">
            <w:pPr>
              <w:pStyle w:val="LW15"/>
            </w:pPr>
          </w:p>
        </w:tc>
        <w:tc>
          <w:tcPr>
            <w:tcW w:w="1260" w:type="dxa"/>
            <w:vMerge/>
            <w:tcBorders>
              <w:tl2br w:val="nil"/>
              <w:tr2bl w:val="nil"/>
            </w:tcBorders>
            <w:vAlign w:val="center"/>
          </w:tcPr>
          <w:p w:rsidR="00D9225E">
            <w:pPr>
              <w:pStyle w:val="LW15"/>
            </w:pPr>
          </w:p>
        </w:tc>
      </w:tr>
      <w:tr>
        <w:tblPrEx>
          <w:tblW w:w="0" w:type="auto"/>
          <w:jc w:val="center"/>
          <w:tblLayout w:type="fixed"/>
          <w:tblCellMar>
            <w:top w:w="15" w:type="dxa"/>
            <w:left w:w="15" w:type="dxa"/>
            <w:bottom w:w="15" w:type="dxa"/>
            <w:right w:w="15" w:type="dxa"/>
          </w:tblCellMar>
          <w:tblLook w:val="04A0"/>
        </w:tblPrEx>
        <w:trPr>
          <w:trHeight w:val="90"/>
          <w:jc w:val="center"/>
        </w:trPr>
        <w:tc>
          <w:tcPr>
            <w:tcW w:w="988" w:type="dxa"/>
            <w:tcBorders>
              <w:tl2br w:val="nil"/>
              <w:tr2bl w:val="nil"/>
            </w:tcBorders>
            <w:vAlign w:val="center"/>
          </w:tcPr>
          <w:p w:rsidR="00D9225E">
            <w:pPr>
              <w:pStyle w:val="LW15"/>
              <w:rPr>
                <w:b w:val="0"/>
                <w:bCs/>
              </w:rPr>
            </w:pPr>
            <w:r>
              <w:rPr>
                <w:rFonts w:hint="eastAsia"/>
                <w:b w:val="0"/>
                <w:bCs/>
              </w:rPr>
              <w:t>素填土</w:t>
            </w:r>
          </w:p>
        </w:tc>
        <w:tc>
          <w:tcPr>
            <w:tcW w:w="860" w:type="dxa"/>
            <w:tcBorders>
              <w:tl2br w:val="nil"/>
              <w:tr2bl w:val="nil"/>
            </w:tcBorders>
            <w:vAlign w:val="center"/>
          </w:tcPr>
          <w:p w:rsidR="00D9225E">
            <w:pPr>
              <w:pStyle w:val="LW15"/>
              <w:rPr>
                <w:b w:val="0"/>
                <w:bCs/>
              </w:rPr>
            </w:pPr>
            <w:r>
              <w:rPr>
                <w:rFonts w:hint="eastAsia"/>
                <w:b w:val="0"/>
                <w:bCs/>
              </w:rPr>
              <w:t>20.00*</w:t>
            </w:r>
          </w:p>
        </w:tc>
        <w:tc>
          <w:tcPr>
            <w:tcW w:w="757" w:type="dxa"/>
            <w:tcBorders>
              <w:tl2br w:val="nil"/>
              <w:tr2bl w:val="nil"/>
            </w:tcBorders>
            <w:vAlign w:val="center"/>
          </w:tcPr>
          <w:p w:rsidR="00D9225E">
            <w:pPr>
              <w:pStyle w:val="LW15"/>
              <w:rPr>
                <w:b w:val="0"/>
                <w:bCs/>
              </w:rPr>
            </w:pPr>
          </w:p>
        </w:tc>
        <w:tc>
          <w:tcPr>
            <w:tcW w:w="857" w:type="dxa"/>
            <w:tcBorders>
              <w:tl2br w:val="nil"/>
              <w:tr2bl w:val="nil"/>
            </w:tcBorders>
            <w:vAlign w:val="center"/>
          </w:tcPr>
          <w:p w:rsidR="00D9225E">
            <w:pPr>
              <w:pStyle w:val="LW15"/>
              <w:rPr>
                <w:b w:val="0"/>
                <w:bCs/>
              </w:rPr>
            </w:pPr>
          </w:p>
        </w:tc>
        <w:tc>
          <w:tcPr>
            <w:tcW w:w="960" w:type="dxa"/>
            <w:tcBorders>
              <w:tl2br w:val="nil"/>
              <w:tr2bl w:val="nil"/>
            </w:tcBorders>
            <w:vAlign w:val="center"/>
          </w:tcPr>
          <w:p w:rsidR="00D9225E">
            <w:pPr>
              <w:pStyle w:val="LW15"/>
              <w:rPr>
                <w:b w:val="0"/>
                <w:bCs/>
              </w:rPr>
            </w:pPr>
            <w:r>
              <w:rPr>
                <w:rFonts w:hint="eastAsia"/>
                <w:b w:val="0"/>
                <w:bCs/>
              </w:rPr>
              <w:t>5*</w:t>
            </w:r>
          </w:p>
        </w:tc>
        <w:tc>
          <w:tcPr>
            <w:tcW w:w="1089" w:type="dxa"/>
            <w:tcBorders>
              <w:tl2br w:val="nil"/>
              <w:tr2bl w:val="nil"/>
            </w:tcBorders>
            <w:vAlign w:val="center"/>
          </w:tcPr>
          <w:p w:rsidR="00D9225E">
            <w:pPr>
              <w:pStyle w:val="LW15"/>
              <w:rPr>
                <w:b w:val="0"/>
                <w:bCs/>
              </w:rPr>
            </w:pPr>
            <w:r>
              <w:rPr>
                <w:rFonts w:hint="eastAsia"/>
                <w:b w:val="0"/>
                <w:bCs/>
              </w:rPr>
              <w:t>30*</w:t>
            </w:r>
          </w:p>
        </w:tc>
        <w:tc>
          <w:tcPr>
            <w:tcW w:w="985" w:type="dxa"/>
            <w:tcBorders>
              <w:tl2br w:val="nil"/>
              <w:tr2bl w:val="nil"/>
            </w:tcBorders>
            <w:vAlign w:val="center"/>
          </w:tcPr>
          <w:p w:rsidR="00D9225E">
            <w:pPr>
              <w:pStyle w:val="LW15"/>
              <w:rPr>
                <w:b w:val="0"/>
                <w:bCs/>
              </w:rPr>
            </w:pPr>
          </w:p>
        </w:tc>
        <w:tc>
          <w:tcPr>
            <w:tcW w:w="1260" w:type="dxa"/>
            <w:tcBorders>
              <w:tl2br w:val="nil"/>
              <w:tr2bl w:val="nil"/>
            </w:tcBorders>
            <w:vAlign w:val="center"/>
          </w:tcPr>
          <w:p w:rsidR="00D9225E">
            <w:pPr>
              <w:pStyle w:val="LW15"/>
              <w:rPr>
                <w:b w:val="0"/>
                <w:bCs/>
              </w:rPr>
            </w:pPr>
            <w:r>
              <w:rPr>
                <w:rFonts w:hint="eastAsia"/>
                <w:b w:val="0"/>
                <w:bCs/>
              </w:rPr>
              <w:t>8MN/104</w:t>
            </w:r>
          </w:p>
        </w:tc>
      </w:tr>
    </w:tbl>
    <w:p>
      <w:pPr>
        <w:sectPr>
          <w:headerReference w:type="even" r:id="rId30"/>
          <w:footerReference w:type="even" r:id="rId31"/>
          <w:type w:val="nextPage"/>
          <w:pgSz w:w="23811" w:h="16838" w:orient="landscape"/>
          <w:pgMar w:top="851" w:right="851" w:bottom="3119" w:left="1985" w:header="879" w:footer="765" w:gutter="0"/>
          <w:pgNumType w:start="8"/>
          <w:cols w:num="2" w:space="425"/>
          <w:titlePg w:val="0"/>
          <w:docGrid w:type="lines" w:linePitch="312"/>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88"/>
        <w:gridCol w:w="860"/>
        <w:gridCol w:w="757"/>
        <w:gridCol w:w="857"/>
        <w:gridCol w:w="960"/>
        <w:gridCol w:w="1089"/>
        <w:gridCol w:w="985"/>
        <w:gridCol w:w="1260"/>
      </w:tblGrid>
      <w:tr>
        <w:tblPrEx>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tblPrEx>
        <w:trPr>
          <w:trHeight w:val="90"/>
          <w:jc w:val="center"/>
        </w:trPr>
        <w:tc>
          <w:tcPr>
            <w:tcW w:w="988" w:type="dxa"/>
            <w:vMerge w:val="restart"/>
            <w:tcBorders>
              <w:tl2br w:val="nil"/>
              <w:tr2bl w:val="nil"/>
            </w:tcBorders>
            <w:vAlign w:val="center"/>
          </w:tcPr>
          <w:p/>
        </w:tc>
        <w:tc>
          <w:tcPr>
            <w:tcW w:w="860" w:type="dxa"/>
            <w:tcBorders>
              <w:tl2br w:val="nil"/>
              <w:tr2bl w:val="nil"/>
            </w:tcBorders>
            <w:vAlign w:val="center"/>
          </w:tcPr>
          <w:p w:rsidR="00D9225E">
            <w:pPr>
              <w:pStyle w:val="LW15"/>
              <w:rPr>
                <w:b w:val="0"/>
                <w:bCs/>
              </w:rPr>
            </w:pPr>
            <w:r>
              <w:rPr>
                <w:rFonts w:hint="eastAsia"/>
                <w:b w:val="0"/>
                <w:bCs/>
              </w:rPr>
              <w:t>（天然）</w:t>
            </w:r>
          </w:p>
        </w:tc>
        <w:tc>
          <w:tcPr>
            <w:tcW w:w="757" w:type="dxa"/>
            <w:vMerge w:val="restart"/>
            <w:tcBorders>
              <w:tl2br w:val="nil"/>
              <w:tr2bl w:val="nil"/>
            </w:tcBorders>
            <w:vAlign w:val="center"/>
          </w:tcPr>
          <w:p/>
        </w:tc>
        <w:tc>
          <w:tcPr>
            <w:tcW w:w="857" w:type="dxa"/>
            <w:vMerge w:val="restart"/>
            <w:tcBorders>
              <w:tl2br w:val="nil"/>
              <w:tr2bl w:val="nil"/>
            </w:tcBorders>
            <w:vAlign w:val="center"/>
          </w:tcPr>
          <w:p/>
        </w:tc>
        <w:tc>
          <w:tcPr>
            <w:tcW w:w="960" w:type="dxa"/>
            <w:tcBorders>
              <w:tl2br w:val="nil"/>
              <w:tr2bl w:val="nil"/>
            </w:tcBorders>
            <w:vAlign w:val="center"/>
          </w:tcPr>
          <w:p w:rsidR="00D9225E">
            <w:pPr>
              <w:pStyle w:val="LW15"/>
              <w:rPr>
                <w:b w:val="0"/>
                <w:bCs/>
              </w:rPr>
            </w:pPr>
            <w:r>
              <w:rPr>
                <w:rFonts w:hint="eastAsia"/>
                <w:b w:val="0"/>
                <w:bCs/>
              </w:rPr>
              <w:t>（天然）</w:t>
            </w:r>
          </w:p>
        </w:tc>
        <w:tc>
          <w:tcPr>
            <w:tcW w:w="1089" w:type="dxa"/>
            <w:tcBorders>
              <w:tl2br w:val="nil"/>
              <w:tr2bl w:val="nil"/>
            </w:tcBorders>
            <w:vAlign w:val="center"/>
          </w:tcPr>
          <w:p w:rsidR="00D9225E">
            <w:pPr>
              <w:pStyle w:val="LW15"/>
              <w:rPr>
                <w:b w:val="0"/>
                <w:bCs/>
              </w:rPr>
            </w:pPr>
            <w:r>
              <w:rPr>
                <w:rFonts w:hint="eastAsia"/>
                <w:b w:val="0"/>
                <w:bCs/>
              </w:rPr>
              <w:t>（天然）</w:t>
            </w:r>
          </w:p>
        </w:tc>
        <w:tc>
          <w:tcPr>
            <w:tcW w:w="985" w:type="dxa"/>
            <w:vMerge w:val="restart"/>
            <w:tcBorders>
              <w:tl2br w:val="nil"/>
              <w:tr2bl w:val="nil"/>
            </w:tcBorders>
            <w:vAlign w:val="center"/>
          </w:tcPr>
          <w:p/>
        </w:tc>
        <w:tc>
          <w:tcPr>
            <w:tcW w:w="1260" w:type="dxa"/>
            <w:vMerge w:val="restart"/>
            <w:tcBorders>
              <w:tl2br w:val="nil"/>
              <w:tr2bl w:val="nil"/>
            </w:tcBorders>
            <w:vAlign w:val="center"/>
          </w:tcPr>
          <w:p w:rsidR="00D9225E">
            <w:pPr>
              <w:pStyle w:val="LW15"/>
              <w:rPr>
                <w:b w:val="0"/>
                <w:bCs/>
              </w:rPr>
            </w:pPr>
            <w:r>
              <w:rPr>
                <w:rFonts w:hint="eastAsia"/>
                <w:b w:val="0"/>
                <w:bCs/>
              </w:rPr>
              <w:t>*</w:t>
            </w:r>
          </w:p>
        </w:tc>
      </w:tr>
      <w:tr>
        <w:tblPrEx>
          <w:tblW w:w="0" w:type="auto"/>
          <w:jc w:val="center"/>
          <w:tblLayout w:type="fixed"/>
          <w:tblCellMar>
            <w:top w:w="15" w:type="dxa"/>
            <w:left w:w="15" w:type="dxa"/>
            <w:bottom w:w="15" w:type="dxa"/>
            <w:right w:w="15" w:type="dxa"/>
          </w:tblCellMar>
          <w:tblLook w:val="04A0"/>
        </w:tblPrEx>
        <w:trPr>
          <w:trHeight w:val="90"/>
          <w:jc w:val="center"/>
        </w:trPr>
        <w:tc>
          <w:tcPr>
            <w:tcW w:w="988" w:type="dxa"/>
            <w:vMerge/>
            <w:tcBorders>
              <w:tl2br w:val="nil"/>
              <w:tr2bl w:val="nil"/>
            </w:tcBorders>
            <w:vAlign w:val="center"/>
          </w:tcPr>
          <w:p w:rsidR="00D9225E">
            <w:pPr>
              <w:pStyle w:val="LW15"/>
              <w:rPr>
                <w:b w:val="0"/>
                <w:bCs/>
              </w:rPr>
            </w:pPr>
          </w:p>
        </w:tc>
        <w:tc>
          <w:tcPr>
            <w:tcW w:w="860" w:type="dxa"/>
            <w:tcBorders>
              <w:tl2br w:val="nil"/>
              <w:tr2bl w:val="nil"/>
            </w:tcBorders>
            <w:vAlign w:val="center"/>
          </w:tcPr>
          <w:p w:rsidR="00D9225E">
            <w:pPr>
              <w:pStyle w:val="LW15"/>
              <w:rPr>
                <w:b w:val="0"/>
                <w:bCs/>
              </w:rPr>
            </w:pPr>
            <w:r>
              <w:rPr>
                <w:rFonts w:hint="eastAsia"/>
                <w:b w:val="0"/>
                <w:bCs/>
              </w:rPr>
              <w:t>20.50*</w:t>
            </w:r>
          </w:p>
          <w:p w:rsidR="00D9225E">
            <w:pPr>
              <w:pStyle w:val="LW15"/>
              <w:rPr>
                <w:b w:val="0"/>
                <w:bCs/>
              </w:rPr>
            </w:pPr>
            <w:r>
              <w:rPr>
                <w:rFonts w:hint="eastAsia"/>
                <w:b w:val="0"/>
                <w:bCs/>
              </w:rPr>
              <w:t>（饱和）</w:t>
            </w:r>
          </w:p>
        </w:tc>
        <w:tc>
          <w:tcPr>
            <w:tcW w:w="757" w:type="dxa"/>
            <w:vMerge/>
            <w:tcBorders>
              <w:tl2br w:val="nil"/>
              <w:tr2bl w:val="nil"/>
            </w:tcBorders>
            <w:vAlign w:val="center"/>
          </w:tcPr>
          <w:p w:rsidR="00D9225E">
            <w:pPr>
              <w:pStyle w:val="LW15"/>
              <w:rPr>
                <w:b w:val="0"/>
                <w:bCs/>
              </w:rPr>
            </w:pPr>
          </w:p>
        </w:tc>
        <w:tc>
          <w:tcPr>
            <w:tcW w:w="857" w:type="dxa"/>
            <w:vMerge/>
            <w:tcBorders>
              <w:tl2br w:val="nil"/>
              <w:tr2bl w:val="nil"/>
            </w:tcBorders>
            <w:vAlign w:val="center"/>
          </w:tcPr>
          <w:p w:rsidR="00D9225E">
            <w:pPr>
              <w:pStyle w:val="LW15"/>
              <w:rPr>
                <w:b w:val="0"/>
                <w:bCs/>
              </w:rPr>
            </w:pPr>
          </w:p>
        </w:tc>
        <w:tc>
          <w:tcPr>
            <w:tcW w:w="960" w:type="dxa"/>
            <w:tcBorders>
              <w:tl2br w:val="nil"/>
              <w:tr2bl w:val="nil"/>
            </w:tcBorders>
            <w:vAlign w:val="center"/>
          </w:tcPr>
          <w:p w:rsidR="00D9225E">
            <w:pPr>
              <w:pStyle w:val="LW15"/>
              <w:rPr>
                <w:b w:val="0"/>
                <w:bCs/>
              </w:rPr>
            </w:pPr>
            <w:r>
              <w:rPr>
                <w:rFonts w:hint="eastAsia"/>
                <w:b w:val="0"/>
                <w:bCs/>
              </w:rPr>
              <w:t>2*</w:t>
            </w:r>
          </w:p>
          <w:p w:rsidR="00D9225E">
            <w:pPr>
              <w:pStyle w:val="LW15"/>
              <w:rPr>
                <w:b w:val="0"/>
                <w:bCs/>
              </w:rPr>
            </w:pPr>
            <w:r>
              <w:rPr>
                <w:rFonts w:hint="eastAsia"/>
                <w:b w:val="0"/>
                <w:bCs/>
              </w:rPr>
              <w:t>（饱和）</w:t>
            </w:r>
          </w:p>
        </w:tc>
        <w:tc>
          <w:tcPr>
            <w:tcW w:w="1089" w:type="dxa"/>
            <w:tcBorders>
              <w:tl2br w:val="nil"/>
              <w:tr2bl w:val="nil"/>
            </w:tcBorders>
            <w:vAlign w:val="center"/>
          </w:tcPr>
          <w:p w:rsidR="00D9225E">
            <w:pPr>
              <w:pStyle w:val="LW15"/>
              <w:rPr>
                <w:b w:val="0"/>
                <w:bCs/>
              </w:rPr>
            </w:pPr>
            <w:r>
              <w:rPr>
                <w:rFonts w:hint="eastAsia"/>
                <w:b w:val="0"/>
                <w:bCs/>
              </w:rPr>
              <w:t>25*</w:t>
            </w:r>
          </w:p>
          <w:p w:rsidR="00D9225E">
            <w:pPr>
              <w:pStyle w:val="LW15"/>
              <w:rPr>
                <w:b w:val="0"/>
                <w:bCs/>
              </w:rPr>
            </w:pPr>
            <w:r>
              <w:rPr>
                <w:rFonts w:hint="eastAsia"/>
                <w:b w:val="0"/>
                <w:bCs/>
              </w:rPr>
              <w:t>（饱和）</w:t>
            </w:r>
          </w:p>
        </w:tc>
        <w:tc>
          <w:tcPr>
            <w:tcW w:w="985" w:type="dxa"/>
            <w:vMerge/>
            <w:tcBorders>
              <w:tl2br w:val="nil"/>
              <w:tr2bl w:val="nil"/>
            </w:tcBorders>
            <w:vAlign w:val="center"/>
          </w:tcPr>
          <w:p w:rsidR="00D9225E">
            <w:pPr>
              <w:pStyle w:val="LW15"/>
              <w:rPr>
                <w:b w:val="0"/>
                <w:bCs/>
              </w:rPr>
            </w:pPr>
          </w:p>
        </w:tc>
        <w:tc>
          <w:tcPr>
            <w:tcW w:w="1260" w:type="dxa"/>
            <w:vMerge/>
            <w:tcBorders>
              <w:tl2br w:val="nil"/>
              <w:tr2bl w:val="nil"/>
            </w:tcBorders>
            <w:vAlign w:val="center"/>
          </w:tcPr>
          <w:p w:rsidR="00D9225E">
            <w:pPr>
              <w:pStyle w:val="LW15"/>
              <w:rPr>
                <w:b w:val="0"/>
                <w:bCs/>
              </w:rPr>
            </w:pPr>
          </w:p>
        </w:tc>
      </w:tr>
      <w:tr>
        <w:tblPrEx>
          <w:tblW w:w="0" w:type="auto"/>
          <w:jc w:val="center"/>
          <w:tblLayout w:type="fixed"/>
          <w:tblCellMar>
            <w:top w:w="15" w:type="dxa"/>
            <w:left w:w="15" w:type="dxa"/>
            <w:bottom w:w="15" w:type="dxa"/>
            <w:right w:w="15" w:type="dxa"/>
          </w:tblCellMar>
          <w:tblLook w:val="04A0"/>
        </w:tblPrEx>
        <w:trPr>
          <w:trHeight w:val="90"/>
          <w:jc w:val="center"/>
        </w:trPr>
        <w:tc>
          <w:tcPr>
            <w:tcW w:w="988" w:type="dxa"/>
            <w:vMerge w:val="restart"/>
            <w:tcBorders>
              <w:tl2br w:val="nil"/>
              <w:tr2bl w:val="nil"/>
            </w:tcBorders>
            <w:vAlign w:val="center"/>
          </w:tcPr>
          <w:p w:rsidR="00D9225E">
            <w:pPr>
              <w:pStyle w:val="LW15"/>
              <w:rPr>
                <w:b w:val="0"/>
                <w:bCs/>
              </w:rPr>
            </w:pPr>
            <w:r>
              <w:rPr>
                <w:rFonts w:hint="eastAsia"/>
                <w:b w:val="0"/>
                <w:bCs/>
              </w:rPr>
              <w:t>红黏土</w:t>
            </w:r>
          </w:p>
        </w:tc>
        <w:tc>
          <w:tcPr>
            <w:tcW w:w="860" w:type="dxa"/>
            <w:tcBorders>
              <w:tl2br w:val="nil"/>
              <w:tr2bl w:val="nil"/>
            </w:tcBorders>
            <w:vAlign w:val="center"/>
          </w:tcPr>
          <w:p w:rsidR="00D9225E">
            <w:pPr>
              <w:pStyle w:val="LW15"/>
              <w:rPr>
                <w:b w:val="0"/>
                <w:bCs/>
              </w:rPr>
            </w:pPr>
            <w:r>
              <w:rPr>
                <w:rFonts w:hint="eastAsia"/>
                <w:b w:val="0"/>
                <w:bCs/>
              </w:rPr>
              <w:t>17.0</w:t>
            </w:r>
          </w:p>
          <w:p w:rsidR="00D9225E">
            <w:pPr>
              <w:pStyle w:val="LW15"/>
              <w:rPr>
                <w:b w:val="0"/>
                <w:bCs/>
              </w:rPr>
            </w:pPr>
            <w:r>
              <w:rPr>
                <w:rFonts w:hint="eastAsia"/>
                <w:b w:val="0"/>
                <w:bCs/>
              </w:rPr>
              <w:t>（天然）</w:t>
            </w:r>
          </w:p>
        </w:tc>
        <w:tc>
          <w:tcPr>
            <w:tcW w:w="757" w:type="dxa"/>
            <w:vMerge w:val="restart"/>
            <w:tcBorders>
              <w:tl2br w:val="nil"/>
              <w:tr2bl w:val="nil"/>
            </w:tcBorders>
            <w:vAlign w:val="center"/>
          </w:tcPr>
          <w:p w:rsidR="00D9225E">
            <w:pPr>
              <w:pStyle w:val="LW15"/>
              <w:rPr>
                <w:b w:val="0"/>
                <w:bCs/>
              </w:rPr>
            </w:pPr>
          </w:p>
        </w:tc>
        <w:tc>
          <w:tcPr>
            <w:tcW w:w="857" w:type="dxa"/>
            <w:vMerge w:val="restart"/>
            <w:tcBorders>
              <w:tl2br w:val="nil"/>
              <w:tr2bl w:val="nil"/>
            </w:tcBorders>
            <w:vAlign w:val="center"/>
          </w:tcPr>
          <w:p w:rsidR="00D9225E">
            <w:pPr>
              <w:pStyle w:val="LW15"/>
              <w:rPr>
                <w:b w:val="0"/>
                <w:bCs/>
              </w:rPr>
            </w:pPr>
          </w:p>
        </w:tc>
        <w:tc>
          <w:tcPr>
            <w:tcW w:w="960" w:type="dxa"/>
            <w:tcBorders>
              <w:tl2br w:val="nil"/>
              <w:tr2bl w:val="nil"/>
            </w:tcBorders>
            <w:vAlign w:val="center"/>
          </w:tcPr>
          <w:p w:rsidR="00D9225E">
            <w:pPr>
              <w:pStyle w:val="LW15"/>
              <w:rPr>
                <w:b w:val="0"/>
                <w:bCs/>
              </w:rPr>
            </w:pPr>
            <w:r>
              <w:rPr>
                <w:rFonts w:hint="eastAsia"/>
                <w:b w:val="0"/>
                <w:bCs/>
              </w:rPr>
              <w:t>37.47</w:t>
            </w:r>
          </w:p>
          <w:p w:rsidR="00D9225E">
            <w:pPr>
              <w:pStyle w:val="LW15"/>
              <w:rPr>
                <w:b w:val="0"/>
                <w:bCs/>
              </w:rPr>
            </w:pPr>
            <w:r>
              <w:rPr>
                <w:rFonts w:hint="eastAsia"/>
                <w:b w:val="0"/>
                <w:bCs/>
              </w:rPr>
              <w:t>（天然）</w:t>
            </w:r>
          </w:p>
        </w:tc>
        <w:tc>
          <w:tcPr>
            <w:tcW w:w="1089" w:type="dxa"/>
            <w:tcBorders>
              <w:tl2br w:val="nil"/>
              <w:tr2bl w:val="nil"/>
            </w:tcBorders>
            <w:vAlign w:val="center"/>
          </w:tcPr>
          <w:p w:rsidR="00D9225E">
            <w:pPr>
              <w:pStyle w:val="LW15"/>
              <w:rPr>
                <w:b w:val="0"/>
                <w:bCs/>
              </w:rPr>
            </w:pPr>
            <w:r>
              <w:rPr>
                <w:rFonts w:hint="eastAsia"/>
                <w:b w:val="0"/>
                <w:bCs/>
              </w:rPr>
              <w:t>10.04</w:t>
            </w:r>
          </w:p>
          <w:p w:rsidR="00D9225E">
            <w:pPr>
              <w:pStyle w:val="LW15"/>
              <w:rPr>
                <w:b w:val="0"/>
                <w:bCs/>
              </w:rPr>
            </w:pPr>
            <w:r>
              <w:rPr>
                <w:rFonts w:hint="eastAsia"/>
                <w:b w:val="0"/>
                <w:bCs/>
              </w:rPr>
              <w:t>（天然）</w:t>
            </w:r>
          </w:p>
        </w:tc>
        <w:tc>
          <w:tcPr>
            <w:tcW w:w="985" w:type="dxa"/>
            <w:vMerge w:val="restart"/>
            <w:tcBorders>
              <w:tl2br w:val="nil"/>
              <w:tr2bl w:val="nil"/>
            </w:tcBorders>
            <w:vAlign w:val="center"/>
          </w:tcPr>
          <w:p w:rsidR="00D9225E">
            <w:pPr>
              <w:pStyle w:val="LW15"/>
              <w:rPr>
                <w:b w:val="0"/>
                <w:bCs/>
              </w:rPr>
            </w:pPr>
            <w:r>
              <w:rPr>
                <w:rFonts w:hint="eastAsia"/>
                <w:b w:val="0"/>
                <w:bCs/>
              </w:rPr>
              <w:t>150*</w:t>
            </w:r>
          </w:p>
        </w:tc>
        <w:tc>
          <w:tcPr>
            <w:tcW w:w="1260" w:type="dxa"/>
            <w:vMerge w:val="restart"/>
            <w:tcBorders>
              <w:tl2br w:val="nil"/>
              <w:tr2bl w:val="nil"/>
            </w:tcBorders>
            <w:vAlign w:val="center"/>
          </w:tcPr>
          <w:p w:rsidR="00D9225E">
            <w:pPr>
              <w:pStyle w:val="LW15"/>
              <w:rPr>
                <w:b w:val="0"/>
                <w:bCs/>
              </w:rPr>
            </w:pPr>
            <w:r>
              <w:rPr>
                <w:rFonts w:hint="eastAsia"/>
                <w:b w:val="0"/>
                <w:bCs/>
              </w:rPr>
              <w:t>30MN/104</w:t>
            </w:r>
          </w:p>
          <w:p w:rsidR="00D9225E">
            <w:pPr>
              <w:pStyle w:val="LW15"/>
              <w:rPr>
                <w:b w:val="0"/>
                <w:bCs/>
              </w:rPr>
            </w:pPr>
            <w:r>
              <w:rPr>
                <w:rFonts w:hint="eastAsia"/>
                <w:b w:val="0"/>
                <w:bCs/>
              </w:rPr>
              <w:t>*</w:t>
            </w:r>
          </w:p>
        </w:tc>
      </w:tr>
      <w:tr>
        <w:tblPrEx>
          <w:tblW w:w="0" w:type="auto"/>
          <w:jc w:val="center"/>
          <w:tblLayout w:type="fixed"/>
          <w:tblCellMar>
            <w:top w:w="15" w:type="dxa"/>
            <w:left w:w="15" w:type="dxa"/>
            <w:bottom w:w="15" w:type="dxa"/>
            <w:right w:w="15" w:type="dxa"/>
          </w:tblCellMar>
          <w:tblLook w:val="04A0"/>
        </w:tblPrEx>
        <w:trPr>
          <w:trHeight w:val="90"/>
          <w:jc w:val="center"/>
        </w:trPr>
        <w:tc>
          <w:tcPr>
            <w:tcW w:w="988" w:type="dxa"/>
            <w:vMerge/>
            <w:tcBorders>
              <w:tl2br w:val="nil"/>
              <w:tr2bl w:val="nil"/>
            </w:tcBorders>
            <w:vAlign w:val="center"/>
          </w:tcPr>
          <w:p w:rsidR="00D9225E">
            <w:pPr>
              <w:pStyle w:val="LW15"/>
              <w:rPr>
                <w:b w:val="0"/>
                <w:bCs/>
              </w:rPr>
            </w:pPr>
          </w:p>
        </w:tc>
        <w:tc>
          <w:tcPr>
            <w:tcW w:w="860" w:type="dxa"/>
            <w:tcBorders>
              <w:tl2br w:val="nil"/>
              <w:tr2bl w:val="nil"/>
            </w:tcBorders>
            <w:vAlign w:val="center"/>
          </w:tcPr>
          <w:p w:rsidR="00D9225E">
            <w:pPr>
              <w:pStyle w:val="LW15"/>
              <w:rPr>
                <w:b w:val="0"/>
                <w:bCs/>
              </w:rPr>
            </w:pPr>
            <w:r>
              <w:rPr>
                <w:rFonts w:hint="eastAsia"/>
                <w:b w:val="0"/>
                <w:bCs/>
              </w:rPr>
              <w:t>17.2</w:t>
            </w:r>
          </w:p>
          <w:p w:rsidR="00D9225E">
            <w:pPr>
              <w:pStyle w:val="LW15"/>
              <w:rPr>
                <w:b w:val="0"/>
                <w:bCs/>
              </w:rPr>
            </w:pPr>
            <w:r>
              <w:rPr>
                <w:rFonts w:hint="eastAsia"/>
                <w:b w:val="0"/>
                <w:bCs/>
              </w:rPr>
              <w:t>（饱和）</w:t>
            </w:r>
          </w:p>
        </w:tc>
        <w:tc>
          <w:tcPr>
            <w:tcW w:w="757" w:type="dxa"/>
            <w:vMerge/>
            <w:tcBorders>
              <w:tl2br w:val="nil"/>
              <w:tr2bl w:val="nil"/>
            </w:tcBorders>
            <w:vAlign w:val="center"/>
          </w:tcPr>
          <w:p w:rsidR="00D9225E">
            <w:pPr>
              <w:pStyle w:val="LW15"/>
              <w:rPr>
                <w:b w:val="0"/>
                <w:bCs/>
              </w:rPr>
            </w:pPr>
          </w:p>
        </w:tc>
        <w:tc>
          <w:tcPr>
            <w:tcW w:w="857" w:type="dxa"/>
            <w:vMerge/>
            <w:tcBorders>
              <w:tl2br w:val="nil"/>
              <w:tr2bl w:val="nil"/>
            </w:tcBorders>
            <w:vAlign w:val="center"/>
          </w:tcPr>
          <w:p w:rsidR="00D9225E">
            <w:pPr>
              <w:pStyle w:val="LW15"/>
              <w:rPr>
                <w:b w:val="0"/>
                <w:bCs/>
              </w:rPr>
            </w:pPr>
          </w:p>
        </w:tc>
        <w:tc>
          <w:tcPr>
            <w:tcW w:w="960" w:type="dxa"/>
            <w:tcBorders>
              <w:tl2br w:val="nil"/>
              <w:tr2bl w:val="nil"/>
            </w:tcBorders>
            <w:vAlign w:val="center"/>
          </w:tcPr>
          <w:p w:rsidR="00D9225E">
            <w:pPr>
              <w:pStyle w:val="LW15"/>
              <w:rPr>
                <w:b w:val="0"/>
                <w:bCs/>
              </w:rPr>
            </w:pPr>
            <w:r>
              <w:rPr>
                <w:rFonts w:hint="eastAsia"/>
                <w:b w:val="0"/>
                <w:bCs/>
              </w:rPr>
              <w:t>25.76</w:t>
            </w:r>
          </w:p>
          <w:p w:rsidR="00D9225E">
            <w:pPr>
              <w:pStyle w:val="LW15"/>
              <w:rPr>
                <w:b w:val="0"/>
                <w:bCs/>
              </w:rPr>
            </w:pPr>
            <w:r>
              <w:rPr>
                <w:rFonts w:hint="eastAsia"/>
                <w:b w:val="0"/>
                <w:bCs/>
              </w:rPr>
              <w:t>（</w:t>
            </w:r>
            <w:r>
              <w:rPr>
                <w:rFonts w:hint="eastAsia"/>
                <w:b w:val="0"/>
                <w:bCs/>
              </w:rPr>
              <w:t xml:space="preserve"> </w:t>
            </w:r>
            <w:r>
              <w:rPr>
                <w:rFonts w:hint="eastAsia"/>
                <w:b w:val="0"/>
                <w:bCs/>
              </w:rPr>
              <w:t>饱和）</w:t>
            </w:r>
          </w:p>
        </w:tc>
        <w:tc>
          <w:tcPr>
            <w:tcW w:w="1089" w:type="dxa"/>
            <w:tcBorders>
              <w:tl2br w:val="nil"/>
              <w:tr2bl w:val="nil"/>
            </w:tcBorders>
            <w:vAlign w:val="center"/>
          </w:tcPr>
          <w:p w:rsidR="00D9225E">
            <w:pPr>
              <w:pStyle w:val="LW15"/>
              <w:rPr>
                <w:b w:val="0"/>
                <w:bCs/>
              </w:rPr>
            </w:pPr>
            <w:r>
              <w:rPr>
                <w:rFonts w:hint="eastAsia"/>
                <w:b w:val="0"/>
                <w:bCs/>
              </w:rPr>
              <w:t>7.75</w:t>
            </w:r>
          </w:p>
          <w:p w:rsidR="00D9225E">
            <w:pPr>
              <w:pStyle w:val="LW15"/>
              <w:rPr>
                <w:b w:val="0"/>
                <w:bCs/>
              </w:rPr>
            </w:pPr>
            <w:r>
              <w:rPr>
                <w:rFonts w:hint="eastAsia"/>
                <w:b w:val="0"/>
                <w:bCs/>
              </w:rPr>
              <w:t>（饱和）</w:t>
            </w:r>
          </w:p>
        </w:tc>
        <w:tc>
          <w:tcPr>
            <w:tcW w:w="985" w:type="dxa"/>
            <w:vMerge/>
            <w:tcBorders>
              <w:tl2br w:val="nil"/>
              <w:tr2bl w:val="nil"/>
            </w:tcBorders>
            <w:vAlign w:val="center"/>
          </w:tcPr>
          <w:p w:rsidR="00D9225E">
            <w:pPr>
              <w:pStyle w:val="LW15"/>
              <w:rPr>
                <w:b w:val="0"/>
                <w:bCs/>
              </w:rPr>
            </w:pPr>
          </w:p>
        </w:tc>
        <w:tc>
          <w:tcPr>
            <w:tcW w:w="1260" w:type="dxa"/>
            <w:vMerge/>
            <w:tcBorders>
              <w:tl2br w:val="nil"/>
              <w:tr2bl w:val="nil"/>
            </w:tcBorders>
            <w:vAlign w:val="center"/>
          </w:tcPr>
          <w:p w:rsidR="00D9225E">
            <w:pPr>
              <w:pStyle w:val="LW15"/>
              <w:rPr>
                <w:b w:val="0"/>
                <w:bCs/>
              </w:rPr>
            </w:pPr>
          </w:p>
        </w:tc>
      </w:tr>
      <w:tr>
        <w:tblPrEx>
          <w:tblW w:w="0" w:type="auto"/>
          <w:jc w:val="center"/>
          <w:tblLayout w:type="fixed"/>
          <w:tblCellMar>
            <w:top w:w="15" w:type="dxa"/>
            <w:left w:w="15" w:type="dxa"/>
            <w:bottom w:w="15" w:type="dxa"/>
            <w:right w:w="15" w:type="dxa"/>
          </w:tblCellMar>
          <w:tblLook w:val="04A0"/>
        </w:tblPrEx>
        <w:trPr>
          <w:trHeight w:val="90"/>
          <w:jc w:val="center"/>
        </w:trPr>
        <w:tc>
          <w:tcPr>
            <w:tcW w:w="988" w:type="dxa"/>
            <w:tcBorders>
              <w:tl2br w:val="nil"/>
              <w:tr2bl w:val="nil"/>
            </w:tcBorders>
            <w:vAlign w:val="center"/>
          </w:tcPr>
          <w:p w:rsidR="00D9225E">
            <w:pPr>
              <w:pStyle w:val="LW15"/>
              <w:rPr>
                <w:b w:val="0"/>
                <w:bCs/>
              </w:rPr>
            </w:pPr>
            <w:r>
              <w:rPr>
                <w:rFonts w:hint="eastAsia"/>
                <w:b w:val="0"/>
                <w:bCs/>
              </w:rPr>
              <w:t>强风化灰岩</w:t>
            </w:r>
          </w:p>
        </w:tc>
        <w:tc>
          <w:tcPr>
            <w:tcW w:w="860" w:type="dxa"/>
            <w:tcBorders>
              <w:tl2br w:val="nil"/>
              <w:tr2bl w:val="nil"/>
            </w:tcBorders>
            <w:vAlign w:val="center"/>
          </w:tcPr>
          <w:p w:rsidR="00D9225E">
            <w:pPr>
              <w:pStyle w:val="LW15"/>
              <w:rPr>
                <w:b w:val="0"/>
                <w:bCs/>
              </w:rPr>
            </w:pPr>
            <w:r>
              <w:rPr>
                <w:rFonts w:hint="eastAsia"/>
                <w:b w:val="0"/>
                <w:bCs/>
              </w:rPr>
              <w:t>25.00*</w:t>
            </w:r>
          </w:p>
          <w:p w:rsidR="00D9225E">
            <w:pPr>
              <w:pStyle w:val="LW15"/>
              <w:rPr>
                <w:b w:val="0"/>
                <w:bCs/>
              </w:rPr>
            </w:pPr>
            <w:r>
              <w:rPr>
                <w:rFonts w:hint="eastAsia"/>
                <w:b w:val="0"/>
                <w:bCs/>
              </w:rPr>
              <w:t>（天然）</w:t>
            </w:r>
          </w:p>
        </w:tc>
        <w:tc>
          <w:tcPr>
            <w:tcW w:w="757" w:type="dxa"/>
            <w:tcBorders>
              <w:tl2br w:val="nil"/>
              <w:tr2bl w:val="nil"/>
            </w:tcBorders>
            <w:vAlign w:val="center"/>
          </w:tcPr>
          <w:p w:rsidR="00D9225E">
            <w:pPr>
              <w:pStyle w:val="LW15"/>
              <w:rPr>
                <w:b w:val="0"/>
                <w:bCs/>
              </w:rPr>
            </w:pPr>
          </w:p>
        </w:tc>
        <w:tc>
          <w:tcPr>
            <w:tcW w:w="857" w:type="dxa"/>
            <w:tcBorders>
              <w:tl2br w:val="nil"/>
              <w:tr2bl w:val="nil"/>
            </w:tcBorders>
            <w:vAlign w:val="center"/>
          </w:tcPr>
          <w:p w:rsidR="00D9225E">
            <w:pPr>
              <w:pStyle w:val="LW15"/>
              <w:rPr>
                <w:b w:val="0"/>
                <w:bCs/>
              </w:rPr>
            </w:pPr>
          </w:p>
        </w:tc>
        <w:tc>
          <w:tcPr>
            <w:tcW w:w="960" w:type="dxa"/>
            <w:tcBorders>
              <w:tl2br w:val="nil"/>
              <w:tr2bl w:val="nil"/>
            </w:tcBorders>
            <w:vAlign w:val="center"/>
          </w:tcPr>
          <w:p w:rsidR="00D9225E">
            <w:pPr>
              <w:pStyle w:val="LW15"/>
              <w:rPr>
                <w:b w:val="0"/>
                <w:bCs/>
              </w:rPr>
            </w:pPr>
            <w:r>
              <w:rPr>
                <w:rFonts w:hint="eastAsia"/>
                <w:b w:val="0"/>
                <w:bCs/>
              </w:rPr>
              <w:t>/</w:t>
            </w:r>
          </w:p>
        </w:tc>
        <w:tc>
          <w:tcPr>
            <w:tcW w:w="1089" w:type="dxa"/>
            <w:tcBorders>
              <w:tl2br w:val="nil"/>
              <w:tr2bl w:val="nil"/>
            </w:tcBorders>
            <w:vAlign w:val="center"/>
          </w:tcPr>
          <w:p w:rsidR="00D9225E">
            <w:pPr>
              <w:pStyle w:val="LW15"/>
              <w:rPr>
                <w:b w:val="0"/>
                <w:bCs/>
              </w:rPr>
            </w:pPr>
            <w:r>
              <w:rPr>
                <w:rFonts w:hint="eastAsia"/>
                <w:b w:val="0"/>
                <w:bCs/>
              </w:rPr>
              <w:t>/</w:t>
            </w:r>
          </w:p>
        </w:tc>
        <w:tc>
          <w:tcPr>
            <w:tcW w:w="985" w:type="dxa"/>
            <w:tcBorders>
              <w:tl2br w:val="nil"/>
              <w:tr2bl w:val="nil"/>
            </w:tcBorders>
            <w:vAlign w:val="center"/>
          </w:tcPr>
          <w:p w:rsidR="00D9225E">
            <w:pPr>
              <w:pStyle w:val="LW15"/>
              <w:rPr>
                <w:b w:val="0"/>
                <w:bCs/>
              </w:rPr>
            </w:pPr>
            <w:r>
              <w:rPr>
                <w:rFonts w:hint="eastAsia"/>
                <w:b w:val="0"/>
                <w:bCs/>
              </w:rPr>
              <w:t>400*</w:t>
            </w:r>
          </w:p>
        </w:tc>
        <w:tc>
          <w:tcPr>
            <w:tcW w:w="1260" w:type="dxa"/>
            <w:tcBorders>
              <w:tl2br w:val="nil"/>
              <w:tr2bl w:val="nil"/>
            </w:tcBorders>
            <w:vAlign w:val="center"/>
          </w:tcPr>
          <w:p w:rsidR="00D9225E">
            <w:pPr>
              <w:pStyle w:val="LW15"/>
              <w:rPr>
                <w:b w:val="0"/>
                <w:bCs/>
              </w:rPr>
            </w:pPr>
          </w:p>
        </w:tc>
      </w:tr>
      <w:tr>
        <w:tblPrEx>
          <w:tblW w:w="0" w:type="auto"/>
          <w:jc w:val="center"/>
          <w:tblLayout w:type="fixed"/>
          <w:tblCellMar>
            <w:top w:w="15" w:type="dxa"/>
            <w:left w:w="15" w:type="dxa"/>
            <w:bottom w:w="15" w:type="dxa"/>
            <w:right w:w="15" w:type="dxa"/>
          </w:tblCellMar>
          <w:tblLook w:val="04A0"/>
        </w:tblPrEx>
        <w:trPr>
          <w:trHeight w:val="90"/>
          <w:jc w:val="center"/>
        </w:trPr>
        <w:tc>
          <w:tcPr>
            <w:tcW w:w="988" w:type="dxa"/>
            <w:vMerge w:val="restart"/>
            <w:tcBorders>
              <w:tl2br w:val="nil"/>
              <w:tr2bl w:val="nil"/>
            </w:tcBorders>
            <w:vAlign w:val="center"/>
          </w:tcPr>
          <w:p w:rsidR="00D9225E">
            <w:pPr>
              <w:pStyle w:val="LW15"/>
              <w:rPr>
                <w:b w:val="0"/>
                <w:bCs/>
              </w:rPr>
            </w:pPr>
            <w:r>
              <w:rPr>
                <w:rFonts w:hint="eastAsia"/>
                <w:b w:val="0"/>
                <w:bCs/>
              </w:rPr>
              <w:t>中风化灰岩</w:t>
            </w:r>
          </w:p>
        </w:tc>
        <w:tc>
          <w:tcPr>
            <w:tcW w:w="860" w:type="dxa"/>
            <w:tcBorders>
              <w:tl2br w:val="nil"/>
              <w:tr2bl w:val="nil"/>
            </w:tcBorders>
            <w:vAlign w:val="center"/>
          </w:tcPr>
          <w:p w:rsidR="00D9225E">
            <w:pPr>
              <w:pStyle w:val="LW15"/>
              <w:rPr>
                <w:b w:val="0"/>
                <w:bCs/>
              </w:rPr>
            </w:pPr>
            <w:r>
              <w:rPr>
                <w:rFonts w:hint="eastAsia"/>
                <w:b w:val="0"/>
                <w:bCs/>
              </w:rPr>
              <w:t>25.14</w:t>
            </w:r>
          </w:p>
          <w:p w:rsidR="00D9225E">
            <w:pPr>
              <w:pStyle w:val="LW15"/>
              <w:rPr>
                <w:b w:val="0"/>
                <w:bCs/>
              </w:rPr>
            </w:pPr>
            <w:r>
              <w:rPr>
                <w:rFonts w:hint="eastAsia"/>
                <w:b w:val="0"/>
                <w:bCs/>
              </w:rPr>
              <w:t>（天然）</w:t>
            </w:r>
          </w:p>
        </w:tc>
        <w:tc>
          <w:tcPr>
            <w:tcW w:w="757" w:type="dxa"/>
            <w:vMerge w:val="restart"/>
            <w:tcBorders>
              <w:tl2br w:val="nil"/>
              <w:tr2bl w:val="nil"/>
            </w:tcBorders>
            <w:vAlign w:val="center"/>
          </w:tcPr>
          <w:p w:rsidR="00D9225E">
            <w:pPr>
              <w:pStyle w:val="LW15"/>
              <w:rPr>
                <w:b w:val="0"/>
                <w:bCs/>
              </w:rPr>
            </w:pPr>
            <w:r>
              <w:rPr>
                <w:rFonts w:hint="eastAsia"/>
                <w:b w:val="0"/>
                <w:bCs/>
              </w:rPr>
              <w:t>12.03</w:t>
            </w:r>
          </w:p>
        </w:tc>
        <w:tc>
          <w:tcPr>
            <w:tcW w:w="857" w:type="dxa"/>
            <w:vMerge w:val="restart"/>
            <w:tcBorders>
              <w:tl2br w:val="nil"/>
              <w:tr2bl w:val="nil"/>
            </w:tcBorders>
            <w:vAlign w:val="center"/>
          </w:tcPr>
          <w:p w:rsidR="00D9225E">
            <w:pPr>
              <w:pStyle w:val="LW15"/>
              <w:rPr>
                <w:b w:val="0"/>
                <w:bCs/>
              </w:rPr>
            </w:pPr>
            <w:r>
              <w:rPr>
                <w:rFonts w:hint="eastAsia"/>
                <w:b w:val="0"/>
                <w:bCs/>
              </w:rPr>
              <w:t>9.03</w:t>
            </w:r>
          </w:p>
        </w:tc>
        <w:tc>
          <w:tcPr>
            <w:tcW w:w="960" w:type="dxa"/>
            <w:vMerge w:val="restart"/>
            <w:tcBorders>
              <w:tl2br w:val="nil"/>
              <w:tr2bl w:val="nil"/>
            </w:tcBorders>
            <w:vAlign w:val="center"/>
          </w:tcPr>
          <w:p w:rsidR="00D9225E">
            <w:pPr>
              <w:pStyle w:val="LW15"/>
              <w:rPr>
                <w:b w:val="0"/>
                <w:bCs/>
              </w:rPr>
            </w:pPr>
            <w:r>
              <w:rPr>
                <w:rFonts w:hint="eastAsia"/>
                <w:b w:val="0"/>
                <w:bCs/>
              </w:rPr>
              <w:t>800</w:t>
            </w:r>
            <w:r>
              <w:rPr>
                <w:rFonts w:hint="eastAsia"/>
                <w:b w:val="0"/>
                <w:bCs/>
              </w:rPr>
              <w:t>*</w:t>
            </w:r>
          </w:p>
        </w:tc>
        <w:tc>
          <w:tcPr>
            <w:tcW w:w="1089" w:type="dxa"/>
            <w:vMerge w:val="restart"/>
            <w:tcBorders>
              <w:tl2br w:val="nil"/>
              <w:tr2bl w:val="nil"/>
            </w:tcBorders>
            <w:vAlign w:val="center"/>
          </w:tcPr>
          <w:p w:rsidR="00D9225E">
            <w:pPr>
              <w:pStyle w:val="LW15"/>
              <w:rPr>
                <w:b w:val="0"/>
                <w:bCs/>
              </w:rPr>
            </w:pPr>
            <w:r>
              <w:rPr>
                <w:rFonts w:hint="eastAsia"/>
                <w:b w:val="0"/>
                <w:bCs/>
              </w:rPr>
              <w:t>32</w:t>
            </w:r>
            <w:r>
              <w:rPr>
                <w:rFonts w:hint="eastAsia"/>
                <w:b w:val="0"/>
                <w:bCs/>
              </w:rPr>
              <w:t>*</w:t>
            </w:r>
          </w:p>
        </w:tc>
        <w:tc>
          <w:tcPr>
            <w:tcW w:w="985" w:type="dxa"/>
            <w:vMerge w:val="restart"/>
            <w:tcBorders>
              <w:tl2br w:val="nil"/>
              <w:tr2bl w:val="nil"/>
            </w:tcBorders>
            <w:vAlign w:val="center"/>
          </w:tcPr>
          <w:p w:rsidR="00D9225E">
            <w:pPr>
              <w:pStyle w:val="LW15"/>
              <w:rPr>
                <w:b w:val="0"/>
                <w:bCs/>
              </w:rPr>
            </w:pPr>
            <w:r>
              <w:rPr>
                <w:rFonts w:hint="eastAsia"/>
                <w:b w:val="0"/>
                <w:bCs/>
              </w:rPr>
              <w:t>3612</w:t>
            </w:r>
          </w:p>
        </w:tc>
        <w:tc>
          <w:tcPr>
            <w:tcW w:w="1260" w:type="dxa"/>
            <w:vMerge w:val="restart"/>
            <w:tcBorders>
              <w:tl2br w:val="nil"/>
              <w:tr2bl w:val="nil"/>
            </w:tcBorders>
            <w:vAlign w:val="center"/>
          </w:tcPr>
          <w:p w:rsidR="00D9225E">
            <w:pPr>
              <w:pStyle w:val="LW15"/>
              <w:rPr>
                <w:b w:val="0"/>
                <w:bCs/>
              </w:rPr>
            </w:pPr>
          </w:p>
        </w:tc>
      </w:tr>
      <w:tr>
        <w:tblPrEx>
          <w:tblW w:w="0" w:type="auto"/>
          <w:jc w:val="center"/>
          <w:tblLayout w:type="fixed"/>
          <w:tblCellMar>
            <w:top w:w="15" w:type="dxa"/>
            <w:left w:w="15" w:type="dxa"/>
            <w:bottom w:w="15" w:type="dxa"/>
            <w:right w:w="15" w:type="dxa"/>
          </w:tblCellMar>
          <w:tblLook w:val="04A0"/>
        </w:tblPrEx>
        <w:trPr>
          <w:trHeight w:val="90"/>
          <w:jc w:val="center"/>
        </w:trPr>
        <w:tc>
          <w:tcPr>
            <w:tcW w:w="988" w:type="dxa"/>
            <w:vMerge/>
            <w:tcBorders>
              <w:tl2br w:val="nil"/>
              <w:tr2bl w:val="nil"/>
            </w:tcBorders>
            <w:vAlign w:val="center"/>
          </w:tcPr>
          <w:p w:rsidR="00D9225E">
            <w:pPr>
              <w:pStyle w:val="LW15"/>
            </w:pPr>
          </w:p>
        </w:tc>
        <w:tc>
          <w:tcPr>
            <w:tcW w:w="860" w:type="dxa"/>
            <w:tcBorders>
              <w:tl2br w:val="nil"/>
              <w:tr2bl w:val="nil"/>
            </w:tcBorders>
            <w:vAlign w:val="center"/>
          </w:tcPr>
          <w:p w:rsidR="00D9225E">
            <w:pPr>
              <w:pStyle w:val="LW15"/>
              <w:rPr>
                <w:b w:val="0"/>
                <w:bCs/>
              </w:rPr>
            </w:pPr>
            <w:r>
              <w:rPr>
                <w:rFonts w:hint="eastAsia"/>
                <w:b w:val="0"/>
                <w:bCs/>
              </w:rPr>
              <w:t>25.80</w:t>
            </w:r>
          </w:p>
          <w:p w:rsidR="00D9225E">
            <w:pPr>
              <w:pStyle w:val="LW15"/>
            </w:pPr>
            <w:r>
              <w:rPr>
                <w:rFonts w:hint="eastAsia"/>
                <w:b w:val="0"/>
                <w:bCs/>
              </w:rPr>
              <w:t>（饱和）</w:t>
            </w:r>
          </w:p>
        </w:tc>
        <w:tc>
          <w:tcPr>
            <w:tcW w:w="757" w:type="dxa"/>
            <w:vMerge/>
            <w:tcBorders>
              <w:tl2br w:val="nil"/>
              <w:tr2bl w:val="nil"/>
            </w:tcBorders>
            <w:vAlign w:val="center"/>
          </w:tcPr>
          <w:p w:rsidR="00D9225E">
            <w:pPr>
              <w:pStyle w:val="LW15"/>
            </w:pPr>
          </w:p>
        </w:tc>
        <w:tc>
          <w:tcPr>
            <w:tcW w:w="857" w:type="dxa"/>
            <w:vMerge/>
            <w:tcBorders>
              <w:tl2br w:val="nil"/>
              <w:tr2bl w:val="nil"/>
            </w:tcBorders>
            <w:vAlign w:val="center"/>
          </w:tcPr>
          <w:p w:rsidR="00D9225E">
            <w:pPr>
              <w:pStyle w:val="LW15"/>
            </w:pPr>
          </w:p>
        </w:tc>
        <w:tc>
          <w:tcPr>
            <w:tcW w:w="960" w:type="dxa"/>
            <w:vMerge/>
            <w:tcBorders>
              <w:tl2br w:val="nil"/>
              <w:tr2bl w:val="nil"/>
            </w:tcBorders>
            <w:vAlign w:val="center"/>
          </w:tcPr>
          <w:p w:rsidR="00D9225E">
            <w:pPr>
              <w:pStyle w:val="LW15"/>
            </w:pPr>
          </w:p>
        </w:tc>
        <w:tc>
          <w:tcPr>
            <w:tcW w:w="1089" w:type="dxa"/>
            <w:vMerge/>
            <w:tcBorders>
              <w:tl2br w:val="nil"/>
              <w:tr2bl w:val="nil"/>
            </w:tcBorders>
            <w:vAlign w:val="center"/>
          </w:tcPr>
          <w:p w:rsidR="00D9225E">
            <w:pPr>
              <w:pStyle w:val="LW15"/>
            </w:pPr>
          </w:p>
        </w:tc>
        <w:tc>
          <w:tcPr>
            <w:tcW w:w="985" w:type="dxa"/>
            <w:vMerge/>
            <w:tcBorders>
              <w:tl2br w:val="nil"/>
              <w:tr2bl w:val="nil"/>
            </w:tcBorders>
            <w:vAlign w:val="center"/>
          </w:tcPr>
          <w:p w:rsidR="00D9225E">
            <w:pPr>
              <w:pStyle w:val="LW15"/>
            </w:pPr>
          </w:p>
        </w:tc>
        <w:tc>
          <w:tcPr>
            <w:tcW w:w="1260" w:type="dxa"/>
            <w:vMerge/>
            <w:tcBorders>
              <w:tl2br w:val="nil"/>
              <w:tr2bl w:val="nil"/>
            </w:tcBorders>
            <w:vAlign w:val="center"/>
          </w:tcPr>
          <w:p w:rsidR="00D9225E">
            <w:pPr>
              <w:pStyle w:val="LW15"/>
            </w:pPr>
          </w:p>
        </w:tc>
      </w:tr>
    </w:tbl>
    <w:p w:rsidR="00D9225E">
      <w:pPr>
        <w:pStyle w:val="LW19"/>
        <w:rPr>
          <w:kern w:val="2"/>
        </w:rPr>
      </w:pPr>
      <w:r>
        <w:rPr>
          <w:rFonts w:hint="eastAsia"/>
        </w:rPr>
        <w:t>注：（</w:t>
      </w:r>
      <w:r>
        <w:rPr>
          <w:rFonts w:hint="eastAsia"/>
        </w:rPr>
        <w:t>1</w:t>
      </w:r>
      <w:r>
        <w:rPr>
          <w:rFonts w:hint="eastAsia"/>
        </w:rPr>
        <w:t>）带“</w:t>
      </w:r>
      <w:r>
        <w:rPr>
          <w:rFonts w:hint="eastAsia"/>
        </w:rPr>
        <w:t>*</w:t>
      </w:r>
      <w:r>
        <w:rPr>
          <w:rFonts w:hint="eastAsia"/>
        </w:rPr>
        <w:t>”为经验取值。</w:t>
      </w:r>
    </w:p>
    <w:p w:rsidR="00D9225E">
      <w:pPr>
        <w:pStyle w:val="LW19"/>
      </w:pPr>
      <w:r>
        <w:rPr>
          <w:rFonts w:hint="eastAsia"/>
        </w:rPr>
        <w:t>（</w:t>
      </w:r>
      <w:r>
        <w:rPr>
          <w:rFonts w:hint="eastAsia"/>
        </w:rPr>
        <w:t>2</w:t>
      </w:r>
      <w:r>
        <w:rPr>
          <w:rFonts w:hint="eastAsia"/>
        </w:rPr>
        <w:t>）压实填土做持力层时，建议压实系数不小于</w:t>
      </w:r>
      <w:r>
        <w:rPr>
          <w:rFonts w:hint="eastAsia"/>
        </w:rPr>
        <w:t>0.97</w:t>
      </w:r>
      <w:r>
        <w:rPr>
          <w:rFonts w:hint="eastAsia"/>
        </w:rPr>
        <w:t>，当做地坪使用时，压实系数不小于</w:t>
      </w:r>
      <w:r>
        <w:rPr>
          <w:rFonts w:hint="eastAsia"/>
        </w:rPr>
        <w:t>0.94</w:t>
      </w:r>
      <w:r>
        <w:rPr>
          <w:rFonts w:hint="eastAsia"/>
        </w:rPr>
        <w:t>。</w:t>
      </w:r>
    </w:p>
    <w:p w:rsidR="00D9225E">
      <w:pPr>
        <w:pStyle w:val="LW19"/>
      </w:pPr>
      <w:r>
        <w:rPr>
          <w:rFonts w:hint="eastAsia"/>
        </w:rPr>
        <w:t>（</w:t>
      </w:r>
      <w:r>
        <w:rPr>
          <w:rFonts w:hint="eastAsia"/>
        </w:rPr>
        <w:t>3</w:t>
      </w:r>
      <w:r>
        <w:rPr>
          <w:rFonts w:hint="eastAsia"/>
        </w:rPr>
        <w:t>）当无外倾结构面控制时，岩体破裂角取</w:t>
      </w:r>
      <w:r>
        <w:rPr>
          <w:rFonts w:hint="eastAsia"/>
        </w:rPr>
        <w:t>45</w:t>
      </w:r>
      <w:r>
        <w:rPr>
          <w:rFonts w:hint="eastAsia"/>
        </w:rPr>
        <w:t>°</w:t>
      </w:r>
      <w:r>
        <w:rPr>
          <w:rFonts w:hint="eastAsia"/>
        </w:rPr>
        <w:t>+</w:t>
      </w:r>
      <w:r>
        <w:rPr>
          <w:rFonts w:hint="eastAsia"/>
        </w:rPr>
        <w:t>φ</w:t>
      </w:r>
      <w:r>
        <w:rPr>
          <w:rFonts w:hint="eastAsia"/>
        </w:rPr>
        <w:t>/2=63.62</w:t>
      </w:r>
      <w:r>
        <w:rPr>
          <w:rFonts w:hint="eastAsia"/>
        </w:rPr>
        <w:t>°，等效内摩察角取</w:t>
      </w:r>
      <w:r>
        <w:rPr>
          <w:rFonts w:hint="eastAsia"/>
        </w:rPr>
        <w:t>52</w:t>
      </w:r>
      <w:r>
        <w:rPr>
          <w:rFonts w:hint="eastAsia"/>
        </w:rPr>
        <w:t>°。</w:t>
      </w:r>
    </w:p>
    <w:p w:rsidR="00D9225E">
      <w:pPr>
        <w:pStyle w:val="LW19"/>
      </w:pPr>
      <w:r>
        <w:rPr>
          <w:rFonts w:hint="eastAsia"/>
        </w:rPr>
        <w:t>（</w:t>
      </w:r>
      <w:r>
        <w:rPr>
          <w:rFonts w:hint="eastAsia"/>
        </w:rPr>
        <w:t>4</w:t>
      </w:r>
      <w:r>
        <w:rPr>
          <w:rFonts w:hint="eastAsia"/>
        </w:rPr>
        <w:t>）边坡放坡坡率，填土：坡高小于</w:t>
      </w:r>
      <w:r>
        <w:rPr>
          <w:rFonts w:hint="eastAsia"/>
        </w:rPr>
        <w:t>5m</w:t>
      </w:r>
      <w:r>
        <w:rPr>
          <w:rFonts w:hint="eastAsia"/>
        </w:rPr>
        <w:t>时，</w:t>
      </w:r>
      <w:r>
        <w:rPr>
          <w:rFonts w:hint="eastAsia"/>
        </w:rPr>
        <w:t>1:1.5</w:t>
      </w:r>
      <w:r>
        <w:rPr>
          <w:rFonts w:hint="eastAsia"/>
        </w:rPr>
        <w:t>；坡高大于</w:t>
      </w:r>
      <w:r>
        <w:rPr>
          <w:rFonts w:hint="eastAsia"/>
        </w:rPr>
        <w:t>5m</w:t>
      </w:r>
      <w:r>
        <w:rPr>
          <w:rFonts w:hint="eastAsia"/>
        </w:rPr>
        <w:t>时，</w:t>
      </w:r>
      <w:r>
        <w:rPr>
          <w:rFonts w:hint="eastAsia"/>
        </w:rPr>
        <w:t xml:space="preserve">1:1.75 </w:t>
      </w:r>
      <w:r>
        <w:rPr>
          <w:rFonts w:hint="eastAsia"/>
        </w:rPr>
        <w:t>；红黏土</w:t>
      </w:r>
      <w:r>
        <w:rPr>
          <w:rFonts w:hint="eastAsia"/>
        </w:rPr>
        <w:t>1:1.75</w:t>
      </w:r>
      <w:r>
        <w:rPr>
          <w:rFonts w:hint="eastAsia"/>
        </w:rPr>
        <w:t>。</w:t>
      </w:r>
    </w:p>
    <w:p w:rsidR="00D9225E">
      <w:pPr>
        <w:pStyle w:val="LW19"/>
      </w:pPr>
      <w:r>
        <w:rPr>
          <w:rFonts w:hint="eastAsia"/>
        </w:rPr>
        <w:t>（</w:t>
      </w:r>
      <w:r>
        <w:rPr>
          <w:rFonts w:hint="eastAsia"/>
        </w:rPr>
        <w:t>5</w:t>
      </w:r>
      <w:r>
        <w:rPr>
          <w:rFonts w:hint="eastAsia"/>
        </w:rPr>
        <w:t>）岩体水平抗力系数，强风化白云岩取值</w:t>
      </w:r>
      <w:r>
        <w:rPr>
          <w:rFonts w:hint="eastAsia"/>
        </w:rPr>
        <w:t>60MN/10</w:t>
      </w:r>
      <w:r>
        <w:rPr>
          <w:rFonts w:hint="eastAsia"/>
          <w:vertAlign w:val="superscript"/>
        </w:rPr>
        <w:t>3</w:t>
      </w:r>
      <w:r>
        <w:rPr>
          <w:rFonts w:hint="eastAsia"/>
        </w:rPr>
        <w:t>，中风化白云岩取值</w:t>
      </w:r>
      <w:r>
        <w:rPr>
          <w:rFonts w:hint="eastAsia"/>
        </w:rPr>
        <w:t>150MN/10</w:t>
      </w:r>
      <w:r>
        <w:rPr>
          <w:rFonts w:hint="eastAsia"/>
          <w:vertAlign w:val="superscript"/>
        </w:rPr>
        <w:t>3</w:t>
      </w:r>
      <w:r>
        <w:rPr>
          <w:rFonts w:hint="eastAsia"/>
        </w:rPr>
        <w:t>。</w:t>
      </w:r>
    </w:p>
    <w:p w:rsidR="00D9225E">
      <w:pPr>
        <w:pStyle w:val="LW19"/>
      </w:pPr>
      <w:r>
        <w:rPr>
          <w:rFonts w:hint="eastAsia"/>
        </w:rPr>
        <w:t>（</w:t>
      </w:r>
      <w:r>
        <w:rPr>
          <w:rFonts w:hint="eastAsia"/>
        </w:rPr>
        <w:t>6</w:t>
      </w:r>
      <w:r>
        <w:rPr>
          <w:rFonts w:hint="eastAsia"/>
        </w:rPr>
        <w:t>）红黏土与锚固体极限粘结强度标准值</w:t>
      </w:r>
      <w:r>
        <w:rPr>
          <w:rFonts w:hint="eastAsia"/>
        </w:rPr>
        <w:t>40KPa</w:t>
      </w:r>
      <w:r>
        <w:rPr>
          <w:rFonts w:hint="eastAsia"/>
        </w:rPr>
        <w:t>；灰岩与锚固体极限粘结强度标准值</w:t>
      </w:r>
      <w:r>
        <w:rPr>
          <w:rFonts w:hint="eastAsia"/>
        </w:rPr>
        <w:t>700KPa</w:t>
      </w:r>
      <w:r>
        <w:rPr>
          <w:rFonts w:hint="eastAsia"/>
        </w:rPr>
        <w:t>。</w:t>
      </w:r>
    </w:p>
    <w:p w:rsidR="00D9225E">
      <w:pPr>
        <w:pStyle w:val="LW"/>
        <w:ind w:firstLine="520"/>
        <w:rPr>
          <w:rFonts w:hAnsi="Times New Roman"/>
        </w:rPr>
      </w:pPr>
      <w:r>
        <w:rPr>
          <w:rFonts w:hint="eastAsia"/>
        </w:rPr>
        <w:t>根据《建筑地基基础设计</w:t>
      </w:r>
      <w:r>
        <w:rPr>
          <w:rFonts w:hint="eastAsia"/>
        </w:rPr>
        <w:t>规范》（</w:t>
      </w:r>
      <w:r>
        <w:rPr>
          <w:rFonts w:hint="eastAsia"/>
        </w:rPr>
        <w:t>DBJ50-047-2016</w:t>
      </w:r>
      <w:r>
        <w:rPr>
          <w:rFonts w:hint="eastAsia"/>
        </w:rPr>
        <w:t>）</w:t>
      </w:r>
      <w:r>
        <w:rPr>
          <w:rFonts w:hint="eastAsia"/>
        </w:rPr>
        <w:t>4.2.6</w:t>
      </w:r>
      <w:r>
        <w:rPr>
          <w:rFonts w:hint="eastAsia"/>
        </w:rPr>
        <w:t>条规定，地基承载力特征值（</w:t>
      </w:r>
      <w:r>
        <w:rPr>
          <w:rFonts w:hint="eastAsia"/>
        </w:rPr>
        <w:t>fak</w:t>
      </w:r>
      <w:r>
        <w:rPr>
          <w:rFonts w:hint="eastAsia"/>
        </w:rPr>
        <w:t>）计算公式为：</w:t>
      </w:r>
      <w:r>
        <w:rPr>
          <w:rFonts w:hint="eastAsia"/>
        </w:rPr>
        <w:t>fak=</w:t>
      </w:r>
      <w:r>
        <w:rPr>
          <w:rFonts w:hint="eastAsia"/>
        </w:rPr>
        <w:t>γ</w:t>
      </w:r>
      <w:r>
        <w:rPr>
          <w:rFonts w:hint="eastAsia"/>
        </w:rPr>
        <w:t>f</w:t>
      </w:r>
      <w:r>
        <w:rPr>
          <w:rFonts w:hint="eastAsia"/>
        </w:rPr>
        <w:t>×</w:t>
      </w:r>
      <w:r>
        <w:rPr>
          <w:rFonts w:hint="eastAsia"/>
        </w:rPr>
        <w:t>fuk</w:t>
      </w:r>
      <w:r>
        <w:rPr>
          <w:rFonts w:hint="eastAsia"/>
        </w:rPr>
        <w:t>，其中</w:t>
      </w:r>
      <w:r>
        <w:rPr>
          <w:rFonts w:hint="eastAsia"/>
        </w:rPr>
        <w:t>:fak</w:t>
      </w:r>
      <w:r>
        <w:rPr>
          <w:rFonts w:hint="eastAsia"/>
        </w:rPr>
        <w:t>——地基承载力特征值</w:t>
      </w:r>
      <w:r>
        <w:rPr>
          <w:rFonts w:hint="eastAsia"/>
        </w:rPr>
        <w:t>(kPa)</w:t>
      </w:r>
      <w:r>
        <w:rPr>
          <w:rFonts w:hint="eastAsia"/>
        </w:rPr>
        <w:t>；γ</w:t>
      </w:r>
      <w:r>
        <w:rPr>
          <w:rFonts w:hint="eastAsia"/>
        </w:rPr>
        <w:t>f</w:t>
      </w:r>
      <w:r>
        <w:rPr>
          <w:rFonts w:hint="eastAsia"/>
        </w:rPr>
        <w:t>——地基极限承载力分项系数（对岩质地基取</w:t>
      </w:r>
      <w:r>
        <w:rPr>
          <w:rFonts w:hint="eastAsia"/>
        </w:rPr>
        <w:t>0.33</w:t>
      </w:r>
      <w:r>
        <w:rPr>
          <w:rFonts w:hint="eastAsia"/>
        </w:rPr>
        <w:t>）；</w:t>
      </w:r>
      <w:r>
        <w:rPr>
          <w:rFonts w:hint="eastAsia"/>
        </w:rPr>
        <w:t>fuk</w:t>
      </w:r>
      <w:r>
        <w:rPr>
          <w:rFonts w:hint="eastAsia"/>
        </w:rPr>
        <w:t>——地基极限承载力标准值</w:t>
      </w:r>
      <w:r>
        <w:rPr>
          <w:rFonts w:hint="eastAsia"/>
        </w:rPr>
        <w:t>(kPa)</w:t>
      </w:r>
      <w:r>
        <w:rPr>
          <w:rFonts w:hint="eastAsia"/>
        </w:rPr>
        <w:t>。</w:t>
      </w:r>
    </w:p>
    <w:p w:rsidR="00D9225E">
      <w:pPr>
        <w:pStyle w:val="LW"/>
        <w:ind w:firstLine="520"/>
      </w:pPr>
      <w:r>
        <w:rPr>
          <w:rFonts w:hint="eastAsia"/>
        </w:rPr>
        <w:t>同时依据《建筑地基基础设计规范》（</w:t>
      </w:r>
      <w:r>
        <w:rPr>
          <w:rFonts w:hint="eastAsia"/>
        </w:rPr>
        <w:t>DBJ50-047-2016</w:t>
      </w:r>
      <w:r>
        <w:rPr>
          <w:rFonts w:hint="eastAsia"/>
        </w:rPr>
        <w:t>）</w:t>
      </w:r>
      <w:r>
        <w:rPr>
          <w:rFonts w:hint="eastAsia"/>
        </w:rPr>
        <w:t>4.2.7</w:t>
      </w:r>
      <w:r>
        <w:rPr>
          <w:rFonts w:hint="eastAsia"/>
        </w:rPr>
        <w:t>条规定，当岩体完整、较完整、较破碎时，岩质地基承载力特征值可由天然岩石单轴抗压强度标准值乘以折减系数估算，对较完整的岩体取</w:t>
      </w:r>
      <w:r>
        <w:rPr>
          <w:rFonts w:hint="eastAsia"/>
        </w:rPr>
        <w:t>0.37</w:t>
      </w:r>
      <w:r>
        <w:rPr>
          <w:rFonts w:hint="eastAsia"/>
        </w:rPr>
        <w:t>～</w:t>
      </w:r>
      <w:r>
        <w:rPr>
          <w:rFonts w:hint="eastAsia"/>
        </w:rPr>
        <w:t>0.47</w:t>
      </w:r>
      <w:r>
        <w:rPr>
          <w:rFonts w:hint="eastAsia"/>
        </w:rPr>
        <w:t>。同时施工期及使用期岩体可能遭水浸泡，</w:t>
      </w:r>
      <w:r>
        <w:rPr>
          <w:rFonts w:hint="eastAsia"/>
        </w:rPr>
        <w:t>故本场地采用饱和试样进行统计，折减系数根据现场情况综合取值为</w:t>
      </w:r>
      <w:r>
        <w:rPr>
          <w:rFonts w:hint="eastAsia"/>
        </w:rPr>
        <w:t>0.4</w:t>
      </w:r>
      <w:r>
        <w:rPr>
          <w:rFonts w:hint="eastAsia"/>
        </w:rPr>
        <w:t>进行统计。</w:t>
      </w:r>
    </w:p>
    <w:p w:rsidR="00D9225E">
      <w:pPr>
        <w:pStyle w:val="LW"/>
        <w:ind w:firstLine="520"/>
      </w:pPr>
      <w:r>
        <w:rPr>
          <w:rFonts w:hint="eastAsia"/>
        </w:rPr>
        <w:t>综上所述，故本次勘察中岩质地基极限承载力分项系数取</w:t>
      </w:r>
      <w:r>
        <w:rPr>
          <w:rFonts w:hint="eastAsia"/>
        </w:rPr>
        <w:t>0.4</w:t>
      </w:r>
      <w:r>
        <w:rPr>
          <w:rFonts w:hint="eastAsia"/>
        </w:rPr>
        <w:t>。由岩石饱和单轴抗压强度标准值</w:t>
      </w:r>
      <w:r>
        <w:rPr>
          <w:rFonts w:hint="eastAsia"/>
        </w:rPr>
        <w:t>(kPa)</w:t>
      </w:r>
      <w:r>
        <w:rPr>
          <w:rFonts w:hint="eastAsia"/>
        </w:rPr>
        <w:t>乘以地基条件系数得到。</w:t>
      </w:r>
    </w:p>
    <w:p w:rsidR="00D9225E">
      <w:pPr>
        <w:pStyle w:val="LW"/>
        <w:ind w:firstLine="520"/>
      </w:pPr>
      <w:r>
        <w:rPr>
          <w:rFonts w:hint="eastAsia"/>
        </w:rPr>
        <w:t>计算得中风化白云岩承载力特征值</w:t>
      </w:r>
      <w:r>
        <w:rPr>
          <w:rFonts w:hint="eastAsia"/>
        </w:rPr>
        <w:t>3612</w:t>
      </w:r>
      <w:r>
        <w:rPr>
          <w:rFonts w:hint="eastAsia"/>
        </w:rPr>
        <w:t>Kpa</w:t>
      </w:r>
      <w:r>
        <w:rPr>
          <w:rFonts w:hint="eastAsia"/>
        </w:rPr>
        <w:t>。</w:t>
      </w:r>
    </w:p>
    <w:p w:rsidR="00D9225E">
      <w:pPr>
        <w:pStyle w:val="LW"/>
        <w:ind w:firstLine="520"/>
      </w:pPr>
      <w:r>
        <w:rPr>
          <w:rFonts w:hint="eastAsia"/>
        </w:rPr>
        <w:t>综上所述，岩石各项物理力学参数取值如表</w:t>
      </w:r>
      <w:r>
        <w:t>2</w:t>
      </w:r>
      <w:r>
        <w:rPr>
          <w:rFonts w:hint="eastAsia"/>
        </w:rPr>
        <w:t>.</w:t>
      </w:r>
      <w:r>
        <w:t>2.9.6</w:t>
      </w:r>
      <w:r>
        <w:rPr>
          <w:rFonts w:hint="eastAsia"/>
        </w:rPr>
        <w:t>-1</w:t>
      </w:r>
      <w:r>
        <w:rPr>
          <w:rFonts w:hint="eastAsia"/>
        </w:rPr>
        <w:t>，结构面抗剪强度参数见表</w:t>
      </w:r>
      <w:r>
        <w:t>2</w:t>
      </w:r>
      <w:r>
        <w:rPr>
          <w:rFonts w:hint="eastAsia"/>
        </w:rPr>
        <w:t>.</w:t>
      </w:r>
      <w:r>
        <w:t>2.9.6</w:t>
      </w:r>
      <w:r>
        <w:rPr>
          <w:rFonts w:hint="eastAsia"/>
        </w:rPr>
        <w:t>-2</w:t>
      </w:r>
      <w:r>
        <w:rPr>
          <w:rFonts w:hint="eastAsia"/>
        </w:rPr>
        <w:t>。</w:t>
      </w:r>
    </w:p>
    <w:p w:rsidR="00D9225E">
      <w:pPr>
        <w:pStyle w:val="LW6"/>
      </w:pPr>
      <w:r>
        <w:rPr>
          <w:rFonts w:hint="eastAsia"/>
        </w:rPr>
        <w:t>表</w:t>
      </w:r>
      <w:r>
        <w:rPr>
          <w:rFonts w:hint="eastAsia"/>
        </w:rPr>
        <w:t>4</w:t>
      </w:r>
      <w:r>
        <w:rPr>
          <w:rFonts w:hint="eastAsia"/>
        </w:rPr>
        <w:t xml:space="preserve">.2.9.6-2  </w:t>
      </w:r>
      <w:r>
        <w:rPr>
          <w:rFonts w:hint="eastAsia"/>
        </w:rPr>
        <w:t>岩体结构面抗剪强度取值表</w:t>
      </w:r>
    </w:p>
    <w:tbl>
      <w:tblPr>
        <w:tblStyle w:val="TableNormal"/>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8"/>
        <w:gridCol w:w="4254"/>
        <w:gridCol w:w="1154"/>
        <w:gridCol w:w="1410"/>
      </w:tblGrid>
      <w:tr>
        <w:tblPrEx>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7"/>
          <w:jc w:val="center"/>
        </w:trPr>
        <w:tc>
          <w:tcPr>
            <w:tcW w:w="2148" w:type="dxa"/>
            <w:tcBorders>
              <w:top w:val="single" w:sz="12" w:space="0" w:color="auto"/>
              <w:left w:val="single" w:sz="12" w:space="0" w:color="auto"/>
              <w:bottom w:val="single" w:sz="4" w:space="0" w:color="auto"/>
              <w:right w:val="single" w:sz="4" w:space="0" w:color="auto"/>
            </w:tcBorders>
            <w:vAlign w:val="center"/>
          </w:tcPr>
          <w:p w:rsidR="00D9225E">
            <w:pPr>
              <w:pStyle w:val="LW15"/>
              <w:rPr>
                <w:rFonts w:ascii="Times New Roman"/>
              </w:rPr>
            </w:pPr>
            <w:r>
              <w:t>结构面</w:t>
            </w:r>
          </w:p>
        </w:tc>
        <w:tc>
          <w:tcPr>
            <w:tcW w:w="4254" w:type="dxa"/>
            <w:tcBorders>
              <w:top w:val="single" w:sz="12" w:space="0" w:color="auto"/>
              <w:left w:val="single" w:sz="4" w:space="0" w:color="auto"/>
              <w:bottom w:val="single" w:sz="4" w:space="0" w:color="auto"/>
              <w:right w:val="single" w:sz="4" w:space="0" w:color="auto"/>
            </w:tcBorders>
            <w:vAlign w:val="center"/>
          </w:tcPr>
          <w:p w:rsidR="00D9225E">
            <w:pPr>
              <w:pStyle w:val="LW15"/>
            </w:pPr>
            <w:r>
              <w:t>结构面性质</w:t>
            </w:r>
          </w:p>
        </w:tc>
        <w:tc>
          <w:tcPr>
            <w:tcW w:w="1154" w:type="dxa"/>
            <w:tcBorders>
              <w:top w:val="single" w:sz="12" w:space="0" w:color="auto"/>
              <w:left w:val="single" w:sz="4" w:space="0" w:color="auto"/>
              <w:bottom w:val="single" w:sz="4" w:space="0" w:color="auto"/>
              <w:right w:val="single" w:sz="4" w:space="0" w:color="auto"/>
            </w:tcBorders>
            <w:vAlign w:val="center"/>
          </w:tcPr>
          <w:p w:rsidR="00D9225E">
            <w:pPr>
              <w:pStyle w:val="LW15"/>
              <w:rPr>
                <w:spacing w:val="0"/>
              </w:rPr>
            </w:pPr>
            <w:r>
              <w:t>粘聚力</w:t>
            </w:r>
            <w:r>
              <w:t>C(kPa)</w:t>
            </w:r>
          </w:p>
        </w:tc>
        <w:tc>
          <w:tcPr>
            <w:tcW w:w="1410" w:type="dxa"/>
            <w:tcBorders>
              <w:top w:val="single" w:sz="12" w:space="0" w:color="auto"/>
              <w:left w:val="single" w:sz="4" w:space="0" w:color="auto"/>
              <w:bottom w:val="single" w:sz="4" w:space="0" w:color="auto"/>
              <w:right w:val="single" w:sz="12" w:space="0" w:color="auto"/>
            </w:tcBorders>
            <w:vAlign w:val="center"/>
          </w:tcPr>
          <w:p w:rsidR="00D9225E">
            <w:pPr>
              <w:pStyle w:val="LW15"/>
            </w:pPr>
            <w:r>
              <w:t>内摩擦角</w:t>
            </w:r>
            <w:r>
              <w:t>Ф(º)</w:t>
            </w:r>
          </w:p>
        </w:tc>
      </w:tr>
      <w:tr>
        <w:tblPrEx>
          <w:tblW w:w="8966" w:type="dxa"/>
          <w:jc w:val="center"/>
          <w:tblLayout w:type="fixed"/>
          <w:tblLook w:val="04A0"/>
        </w:tblPrEx>
        <w:trPr>
          <w:trHeight w:val="397"/>
          <w:jc w:val="center"/>
        </w:trPr>
        <w:tc>
          <w:tcPr>
            <w:tcW w:w="2148" w:type="dxa"/>
            <w:tcBorders>
              <w:top w:val="single" w:sz="4" w:space="0" w:color="auto"/>
              <w:left w:val="single" w:sz="12" w:space="0" w:color="auto"/>
              <w:bottom w:val="single" w:sz="4" w:space="0" w:color="auto"/>
              <w:right w:val="single" w:sz="4" w:space="0" w:color="auto"/>
            </w:tcBorders>
            <w:vAlign w:val="center"/>
          </w:tcPr>
          <w:p w:rsidR="00D9225E">
            <w:pPr>
              <w:pStyle w:val="LW17"/>
              <w:jc w:val="left"/>
            </w:pPr>
            <w:r>
              <w:rPr>
                <w:rFonts w:hint="eastAsia"/>
              </w:rPr>
              <w:t>1</w:t>
            </w:r>
            <w:r>
              <w:rPr>
                <w:rFonts w:hint="eastAsia"/>
              </w:rPr>
              <w:t>裂隙（</w:t>
            </w:r>
            <w:r>
              <w:rPr>
                <w:rFonts w:hint="eastAsia"/>
              </w:rPr>
              <w:t>110</w:t>
            </w:r>
            <w:r>
              <w:rPr>
                <w:rFonts w:hint="eastAsia"/>
              </w:rPr>
              <w:t>º∠</w:t>
            </w:r>
            <w:r>
              <w:rPr>
                <w:rFonts w:hint="eastAsia"/>
              </w:rPr>
              <w:t>65</w:t>
            </w:r>
            <w:r>
              <w:rPr>
                <w:rFonts w:hint="eastAsia"/>
              </w:rPr>
              <w:t>º）</w:t>
            </w:r>
          </w:p>
        </w:tc>
        <w:tc>
          <w:tcPr>
            <w:tcW w:w="4254" w:type="dxa"/>
            <w:tcBorders>
              <w:top w:val="single" w:sz="4" w:space="0" w:color="auto"/>
              <w:left w:val="single" w:sz="4" w:space="0" w:color="auto"/>
              <w:bottom w:val="single" w:sz="4" w:space="0" w:color="auto"/>
              <w:right w:val="single" w:sz="4" w:space="0" w:color="auto"/>
            </w:tcBorders>
            <w:vAlign w:val="center"/>
          </w:tcPr>
          <w:p w:rsidR="00D9225E">
            <w:pPr>
              <w:pStyle w:val="LW17"/>
              <w:jc w:val="left"/>
            </w:pPr>
            <w:r>
              <w:rPr>
                <w:rFonts w:hint="eastAsia"/>
              </w:rPr>
              <w:t>裂面平直，无充填，结合程度很差，为软弱结构面。</w:t>
            </w:r>
          </w:p>
        </w:tc>
        <w:tc>
          <w:tcPr>
            <w:tcW w:w="1154" w:type="dxa"/>
            <w:tcBorders>
              <w:top w:val="single" w:sz="4" w:space="0" w:color="auto"/>
              <w:left w:val="single" w:sz="4" w:space="0" w:color="auto"/>
              <w:bottom w:val="single" w:sz="4" w:space="0" w:color="auto"/>
              <w:right w:val="single" w:sz="4" w:space="0" w:color="auto"/>
            </w:tcBorders>
            <w:vAlign w:val="center"/>
          </w:tcPr>
          <w:p w:rsidR="00D9225E">
            <w:pPr>
              <w:pStyle w:val="LW17"/>
              <w:jc w:val="left"/>
            </w:pPr>
            <w:r>
              <w:rPr>
                <w:rFonts w:hint="eastAsia"/>
              </w:rPr>
              <w:t>50*</w:t>
            </w:r>
          </w:p>
        </w:tc>
        <w:tc>
          <w:tcPr>
            <w:tcW w:w="1410" w:type="dxa"/>
            <w:tcBorders>
              <w:top w:val="single" w:sz="4" w:space="0" w:color="auto"/>
              <w:left w:val="single" w:sz="4" w:space="0" w:color="auto"/>
              <w:bottom w:val="single" w:sz="4" w:space="0" w:color="auto"/>
              <w:right w:val="single" w:sz="12" w:space="0" w:color="auto"/>
            </w:tcBorders>
            <w:vAlign w:val="center"/>
          </w:tcPr>
          <w:p w:rsidR="00D9225E">
            <w:pPr>
              <w:pStyle w:val="LW17"/>
              <w:jc w:val="left"/>
            </w:pPr>
            <w:r>
              <w:rPr>
                <w:rFonts w:hint="eastAsia"/>
              </w:rPr>
              <w:t>18*</w:t>
            </w:r>
          </w:p>
        </w:tc>
      </w:tr>
      <w:tr>
        <w:tblPrEx>
          <w:tblW w:w="8966" w:type="dxa"/>
          <w:jc w:val="center"/>
          <w:tblLayout w:type="fixed"/>
          <w:tblLook w:val="04A0"/>
        </w:tblPrEx>
        <w:trPr>
          <w:trHeight w:val="397"/>
          <w:jc w:val="center"/>
        </w:trPr>
        <w:tc>
          <w:tcPr>
            <w:tcW w:w="2148" w:type="dxa"/>
            <w:tcBorders>
              <w:top w:val="single" w:sz="4" w:space="0" w:color="auto"/>
              <w:left w:val="single" w:sz="12" w:space="0" w:color="auto"/>
              <w:bottom w:val="single" w:sz="4" w:space="0" w:color="auto"/>
              <w:right w:val="single" w:sz="4" w:space="0" w:color="auto"/>
            </w:tcBorders>
            <w:vAlign w:val="center"/>
          </w:tcPr>
          <w:p w:rsidR="00D9225E">
            <w:pPr>
              <w:pStyle w:val="LW17"/>
              <w:jc w:val="left"/>
            </w:pPr>
            <w:r>
              <w:rPr>
                <w:rFonts w:hint="eastAsia"/>
              </w:rPr>
              <w:t>②裂隙（</w:t>
            </w:r>
            <w:r>
              <w:rPr>
                <w:rFonts w:hint="eastAsia"/>
              </w:rPr>
              <w:t>10</w:t>
            </w:r>
            <w:r>
              <w:rPr>
                <w:rFonts w:hint="eastAsia"/>
              </w:rPr>
              <w:t>º∠</w:t>
            </w:r>
            <w:r>
              <w:rPr>
                <w:rFonts w:hint="eastAsia"/>
              </w:rPr>
              <w:t>60</w:t>
            </w:r>
            <w:r>
              <w:rPr>
                <w:rFonts w:hint="eastAsia"/>
              </w:rPr>
              <w:t>º）</w:t>
            </w:r>
          </w:p>
        </w:tc>
        <w:tc>
          <w:tcPr>
            <w:tcW w:w="4254" w:type="dxa"/>
            <w:tcBorders>
              <w:top w:val="single" w:sz="4" w:space="0" w:color="auto"/>
              <w:left w:val="single" w:sz="4" w:space="0" w:color="auto"/>
              <w:bottom w:val="single" w:sz="4" w:space="0" w:color="auto"/>
              <w:right w:val="single" w:sz="4" w:space="0" w:color="auto"/>
            </w:tcBorders>
            <w:vAlign w:val="center"/>
          </w:tcPr>
          <w:p w:rsidR="00D9225E">
            <w:pPr>
              <w:pStyle w:val="LW17"/>
              <w:jc w:val="left"/>
            </w:pPr>
            <w:r>
              <w:rPr>
                <w:rFonts w:hint="eastAsia"/>
              </w:rPr>
              <w:t>裂面平直，无充填，结合程度很差，为软弱结构面。</w:t>
            </w:r>
          </w:p>
        </w:tc>
        <w:tc>
          <w:tcPr>
            <w:tcW w:w="1154" w:type="dxa"/>
            <w:tcBorders>
              <w:top w:val="single" w:sz="4" w:space="0" w:color="auto"/>
              <w:left w:val="single" w:sz="4" w:space="0" w:color="auto"/>
              <w:bottom w:val="single" w:sz="4" w:space="0" w:color="auto"/>
              <w:right w:val="single" w:sz="4" w:space="0" w:color="auto"/>
            </w:tcBorders>
            <w:vAlign w:val="center"/>
          </w:tcPr>
          <w:p w:rsidR="00D9225E">
            <w:pPr>
              <w:pStyle w:val="LW17"/>
              <w:jc w:val="left"/>
            </w:pPr>
            <w:r>
              <w:rPr>
                <w:rFonts w:hint="eastAsia"/>
              </w:rPr>
              <w:t>50*</w:t>
            </w:r>
          </w:p>
        </w:tc>
        <w:tc>
          <w:tcPr>
            <w:tcW w:w="1410" w:type="dxa"/>
            <w:tcBorders>
              <w:top w:val="single" w:sz="4" w:space="0" w:color="auto"/>
              <w:left w:val="single" w:sz="4" w:space="0" w:color="auto"/>
              <w:bottom w:val="single" w:sz="4" w:space="0" w:color="auto"/>
              <w:right w:val="single" w:sz="12" w:space="0" w:color="auto"/>
            </w:tcBorders>
            <w:vAlign w:val="center"/>
          </w:tcPr>
          <w:p w:rsidR="00D9225E">
            <w:pPr>
              <w:pStyle w:val="LW17"/>
              <w:jc w:val="left"/>
            </w:pPr>
            <w:r>
              <w:rPr>
                <w:rFonts w:hint="eastAsia"/>
              </w:rPr>
              <w:t>18*</w:t>
            </w:r>
          </w:p>
        </w:tc>
      </w:tr>
      <w:tr>
        <w:tblPrEx>
          <w:tblW w:w="8966" w:type="dxa"/>
          <w:jc w:val="center"/>
          <w:tblLayout w:type="fixed"/>
          <w:tblLook w:val="04A0"/>
        </w:tblPrEx>
        <w:trPr>
          <w:trHeight w:val="397"/>
          <w:jc w:val="center"/>
        </w:trPr>
        <w:tc>
          <w:tcPr>
            <w:tcW w:w="2148" w:type="dxa"/>
            <w:tcBorders>
              <w:top w:val="single" w:sz="4" w:space="0" w:color="auto"/>
              <w:left w:val="single" w:sz="12" w:space="0" w:color="auto"/>
              <w:bottom w:val="single" w:sz="12" w:space="0" w:color="auto"/>
              <w:right w:val="single" w:sz="4" w:space="0" w:color="auto"/>
            </w:tcBorders>
            <w:vAlign w:val="center"/>
          </w:tcPr>
          <w:p w:rsidR="00D9225E">
            <w:pPr>
              <w:pStyle w:val="LW17"/>
              <w:jc w:val="left"/>
            </w:pPr>
            <w:r>
              <w:rPr>
                <w:rFonts w:hint="eastAsia"/>
              </w:rPr>
              <w:t>③层面（</w:t>
            </w:r>
            <w:r>
              <w:rPr>
                <w:rFonts w:hint="eastAsia"/>
              </w:rPr>
              <w:t>310</w:t>
            </w:r>
            <w:r>
              <w:rPr>
                <w:rFonts w:hint="eastAsia"/>
              </w:rPr>
              <w:t>°∠</w:t>
            </w:r>
            <w:r>
              <w:rPr>
                <w:rFonts w:hint="eastAsia"/>
              </w:rPr>
              <w:t>26</w:t>
            </w:r>
            <w:r>
              <w:rPr>
                <w:rFonts w:hint="eastAsia"/>
              </w:rPr>
              <w:t>°）</w:t>
            </w:r>
          </w:p>
        </w:tc>
        <w:tc>
          <w:tcPr>
            <w:tcW w:w="4254" w:type="dxa"/>
            <w:tcBorders>
              <w:top w:val="single" w:sz="4" w:space="0" w:color="auto"/>
              <w:left w:val="single" w:sz="4" w:space="0" w:color="auto"/>
              <w:bottom w:val="single" w:sz="12" w:space="0" w:color="auto"/>
              <w:right w:val="single" w:sz="4" w:space="0" w:color="auto"/>
            </w:tcBorders>
            <w:vAlign w:val="center"/>
          </w:tcPr>
          <w:p w:rsidR="00D9225E">
            <w:pPr>
              <w:pStyle w:val="LW17"/>
              <w:jc w:val="left"/>
            </w:pPr>
            <w:r>
              <w:rPr>
                <w:rFonts w:hint="eastAsia"/>
              </w:rPr>
              <w:t>结构面结合程度很差，为软弱结构面。</w:t>
            </w:r>
          </w:p>
        </w:tc>
        <w:tc>
          <w:tcPr>
            <w:tcW w:w="1154" w:type="dxa"/>
            <w:tcBorders>
              <w:top w:val="single" w:sz="4" w:space="0" w:color="auto"/>
              <w:left w:val="single" w:sz="4" w:space="0" w:color="auto"/>
              <w:bottom w:val="single" w:sz="12" w:space="0" w:color="auto"/>
              <w:right w:val="single" w:sz="4" w:space="0" w:color="auto"/>
            </w:tcBorders>
            <w:vAlign w:val="center"/>
          </w:tcPr>
          <w:p w:rsidR="00D9225E">
            <w:pPr>
              <w:pStyle w:val="LW17"/>
              <w:jc w:val="left"/>
            </w:pPr>
            <w:r>
              <w:rPr>
                <w:rFonts w:hint="eastAsia"/>
              </w:rPr>
              <w:t>50*</w:t>
            </w:r>
          </w:p>
        </w:tc>
        <w:tc>
          <w:tcPr>
            <w:tcW w:w="1410" w:type="dxa"/>
            <w:tcBorders>
              <w:top w:val="single" w:sz="4" w:space="0" w:color="auto"/>
              <w:left w:val="single" w:sz="4" w:space="0" w:color="auto"/>
              <w:bottom w:val="single" w:sz="12" w:space="0" w:color="auto"/>
              <w:right w:val="single" w:sz="12" w:space="0" w:color="auto"/>
            </w:tcBorders>
            <w:vAlign w:val="center"/>
          </w:tcPr>
          <w:p w:rsidR="00D9225E">
            <w:pPr>
              <w:pStyle w:val="LW17"/>
              <w:jc w:val="left"/>
            </w:pPr>
            <w:r>
              <w:rPr>
                <w:rFonts w:hint="eastAsia"/>
              </w:rPr>
              <w:t>18*</w:t>
            </w:r>
          </w:p>
        </w:tc>
      </w:tr>
    </w:tbl>
    <w:p w:rsidR="00D9225E">
      <w:pPr>
        <w:pStyle w:val="LW19"/>
        <w:ind w:firstLine="540" w:firstLineChars="300"/>
      </w:pPr>
      <w:r>
        <w:rPr>
          <w:rFonts w:hint="eastAsia"/>
        </w:rPr>
        <w:t>注：（</w:t>
      </w:r>
      <w:r>
        <w:rPr>
          <w:rFonts w:hint="eastAsia"/>
        </w:rPr>
        <w:t>1</w:t>
      </w:r>
      <w:r>
        <w:rPr>
          <w:rFonts w:hint="eastAsia"/>
        </w:rPr>
        <w:t>）带“</w:t>
      </w:r>
      <w:r>
        <w:rPr>
          <w:rFonts w:hint="eastAsia"/>
        </w:rPr>
        <w:t>*</w:t>
      </w:r>
      <w:r>
        <w:rPr>
          <w:rFonts w:hint="eastAsia"/>
        </w:rPr>
        <w:t>”为经验取值。</w:t>
      </w:r>
    </w:p>
    <w:p w:rsidR="00D9225E">
      <w:pPr>
        <w:pStyle w:val="LW21"/>
      </w:pPr>
      <w:bookmarkStart w:id="81" w:name="_Toc88141331"/>
      <w:bookmarkStart w:id="82" w:name="_Toc88148452"/>
      <w:bookmarkStart w:id="83" w:name="_Toc3030"/>
      <w:bookmarkStart w:id="84" w:name="_Toc88140167"/>
      <w:r>
        <w:t>工程地质评价</w:t>
      </w:r>
      <w:bookmarkEnd w:id="81"/>
      <w:bookmarkEnd w:id="82"/>
      <w:bookmarkEnd w:id="83"/>
      <w:bookmarkEnd w:id="84"/>
    </w:p>
    <w:p w:rsidR="00D9225E">
      <w:pPr>
        <w:pStyle w:val="LW31"/>
      </w:pPr>
      <w:bookmarkStart w:id="85" w:name="_Toc88141332"/>
      <w:bookmarkStart w:id="86" w:name="_Toc80888617"/>
      <w:bookmarkStart w:id="87" w:name="_Toc17621"/>
      <w:bookmarkStart w:id="88" w:name="_Toc88148453"/>
      <w:bookmarkStart w:id="89" w:name="_Toc88140168"/>
      <w:bookmarkStart w:id="90" w:name="_Toc260687204"/>
      <w:r>
        <w:rPr>
          <w:rFonts w:hint="eastAsia"/>
        </w:rPr>
        <w:t>场地</w:t>
      </w:r>
      <w:r>
        <w:t>稳定性与适宜性评价</w:t>
      </w:r>
      <w:bookmarkEnd w:id="85"/>
      <w:bookmarkEnd w:id="86"/>
      <w:bookmarkEnd w:id="87"/>
      <w:bookmarkEnd w:id="88"/>
      <w:bookmarkEnd w:id="89"/>
      <w:bookmarkEnd w:id="90"/>
    </w:p>
    <w:p w:rsidR="00D9225E">
      <w:pPr>
        <w:spacing w:line="360" w:lineRule="auto"/>
        <w:ind w:firstLine="480" w:firstLineChars="200"/>
        <w:rPr>
          <w:rFonts w:ascii="宋体" w:eastAsia="宋体" w:hAnsi="宋体" w:cs="Times New Roman"/>
          <w:spacing w:val="10"/>
          <w:kern w:val="0"/>
          <w:sz w:val="24"/>
          <w:szCs w:val="24"/>
        </w:rPr>
      </w:pPr>
      <w:bookmarkStart w:id="91" w:name="_Toc88141333"/>
      <w:bookmarkStart w:id="92" w:name="_Toc88140169"/>
      <w:bookmarkStart w:id="93" w:name="_Toc88148454"/>
      <w:bookmarkStart w:id="94" w:name="_Toc80888618"/>
      <w:bookmarkStart w:id="95" w:name="_Toc83293012"/>
      <w:bookmarkStart w:id="96" w:name="_Toc88121980"/>
      <w:r>
        <w:rPr>
          <w:rFonts w:ascii="宋体" w:eastAsia="宋体" w:hAnsi="宋体" w:cs="Times New Roman" w:hint="eastAsia"/>
          <w:spacing w:val="10"/>
          <w:kern w:val="0"/>
          <w:sz w:val="24"/>
          <w:szCs w:val="24"/>
        </w:rPr>
        <w:t>拟建工程场地及周边不存在滑坡、泥石流、危岩及崩塌体、地面塌陷等不良地质现象。场内中风化基岩面整体平缓，岩溶中等发育，岩溶发育主要表现为岩体破碎，对岩溶发育区域在工程建设中采取工程措施处理后地基稳定，适宜本工程建设。</w:t>
      </w:r>
    </w:p>
    <w:p w:rsidR="00D9225E">
      <w:pPr>
        <w:spacing w:line="360" w:lineRule="auto"/>
        <w:ind w:firstLine="480" w:firstLineChars="200"/>
        <w:rPr>
          <w:rFonts w:ascii="宋体" w:eastAsia="宋体" w:hAnsi="宋体" w:cs="Times New Roman"/>
          <w:spacing w:val="10"/>
          <w:kern w:val="0"/>
          <w:sz w:val="24"/>
          <w:szCs w:val="24"/>
          <w:lang w:val="en-GB"/>
        </w:rPr>
      </w:pPr>
      <w:r>
        <w:rPr>
          <w:rFonts w:ascii="宋体" w:eastAsia="宋体" w:hAnsi="宋体" w:cs="Times New Roman" w:hint="eastAsia"/>
          <w:spacing w:val="10"/>
          <w:kern w:val="0"/>
          <w:sz w:val="24"/>
          <w:szCs w:val="24"/>
        </w:rPr>
        <w:t>由于不可预见的因素较多，加之勘探手段单一性和局限性，勘探点间可能存在隐伏溶洞，</w:t>
      </w:r>
      <w:r>
        <w:rPr>
          <w:rFonts w:ascii="宋体" w:eastAsia="宋体" w:hAnsi="宋体" w:cs="Times New Roman" w:hint="eastAsia"/>
          <w:spacing w:val="10"/>
          <w:kern w:val="0"/>
          <w:sz w:val="24"/>
          <w:szCs w:val="24"/>
        </w:rPr>
        <w:t>施工期间应加强验槽工作</w:t>
      </w:r>
      <w:r>
        <w:rPr>
          <w:rFonts w:ascii="宋体" w:eastAsia="宋体" w:hAnsi="宋体" w:cs="Times New Roman" w:hint="eastAsia"/>
          <w:spacing w:val="10"/>
          <w:kern w:val="0"/>
          <w:sz w:val="24"/>
          <w:szCs w:val="24"/>
          <w:lang w:val="en-GB"/>
        </w:rPr>
        <w:t>。</w:t>
      </w:r>
    </w:p>
    <w:p w:rsidR="00D9225E">
      <w:pPr>
        <w:pStyle w:val="LW31"/>
      </w:pPr>
      <w:bookmarkStart w:id="97" w:name="_Toc4389"/>
      <w:r>
        <w:t>地震效应评价</w:t>
      </w:r>
      <w:bookmarkEnd w:id="91"/>
      <w:bookmarkEnd w:id="92"/>
      <w:bookmarkEnd w:id="93"/>
      <w:bookmarkEnd w:id="94"/>
      <w:bookmarkEnd w:id="97"/>
    </w:p>
    <w:p w:rsidR="00D9225E">
      <w:pPr>
        <w:pStyle w:val="LW"/>
        <w:ind w:firstLine="520"/>
      </w:pPr>
      <w:r>
        <w:rPr>
          <w:rFonts w:hint="eastAsia"/>
        </w:rPr>
        <w:t>根据《中国地震动参数区划图》</w:t>
      </w:r>
      <w:r>
        <w:rPr>
          <w:rFonts w:hint="eastAsia"/>
        </w:rPr>
        <w:t>GB18306-2015</w:t>
      </w:r>
      <w:r>
        <w:rPr>
          <w:rFonts w:hint="eastAsia"/>
        </w:rPr>
        <w:t>的“附录</w:t>
      </w:r>
      <w:r>
        <w:rPr>
          <w:rFonts w:hint="eastAsia"/>
        </w:rPr>
        <w:t>A(</w:t>
      </w:r>
      <w:r>
        <w:rPr>
          <w:rFonts w:hint="eastAsia"/>
        </w:rPr>
        <w:t>规范性附录〉中国地震动峰值加速度区划图”和“附录</w:t>
      </w:r>
      <w:r>
        <w:rPr>
          <w:rFonts w:hint="eastAsia"/>
        </w:rPr>
        <w:t>B (</w:t>
      </w:r>
      <w:r>
        <w:rPr>
          <w:rFonts w:hint="eastAsia"/>
        </w:rPr>
        <w:t>规范性附录〉中国地震动加速度反应谱特征周期区划图”划分勘察区</w:t>
      </w:r>
      <w:r>
        <w:rPr>
          <w:rFonts w:hint="eastAsia"/>
        </w:rPr>
        <w:t>抗震设防烈度为</w:t>
      </w:r>
      <w:r>
        <w:rPr>
          <w:rFonts w:hint="eastAsia"/>
        </w:rPr>
        <w:t>6</w:t>
      </w:r>
      <w:r>
        <w:rPr>
          <w:rFonts w:hint="eastAsia"/>
        </w:rPr>
        <w:t>度，设计基本地震加速度值为</w:t>
      </w:r>
      <w:r>
        <w:rPr>
          <w:rFonts w:hint="eastAsia"/>
        </w:rPr>
        <w:t>0.05g</w:t>
      </w:r>
      <w:r>
        <w:rPr>
          <w:rFonts w:hint="eastAsia"/>
        </w:rPr>
        <w:t>。根据地区经验，场地岩土的剪切波速取值如下：素填土及后期填土属中软土（现有填土及后期回填土应按《公路路基设计规范》（</w:t>
      </w:r>
      <w:r>
        <w:rPr>
          <w:rFonts w:hint="eastAsia"/>
        </w:rPr>
        <w:t>JTGD30-2015</w:t>
      </w:r>
      <w:r>
        <w:rPr>
          <w:rFonts w:hint="eastAsia"/>
        </w:rPr>
        <w:t>）相关规定进行压实处理，压实度满足设计要求），剪切波速取</w:t>
      </w:r>
      <w:r>
        <w:rPr>
          <w:rFonts w:hint="eastAsia"/>
        </w:rPr>
        <w:t>160m/s</w:t>
      </w:r>
      <w:r>
        <w:rPr>
          <w:rFonts w:hint="eastAsia"/>
        </w:rPr>
        <w:t>（经验值）；红黏土属中软土，剪切波速取</w:t>
      </w:r>
      <w:r>
        <w:rPr>
          <w:rFonts w:hint="eastAsia"/>
        </w:rPr>
        <w:t>200m/s</w:t>
      </w:r>
      <w:r>
        <w:rPr>
          <w:rFonts w:hint="eastAsia"/>
        </w:rPr>
        <w:t>（经验值）；基岩属坚硬土，剪切波速大于</w:t>
      </w:r>
      <w:r>
        <w:rPr>
          <w:rFonts w:hint="eastAsia"/>
        </w:rPr>
        <w:t>800m/s</w:t>
      </w:r>
      <w:r>
        <w:rPr>
          <w:rFonts w:hint="eastAsia"/>
        </w:rPr>
        <w:t>。</w:t>
      </w:r>
    </w:p>
    <w:p w:rsidR="00D9225E">
      <w:pPr>
        <w:pStyle w:val="LW"/>
        <w:ind w:firstLine="520"/>
      </w:pPr>
      <w:r>
        <w:rPr>
          <w:rFonts w:hint="eastAsia"/>
        </w:rPr>
        <w:t>根据《公路工程抗震设计规范》（</w:t>
      </w:r>
      <w:r>
        <w:rPr>
          <w:rFonts w:hint="eastAsia"/>
        </w:rPr>
        <w:t>JTGB02-2013</w:t>
      </w:r>
      <w:r>
        <w:rPr>
          <w:rFonts w:hint="eastAsia"/>
        </w:rPr>
        <w:t>）</w:t>
      </w:r>
      <w:r>
        <w:rPr>
          <w:rFonts w:hint="eastAsia"/>
        </w:rPr>
        <w:t>4.1.3</w:t>
      </w:r>
      <w:r>
        <w:rPr>
          <w:rFonts w:hint="eastAsia"/>
        </w:rPr>
        <w:t>条规定，按照道路设计高程整平后对道路分段评价见表。</w:t>
      </w:r>
    </w:p>
    <w:p w:rsidR="00D9225E">
      <w:pPr>
        <w:pStyle w:val="LW6"/>
      </w:pPr>
      <w:r>
        <w:rPr>
          <w:rFonts w:hint="eastAsia"/>
        </w:rPr>
        <w:t>表</w:t>
      </w:r>
      <w:r>
        <w:rPr>
          <w:rFonts w:hint="eastAsia"/>
        </w:rPr>
        <w:t>4</w:t>
      </w:r>
      <w:r>
        <w:t>.3.2-1</w:t>
      </w:r>
      <w:r>
        <w:rPr>
          <w:rFonts w:hint="eastAsia"/>
        </w:rPr>
        <w:t>道路分段场地类别及</w:t>
      </w:r>
      <w:r>
        <w:rPr>
          <w:rFonts w:hint="eastAsia"/>
        </w:rPr>
        <w:t>特征周期值</w:t>
      </w:r>
    </w:p>
    <w:tbl>
      <w:tblPr>
        <w:tblStyle w:val="TableNormal"/>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38"/>
        <w:gridCol w:w="2819"/>
        <w:gridCol w:w="1372"/>
        <w:gridCol w:w="940"/>
        <w:gridCol w:w="660"/>
        <w:gridCol w:w="997"/>
        <w:gridCol w:w="1232"/>
        <w:gridCol w:w="1081"/>
      </w:tblGrid>
      <w:tr>
        <w:tblPrEx>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Ex>
        <w:trPr>
          <w:trHeight w:val="454"/>
          <w:jc w:val="center"/>
        </w:trPr>
        <w:tc>
          <w:tcPr>
            <w:tcW w:w="1094" w:type="dxa"/>
            <w:tcBorders>
              <w:tl2br w:val="nil"/>
              <w:tr2bl w:val="nil"/>
            </w:tcBorders>
            <w:vAlign w:val="center"/>
          </w:tcPr>
          <w:p w:rsidR="00D9225E">
            <w:pPr>
              <w:pStyle w:val="LW15"/>
            </w:pPr>
            <w:r>
              <w:rPr>
                <w:rFonts w:hint="eastAsia"/>
              </w:rPr>
              <w:t>道路名称</w:t>
            </w:r>
          </w:p>
        </w:tc>
        <w:tc>
          <w:tcPr>
            <w:tcW w:w="2712" w:type="dxa"/>
            <w:tcBorders>
              <w:tl2br w:val="nil"/>
              <w:tr2bl w:val="nil"/>
            </w:tcBorders>
            <w:vAlign w:val="center"/>
          </w:tcPr>
          <w:p w:rsidR="00D9225E">
            <w:pPr>
              <w:pStyle w:val="LW15"/>
            </w:pPr>
            <w:r>
              <w:rPr>
                <w:rFonts w:hint="eastAsia"/>
              </w:rPr>
              <w:t>里程桩号</w:t>
            </w:r>
          </w:p>
        </w:tc>
        <w:tc>
          <w:tcPr>
            <w:tcW w:w="1320" w:type="dxa"/>
            <w:tcBorders>
              <w:tl2br w:val="nil"/>
              <w:tr2bl w:val="nil"/>
            </w:tcBorders>
            <w:vAlign w:val="center"/>
          </w:tcPr>
          <w:p w:rsidR="00D9225E">
            <w:pPr>
              <w:pStyle w:val="LW15"/>
            </w:pPr>
            <w:r>
              <w:rPr>
                <w:rFonts w:hint="eastAsia"/>
              </w:rPr>
              <w:t>覆盖层厚度</w:t>
            </w:r>
            <w:r>
              <w:rPr>
                <w:rFonts w:hint="eastAsia"/>
              </w:rPr>
              <w:t>(m)</w:t>
            </w:r>
          </w:p>
        </w:tc>
        <w:tc>
          <w:tcPr>
            <w:tcW w:w="904" w:type="dxa"/>
            <w:tcBorders>
              <w:tl2br w:val="nil"/>
              <w:tr2bl w:val="nil"/>
            </w:tcBorders>
            <w:vAlign w:val="center"/>
          </w:tcPr>
          <w:p w:rsidR="00D9225E">
            <w:pPr>
              <w:pStyle w:val="LW15"/>
            </w:pPr>
            <w:r>
              <w:rPr>
                <w:rFonts w:hint="eastAsia"/>
              </w:rPr>
              <w:t>等效剪</w:t>
            </w:r>
          </w:p>
          <w:p w:rsidR="00D9225E">
            <w:pPr>
              <w:pStyle w:val="LW15"/>
            </w:pPr>
            <w:r>
              <w:rPr>
                <w:rFonts w:hint="eastAsia"/>
              </w:rPr>
              <w:t>切波速</w:t>
            </w:r>
            <w:r>
              <w:rPr>
                <w:rFonts w:hint="eastAsia"/>
              </w:rPr>
              <w:t>(m/s)</w:t>
            </w:r>
          </w:p>
        </w:tc>
        <w:tc>
          <w:tcPr>
            <w:tcW w:w="635" w:type="dxa"/>
            <w:tcBorders>
              <w:tl2br w:val="nil"/>
              <w:tr2bl w:val="nil"/>
            </w:tcBorders>
            <w:vAlign w:val="center"/>
          </w:tcPr>
          <w:p w:rsidR="00D9225E">
            <w:pPr>
              <w:pStyle w:val="LW15"/>
            </w:pPr>
            <w:r>
              <w:rPr>
                <w:rFonts w:hint="eastAsia"/>
              </w:rPr>
              <w:t>场地类别</w:t>
            </w:r>
          </w:p>
        </w:tc>
        <w:tc>
          <w:tcPr>
            <w:tcW w:w="959" w:type="dxa"/>
            <w:tcBorders>
              <w:tl2br w:val="nil"/>
              <w:tr2bl w:val="nil"/>
            </w:tcBorders>
            <w:vAlign w:val="center"/>
          </w:tcPr>
          <w:p w:rsidR="00D9225E">
            <w:pPr>
              <w:pStyle w:val="LW15"/>
            </w:pPr>
            <w:r>
              <w:rPr>
                <w:rFonts w:hint="eastAsia"/>
              </w:rPr>
              <w:t>特征周</w:t>
            </w:r>
          </w:p>
          <w:p w:rsidR="00D9225E">
            <w:pPr>
              <w:pStyle w:val="LW15"/>
            </w:pPr>
            <w:r>
              <w:rPr>
                <w:rFonts w:hint="eastAsia"/>
              </w:rPr>
              <w:t>期值</w:t>
            </w:r>
            <w:r>
              <w:rPr>
                <w:rFonts w:hint="eastAsia"/>
              </w:rPr>
              <w:t>(s)</w:t>
            </w:r>
          </w:p>
        </w:tc>
        <w:tc>
          <w:tcPr>
            <w:tcW w:w="1185" w:type="dxa"/>
            <w:tcBorders>
              <w:tl2br w:val="nil"/>
              <w:tr2bl w:val="nil"/>
            </w:tcBorders>
            <w:vAlign w:val="center"/>
          </w:tcPr>
          <w:p w:rsidR="00D9225E">
            <w:pPr>
              <w:pStyle w:val="LW15"/>
            </w:pPr>
            <w:r>
              <w:rPr>
                <w:rFonts w:hint="eastAsia"/>
              </w:rPr>
              <w:t>抗震地段分类</w:t>
            </w:r>
          </w:p>
        </w:tc>
        <w:tc>
          <w:tcPr>
            <w:tcW w:w="1040" w:type="dxa"/>
            <w:tcBorders>
              <w:tl2br w:val="nil"/>
              <w:tr2bl w:val="nil"/>
            </w:tcBorders>
            <w:vAlign w:val="center"/>
          </w:tcPr>
          <w:p w:rsidR="00D9225E">
            <w:pPr>
              <w:pStyle w:val="LW15"/>
            </w:pPr>
            <w:r>
              <w:rPr>
                <w:rFonts w:hint="eastAsia"/>
              </w:rPr>
              <w:t>地震</w:t>
            </w:r>
          </w:p>
          <w:p w:rsidR="00D9225E">
            <w:pPr>
              <w:pStyle w:val="LW15"/>
            </w:pPr>
            <w:r>
              <w:rPr>
                <w:rFonts w:hint="eastAsia"/>
              </w:rPr>
              <w:t>分组</w:t>
            </w:r>
          </w:p>
        </w:tc>
      </w:tr>
      <w:tr>
        <w:tblPrEx>
          <w:tblW w:w="4997" w:type="pct"/>
          <w:jc w:val="center"/>
          <w:tblLayout w:type="fixed"/>
          <w:tblLook w:val="04A0"/>
        </w:tblPrEx>
        <w:trPr>
          <w:trHeight w:val="622"/>
          <w:jc w:val="center"/>
        </w:trPr>
        <w:tc>
          <w:tcPr>
            <w:tcW w:w="1094" w:type="dxa"/>
            <w:vMerge w:val="restart"/>
            <w:tcBorders>
              <w:tl2br w:val="nil"/>
              <w:tr2bl w:val="nil"/>
            </w:tcBorders>
            <w:vAlign w:val="center"/>
          </w:tcPr>
          <w:p w:rsidR="00D9225E">
            <w:pPr>
              <w:pStyle w:val="LW13"/>
            </w:pPr>
            <w:r>
              <w:rPr>
                <w:rFonts w:hint="eastAsia"/>
              </w:rPr>
              <w:t>纵一路</w:t>
            </w:r>
          </w:p>
        </w:tc>
        <w:tc>
          <w:tcPr>
            <w:tcW w:w="2712"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K0+017.306</w:t>
            </w:r>
            <w:r>
              <w:rPr>
                <w:rFonts w:ascii="宋体" w:eastAsia="宋体" w:hAnsi="宋体" w:cs="Times New Roman" w:hint="eastAsia"/>
                <w:spacing w:val="10"/>
                <w:kern w:val="0"/>
                <w:sz w:val="18"/>
                <w:szCs w:val="24"/>
              </w:rPr>
              <w:t>～</w:t>
            </w:r>
            <w:r>
              <w:rPr>
                <w:rFonts w:ascii="宋体" w:eastAsia="宋体" w:hAnsi="宋体" w:cs="Times New Roman" w:hint="eastAsia"/>
                <w:spacing w:val="10"/>
                <w:kern w:val="0"/>
                <w:sz w:val="18"/>
                <w:szCs w:val="24"/>
              </w:rPr>
              <w:t>K0+200m</w:t>
            </w:r>
            <w:r>
              <w:rPr>
                <w:rFonts w:ascii="宋体" w:eastAsia="宋体" w:hAnsi="宋体" w:cs="Times New Roman" w:hint="eastAsia"/>
                <w:spacing w:val="10"/>
                <w:kern w:val="0"/>
                <w:sz w:val="18"/>
                <w:szCs w:val="24"/>
              </w:rPr>
              <w:t>段</w:t>
            </w:r>
          </w:p>
        </w:tc>
        <w:tc>
          <w:tcPr>
            <w:tcW w:w="1320"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0.00</w:t>
            </w:r>
            <w:r>
              <w:rPr>
                <w:rFonts w:ascii="宋体" w:eastAsia="宋体" w:hAnsi="宋体" w:cs="Times New Roman" w:hint="eastAsia"/>
                <w:spacing w:val="10"/>
                <w:kern w:val="0"/>
                <w:sz w:val="18"/>
                <w:szCs w:val="24"/>
              </w:rPr>
              <w:t>～</w:t>
            </w:r>
            <w:r>
              <w:rPr>
                <w:rFonts w:ascii="宋体" w:eastAsia="宋体" w:hAnsi="宋体" w:cs="Times New Roman" w:hint="eastAsia"/>
                <w:spacing w:val="10"/>
                <w:kern w:val="0"/>
                <w:sz w:val="18"/>
                <w:szCs w:val="24"/>
              </w:rPr>
              <w:t>2.50</w:t>
            </w:r>
          </w:p>
        </w:tc>
        <w:tc>
          <w:tcPr>
            <w:tcW w:w="904"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200</w:t>
            </w:r>
          </w:p>
        </w:tc>
        <w:tc>
          <w:tcPr>
            <w:tcW w:w="635"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lang w:val="eu-ES"/>
              </w:rPr>
              <w:t>Ⅰ</w:t>
            </w:r>
            <w:r>
              <w:rPr>
                <w:rFonts w:ascii="宋体" w:eastAsia="宋体" w:hAnsi="宋体" w:cs="Times New Roman" w:hint="eastAsia"/>
                <w:spacing w:val="10"/>
                <w:kern w:val="0"/>
                <w:sz w:val="18"/>
                <w:szCs w:val="24"/>
              </w:rPr>
              <w:t>1</w:t>
            </w:r>
          </w:p>
        </w:tc>
        <w:tc>
          <w:tcPr>
            <w:tcW w:w="959"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0.25</w:t>
            </w:r>
          </w:p>
        </w:tc>
        <w:tc>
          <w:tcPr>
            <w:tcW w:w="1185" w:type="dxa"/>
            <w:tcBorders>
              <w:tl2br w:val="nil"/>
              <w:tr2bl w:val="nil"/>
            </w:tcBorders>
            <w:vAlign w:val="center"/>
          </w:tcPr>
          <w:p w:rsidR="00D9225E">
            <w:pP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有利地段</w:t>
            </w:r>
          </w:p>
        </w:tc>
        <w:tc>
          <w:tcPr>
            <w:tcW w:w="1040"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第一组</w:t>
            </w:r>
          </w:p>
        </w:tc>
      </w:tr>
      <w:tr>
        <w:tblPrEx>
          <w:tblW w:w="4997" w:type="pct"/>
          <w:jc w:val="center"/>
          <w:tblLayout w:type="fixed"/>
          <w:tblLook w:val="04A0"/>
        </w:tblPrEx>
        <w:trPr>
          <w:trHeight w:val="622"/>
          <w:jc w:val="center"/>
        </w:trPr>
        <w:tc>
          <w:tcPr>
            <w:tcW w:w="1094" w:type="dxa"/>
            <w:vMerge/>
            <w:tcBorders>
              <w:tl2br w:val="nil"/>
              <w:tr2bl w:val="nil"/>
            </w:tcBorders>
            <w:vAlign w:val="center"/>
          </w:tcPr>
          <w:p w:rsidR="00D9225E">
            <w:pPr>
              <w:pStyle w:val="LW13"/>
              <w:rPr>
                <w:kern w:val="2"/>
              </w:rPr>
            </w:pPr>
          </w:p>
        </w:tc>
        <w:tc>
          <w:tcPr>
            <w:tcW w:w="2712"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K0+200</w:t>
            </w:r>
            <w:r>
              <w:rPr>
                <w:rFonts w:ascii="宋体" w:eastAsia="宋体" w:hAnsi="宋体" w:cs="Times New Roman" w:hint="eastAsia"/>
                <w:spacing w:val="10"/>
                <w:kern w:val="0"/>
                <w:sz w:val="18"/>
                <w:szCs w:val="24"/>
              </w:rPr>
              <w:t>～</w:t>
            </w:r>
            <w:r>
              <w:rPr>
                <w:rFonts w:ascii="宋体" w:eastAsia="宋体" w:hAnsi="宋体" w:cs="Times New Roman" w:hint="eastAsia"/>
                <w:spacing w:val="10"/>
                <w:kern w:val="0"/>
                <w:sz w:val="18"/>
                <w:szCs w:val="24"/>
              </w:rPr>
              <w:t>K0+300m</w:t>
            </w:r>
            <w:r>
              <w:rPr>
                <w:rFonts w:ascii="宋体" w:eastAsia="宋体" w:hAnsi="宋体" w:cs="Times New Roman" w:hint="eastAsia"/>
                <w:spacing w:val="10"/>
                <w:kern w:val="0"/>
                <w:sz w:val="18"/>
                <w:szCs w:val="24"/>
              </w:rPr>
              <w:t>段</w:t>
            </w:r>
          </w:p>
        </w:tc>
        <w:tc>
          <w:tcPr>
            <w:tcW w:w="1320"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0.00</w:t>
            </w:r>
            <w:r>
              <w:rPr>
                <w:rFonts w:ascii="宋体" w:eastAsia="宋体" w:hAnsi="宋体" w:cs="Times New Roman" w:hint="eastAsia"/>
                <w:spacing w:val="10"/>
                <w:kern w:val="0"/>
                <w:sz w:val="18"/>
                <w:szCs w:val="24"/>
              </w:rPr>
              <w:t>～</w:t>
            </w:r>
            <w:r>
              <w:rPr>
                <w:rFonts w:ascii="宋体" w:eastAsia="宋体" w:hAnsi="宋体" w:cs="Times New Roman" w:hint="eastAsia"/>
                <w:spacing w:val="10"/>
                <w:kern w:val="0"/>
                <w:sz w:val="18"/>
                <w:szCs w:val="24"/>
              </w:rPr>
              <w:t>3.00</w:t>
            </w:r>
          </w:p>
        </w:tc>
        <w:tc>
          <w:tcPr>
            <w:tcW w:w="904"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200</w:t>
            </w:r>
          </w:p>
        </w:tc>
        <w:tc>
          <w:tcPr>
            <w:tcW w:w="635"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lang w:val="eu-ES"/>
              </w:rPr>
              <w:t>Ⅱ</w:t>
            </w:r>
          </w:p>
        </w:tc>
        <w:tc>
          <w:tcPr>
            <w:tcW w:w="959"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0.35</w:t>
            </w:r>
          </w:p>
        </w:tc>
        <w:tc>
          <w:tcPr>
            <w:tcW w:w="1185"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一般地段</w:t>
            </w:r>
          </w:p>
        </w:tc>
        <w:tc>
          <w:tcPr>
            <w:tcW w:w="1040"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第一组</w:t>
            </w:r>
          </w:p>
        </w:tc>
      </w:tr>
      <w:tr>
        <w:tblPrEx>
          <w:tblW w:w="4997" w:type="pct"/>
          <w:jc w:val="center"/>
          <w:tblLayout w:type="fixed"/>
          <w:tblLook w:val="04A0"/>
        </w:tblPrEx>
        <w:trPr>
          <w:trHeight w:val="622"/>
          <w:jc w:val="center"/>
        </w:trPr>
        <w:tc>
          <w:tcPr>
            <w:tcW w:w="1094" w:type="dxa"/>
            <w:vMerge/>
            <w:tcBorders>
              <w:tl2br w:val="nil"/>
              <w:tr2bl w:val="nil"/>
            </w:tcBorders>
            <w:vAlign w:val="center"/>
          </w:tcPr>
          <w:p w:rsidR="00D9225E">
            <w:pPr>
              <w:pStyle w:val="LW13"/>
              <w:rPr>
                <w:kern w:val="2"/>
              </w:rPr>
            </w:pPr>
          </w:p>
        </w:tc>
        <w:tc>
          <w:tcPr>
            <w:tcW w:w="2712"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K0+200</w:t>
            </w:r>
            <w:r>
              <w:rPr>
                <w:rFonts w:ascii="宋体" w:eastAsia="宋体" w:hAnsi="宋体" w:cs="Times New Roman" w:hint="eastAsia"/>
                <w:spacing w:val="10"/>
                <w:kern w:val="0"/>
                <w:sz w:val="18"/>
                <w:szCs w:val="24"/>
              </w:rPr>
              <w:t>～</w:t>
            </w:r>
            <w:r>
              <w:rPr>
                <w:rFonts w:ascii="宋体" w:eastAsia="宋体" w:hAnsi="宋体" w:cs="Times New Roman" w:hint="eastAsia"/>
                <w:spacing w:val="10"/>
                <w:kern w:val="0"/>
                <w:sz w:val="18"/>
                <w:szCs w:val="24"/>
              </w:rPr>
              <w:t>K0+791.293m</w:t>
            </w:r>
            <w:r>
              <w:rPr>
                <w:rFonts w:ascii="宋体" w:eastAsia="宋体" w:hAnsi="宋体" w:cs="Times New Roman" w:hint="eastAsia"/>
                <w:spacing w:val="10"/>
                <w:kern w:val="0"/>
                <w:sz w:val="18"/>
                <w:szCs w:val="24"/>
              </w:rPr>
              <w:t>段（终点）</w:t>
            </w:r>
          </w:p>
        </w:tc>
        <w:tc>
          <w:tcPr>
            <w:tcW w:w="1320"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3.00</w:t>
            </w:r>
            <w:r>
              <w:rPr>
                <w:rFonts w:ascii="宋体" w:eastAsia="宋体" w:hAnsi="宋体" w:cs="Times New Roman" w:hint="eastAsia"/>
                <w:spacing w:val="10"/>
                <w:kern w:val="0"/>
                <w:sz w:val="18"/>
                <w:szCs w:val="24"/>
              </w:rPr>
              <w:t>～</w:t>
            </w:r>
            <w:r>
              <w:rPr>
                <w:rFonts w:ascii="宋体" w:eastAsia="宋体" w:hAnsi="宋体" w:cs="Times New Roman" w:hint="eastAsia"/>
                <w:spacing w:val="10"/>
                <w:kern w:val="0"/>
                <w:sz w:val="18"/>
                <w:szCs w:val="24"/>
              </w:rPr>
              <w:t>12.408</w:t>
            </w:r>
          </w:p>
        </w:tc>
        <w:tc>
          <w:tcPr>
            <w:tcW w:w="904"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200</w:t>
            </w:r>
          </w:p>
        </w:tc>
        <w:tc>
          <w:tcPr>
            <w:tcW w:w="635"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lang w:val="eu-ES"/>
              </w:rPr>
              <w:t>Ⅱ</w:t>
            </w:r>
          </w:p>
        </w:tc>
        <w:tc>
          <w:tcPr>
            <w:tcW w:w="959"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0.35</w:t>
            </w:r>
          </w:p>
        </w:tc>
        <w:tc>
          <w:tcPr>
            <w:tcW w:w="1185"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一般地段</w:t>
            </w:r>
          </w:p>
        </w:tc>
        <w:tc>
          <w:tcPr>
            <w:tcW w:w="1040" w:type="dxa"/>
            <w:tcBorders>
              <w:tl2br w:val="nil"/>
              <w:tr2bl w:val="nil"/>
            </w:tcBorders>
            <w:vAlign w:val="center"/>
          </w:tcPr>
          <w:p w:rsidR="00D9225E">
            <w:pPr>
              <w:jc w:val="center"/>
              <w:rPr>
                <w:rFonts w:ascii="宋体" w:eastAsia="宋体" w:hAnsi="宋体" w:cs="Times New Roman"/>
                <w:spacing w:val="10"/>
                <w:kern w:val="0"/>
                <w:sz w:val="18"/>
                <w:szCs w:val="24"/>
              </w:rPr>
            </w:pPr>
            <w:r>
              <w:rPr>
                <w:rFonts w:ascii="宋体" w:eastAsia="宋体" w:hAnsi="宋体" w:cs="Times New Roman" w:hint="eastAsia"/>
                <w:spacing w:val="10"/>
                <w:kern w:val="0"/>
                <w:sz w:val="18"/>
                <w:szCs w:val="24"/>
              </w:rPr>
              <w:t>第一组</w:t>
            </w:r>
          </w:p>
        </w:tc>
      </w:tr>
    </w:tbl>
    <w:p w:rsidR="00D9225E">
      <w:pPr>
        <w:pStyle w:val="LW"/>
        <w:ind w:firstLine="520"/>
        <w:rPr>
          <w:rFonts w:cs="Times New Roman"/>
        </w:rPr>
      </w:pPr>
      <w:bookmarkStart w:id="98" w:name="_Toc80888619"/>
      <w:bookmarkStart w:id="99" w:name="_Toc88141334"/>
      <w:bookmarkStart w:id="100" w:name="_Toc88148455"/>
      <w:bookmarkStart w:id="101" w:name="_Toc88140170"/>
      <w:r>
        <w:rPr>
          <w:rFonts w:cs="Times New Roman" w:hint="eastAsia"/>
        </w:rPr>
        <w:t>岩土地震稳定性评价：拟建场地内主要土体为第四系全新统人工填土、红黏土，无饱和砂土和饱和粉土、软土，不存在地震液化及软土震陷问题。场地无危岩崩塌、采空区、塌陷、泥石流等不良地质现象，场地不存在沙土液化及震陷等岩土的地震稳定性问题。</w:t>
      </w:r>
    </w:p>
    <w:p w:rsidR="00D9225E">
      <w:pPr>
        <w:pStyle w:val="LW"/>
        <w:ind w:firstLine="520"/>
        <w:rPr>
          <w:rFonts w:cs="Times New Roman"/>
        </w:rPr>
        <w:sectPr>
          <w:headerReference w:type="even" r:id="rId32"/>
          <w:footerReference w:type="even" r:id="rId33"/>
          <w:type w:val="nextPage"/>
          <w:pgSz w:w="23811" w:h="16838" w:orient="landscape"/>
          <w:pgMar w:top="851" w:right="851" w:bottom="3119" w:left="1985" w:header="879" w:footer="765" w:gutter="0"/>
          <w:pgNumType w:start="9"/>
          <w:cols w:num="2" w:space="425"/>
          <w:titlePg w:val="0"/>
          <w:docGrid w:type="lines" w:linePitch="312"/>
        </w:sectPr>
      </w:pPr>
      <w:r>
        <w:rPr>
          <w:rFonts w:cs="Times New Roman" w:hint="eastAsia"/>
        </w:rPr>
        <w:t>根据《建筑边坡工程技术规范》（</w:t>
      </w:r>
      <w:r>
        <w:rPr>
          <w:rFonts w:cs="Times New Roman" w:hint="eastAsia"/>
        </w:rPr>
        <w:t>GB50330-2013</w:t>
      </w:r>
      <w:r>
        <w:rPr>
          <w:rFonts w:cs="Times New Roman" w:hint="eastAsia"/>
        </w:rPr>
        <w:t>）中</w:t>
      </w:r>
      <w:r>
        <w:rPr>
          <w:rFonts w:cs="Times New Roman" w:hint="eastAsia"/>
        </w:rPr>
        <w:t>5.2.5</w:t>
      </w:r>
    </w:p>
    <w:p w:rsidR="00D9225E">
      <w:pPr>
        <w:pStyle w:val="LW"/>
        <w:ind w:firstLine="520"/>
        <w:rPr>
          <w:rFonts w:cs="Times New Roman"/>
        </w:rPr>
      </w:pPr>
      <w:r>
        <w:rPr>
          <w:rFonts w:cs="Times New Roman" w:hint="eastAsia"/>
        </w:rPr>
        <w:t>条规定，本场地抗震设防烈度为</w:t>
      </w:r>
      <w:r>
        <w:rPr>
          <w:rFonts w:cs="Times New Roman" w:hint="eastAsia"/>
        </w:rPr>
        <w:t>6</w:t>
      </w:r>
      <w:r>
        <w:rPr>
          <w:rFonts w:cs="Times New Roman" w:hint="eastAsia"/>
        </w:rPr>
        <w:t>度，可不进行地震工况下边坡稳定性校核。</w:t>
      </w:r>
    </w:p>
    <w:p w:rsidR="00D9225E">
      <w:pPr>
        <w:pStyle w:val="LW31"/>
      </w:pPr>
      <w:bookmarkStart w:id="102" w:name="_Toc18943"/>
      <w:r>
        <w:rPr>
          <w:rFonts w:hint="eastAsia"/>
        </w:rPr>
        <w:t>现状边坡</w:t>
      </w:r>
      <w:r>
        <w:t>稳定性评价</w:t>
      </w:r>
      <w:bookmarkEnd w:id="98"/>
      <w:bookmarkEnd w:id="99"/>
      <w:bookmarkEnd w:id="100"/>
      <w:bookmarkEnd w:id="101"/>
      <w:bookmarkEnd w:id="102"/>
    </w:p>
    <w:p w:rsidR="00D9225E">
      <w:pPr>
        <w:spacing w:line="360" w:lineRule="auto"/>
        <w:ind w:firstLine="480" w:firstLineChars="200"/>
        <w:jc w:val="left"/>
        <w:rPr>
          <w:rFonts w:ascii="宋体" w:eastAsia="宋体" w:hAnsi="宋体" w:cs="Times New Roman"/>
          <w:spacing w:val="10"/>
          <w:kern w:val="0"/>
          <w:sz w:val="24"/>
          <w:szCs w:val="24"/>
        </w:rPr>
      </w:pPr>
      <w:bookmarkStart w:id="103" w:name="_Toc88148456"/>
      <w:bookmarkStart w:id="104" w:name="_Toc88140171"/>
      <w:bookmarkStart w:id="105" w:name="_Toc80888620"/>
      <w:bookmarkStart w:id="106" w:name="_Toc2435311"/>
      <w:bookmarkStart w:id="107" w:name="_Toc88141335"/>
      <w:r>
        <w:rPr>
          <w:rFonts w:ascii="宋体" w:eastAsia="宋体" w:hAnsi="宋体" w:cs="Times New Roman" w:hint="eastAsia"/>
          <w:spacing w:val="10"/>
          <w:kern w:val="0"/>
          <w:sz w:val="24"/>
          <w:szCs w:val="24"/>
        </w:rPr>
        <w:t>场地主要为斜坡及农田分布，斜坡地形坡角一般</w:t>
      </w:r>
      <w:r>
        <w:rPr>
          <w:rFonts w:ascii="宋体" w:eastAsia="宋体" w:hAnsi="宋体" w:cs="Times New Roman" w:hint="eastAsia"/>
          <w:spacing w:val="10"/>
          <w:kern w:val="0"/>
          <w:sz w:val="24"/>
          <w:szCs w:val="24"/>
        </w:rPr>
        <w:t>3</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10</w:t>
      </w:r>
      <w:r>
        <w:rPr>
          <w:rFonts w:ascii="宋体" w:eastAsia="宋体" w:hAnsi="宋体" w:cs="Times New Roman" w:hint="eastAsia"/>
          <w:spacing w:val="10"/>
          <w:kern w:val="0"/>
          <w:sz w:val="24"/>
          <w:szCs w:val="24"/>
        </w:rPr>
        <w:t>°，斜坡覆盖土层厚度一般较薄，地表未见变形开裂迹象，斜坡现状稳定。农田呈阶梯状分布，地面及下伏基岩面较平缓，现状稳定。</w:t>
      </w:r>
    </w:p>
    <w:p w:rsidR="00D9225E">
      <w:pPr>
        <w:spacing w:line="360" w:lineRule="auto"/>
        <w:ind w:firstLine="480" w:firstLineChars="200"/>
        <w:jc w:val="left"/>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场地局部为陡坡分布，地形坡角一般</w:t>
      </w:r>
      <w:r>
        <w:rPr>
          <w:rFonts w:ascii="宋体" w:eastAsia="宋体" w:hAnsi="宋体" w:cs="Times New Roman" w:hint="eastAsia"/>
          <w:spacing w:val="10"/>
          <w:kern w:val="0"/>
          <w:sz w:val="24"/>
          <w:szCs w:val="24"/>
        </w:rPr>
        <w:t>15</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20</w:t>
      </w:r>
      <w:r>
        <w:rPr>
          <w:rFonts w:ascii="宋体" w:eastAsia="宋体" w:hAnsi="宋体" w:cs="Times New Roman" w:hint="eastAsia"/>
          <w:spacing w:val="10"/>
          <w:kern w:val="0"/>
          <w:sz w:val="24"/>
          <w:szCs w:val="24"/>
        </w:rPr>
        <w:t>°，局部呈陡坎状，现状稳定。场地内已</w:t>
      </w:r>
      <w:r>
        <w:rPr>
          <w:rFonts w:ascii="宋体" w:eastAsia="宋体" w:hAnsi="宋体" w:cs="Times New Roman" w:hint="eastAsia"/>
          <w:spacing w:val="10"/>
          <w:kern w:val="0"/>
          <w:sz w:val="24"/>
          <w:szCs w:val="24"/>
        </w:rPr>
        <w:t>建挡墙未见变形、开裂迹象，现状稳定。</w:t>
      </w:r>
    </w:p>
    <w:p w:rsidR="00D9225E">
      <w:pPr>
        <w:spacing w:line="360" w:lineRule="auto"/>
        <w:ind w:firstLine="480" w:firstLineChars="200"/>
        <w:jc w:val="left"/>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综上分析，场地内斜坡、陡坡、边坡现状稳定，勘察场地及周边未发现崩塌、危岩、滑坡、泥石流等不良地质现象；未发现墓穴、防空洞、孤石等对工程不利的埋藏物。场地整体稳定。</w:t>
      </w:r>
    </w:p>
    <w:p w:rsidR="00D9225E">
      <w:pPr>
        <w:pStyle w:val="LW31"/>
      </w:pPr>
      <w:bookmarkStart w:id="108" w:name="_Toc31495"/>
      <w:r>
        <w:rPr>
          <w:rFonts w:hint="eastAsia"/>
        </w:rPr>
        <w:t>路基工程</w:t>
      </w:r>
      <w:r>
        <w:t>地质</w:t>
      </w:r>
      <w:r>
        <w:rPr>
          <w:rFonts w:hint="eastAsia"/>
        </w:rPr>
        <w:t>评价</w:t>
      </w:r>
      <w:bookmarkEnd w:id="103"/>
      <w:bookmarkEnd w:id="104"/>
      <w:bookmarkEnd w:id="105"/>
      <w:bookmarkEnd w:id="106"/>
      <w:bookmarkEnd w:id="107"/>
      <w:bookmarkEnd w:id="108"/>
    </w:p>
    <w:p w:rsidR="00D9225E">
      <w:pPr>
        <w:pStyle w:val="LW"/>
        <w:ind w:firstLine="520"/>
        <w:rPr>
          <w:rFonts w:cs="Times New Roman"/>
        </w:rPr>
      </w:pPr>
      <w:r>
        <w:rPr>
          <w:rFonts w:cs="Times New Roman" w:hint="eastAsia"/>
        </w:rPr>
        <w:t>1</w:t>
      </w:r>
      <w:r>
        <w:rPr>
          <w:rFonts w:cs="Times New Roman" w:hint="eastAsia"/>
        </w:rPr>
        <w:t>、</w:t>
      </w:r>
      <w:r>
        <w:rPr>
          <w:rFonts w:cs="Times New Roman" w:hint="eastAsia"/>
        </w:rPr>
        <w:t>K0+017.306</w:t>
      </w:r>
      <w:r>
        <w:rPr>
          <w:rFonts w:cs="Times New Roman" w:hint="eastAsia"/>
        </w:rPr>
        <w:t>～</w:t>
      </w:r>
      <w:r>
        <w:rPr>
          <w:rFonts w:cs="Times New Roman" w:hint="eastAsia"/>
        </w:rPr>
        <w:t>K0+200</w:t>
      </w:r>
    </w:p>
    <w:p w:rsidR="00D9225E">
      <w:pPr>
        <w:pStyle w:val="LW"/>
        <w:ind w:firstLine="520"/>
      </w:pPr>
      <w:r>
        <w:rPr>
          <w:rFonts w:hint="eastAsia"/>
        </w:rPr>
        <w:t>左侧边坡</w:t>
      </w:r>
    </w:p>
    <w:p w:rsidR="00D9225E">
      <w:pPr>
        <w:pStyle w:val="LW"/>
        <w:ind w:firstLine="520"/>
      </w:pPr>
      <w:r>
        <w:rPr>
          <w:rFonts w:hint="eastAsia"/>
        </w:rPr>
        <w:t>按设计高程整平后，将在道路左侧形成挖方边坡，最高约</w:t>
      </w:r>
      <w:r>
        <w:rPr>
          <w:rFonts w:hint="eastAsia"/>
        </w:rPr>
        <w:t>14.58</w:t>
      </w:r>
      <w:r>
        <w:rPr>
          <w:rFonts w:hint="eastAsia"/>
        </w:rPr>
        <w:t>m</w:t>
      </w:r>
      <w:r>
        <w:rPr>
          <w:rFonts w:hint="eastAsia"/>
        </w:rPr>
        <w:t>，土体厚度为</w:t>
      </w:r>
      <w:r>
        <w:rPr>
          <w:rFonts w:hint="eastAsia"/>
        </w:rPr>
        <w:t>6.80</w:t>
      </w:r>
      <w:r>
        <w:rPr>
          <w:rFonts w:hint="eastAsia"/>
        </w:rPr>
        <w:t>～</w:t>
      </w:r>
      <w:r>
        <w:rPr>
          <w:rFonts w:hint="eastAsia"/>
        </w:rPr>
        <w:t>12.80m,</w:t>
      </w:r>
      <w:r>
        <w:rPr>
          <w:rFonts w:hint="eastAsia"/>
        </w:rPr>
        <w:t>岩体为白云岩，为岩土质边坡，坡向</w:t>
      </w:r>
      <w:r>
        <w:rPr>
          <w:rFonts w:hint="eastAsia"/>
        </w:rPr>
        <w:t>270</w:t>
      </w:r>
      <w:r>
        <w:rPr>
          <w:rFonts w:hint="eastAsia"/>
        </w:rPr>
        <w:t>°。边坡安全等级为二级。</w:t>
      </w:r>
    </w:p>
    <w:p w:rsidR="00D9225E">
      <w:pPr>
        <w:spacing w:line="360" w:lineRule="auto"/>
        <w:ind w:firstLine="480" w:firstLineChars="200"/>
        <w:jc w:val="left"/>
        <w:rPr>
          <w:rFonts w:ascii="宋体" w:eastAsia="宋体" w:hAnsi="宋体" w:cs="Times New Roman"/>
          <w:spacing w:val="10"/>
          <w:kern w:val="0"/>
          <w:sz w:val="24"/>
          <w:szCs w:val="24"/>
          <w:lang w:val="zh-CN"/>
        </w:rPr>
      </w:pPr>
      <w:r>
        <w:rPr>
          <w:rFonts w:ascii="宋体" w:eastAsia="宋体" w:hAnsi="宋体" w:cs="Times New Roman" w:hint="eastAsia"/>
          <w:spacing w:val="10"/>
          <w:kern w:val="0"/>
          <w:sz w:val="24"/>
          <w:szCs w:val="24"/>
          <w:lang w:val="zh-CN"/>
        </w:rPr>
        <w:t>边坡（土质部分）：由于岩土界面较缓，不会产生沿岩土界面滑移现象，</w:t>
      </w:r>
      <w:r>
        <w:rPr>
          <w:rFonts w:ascii="宋体" w:eastAsia="宋体" w:hAnsi="宋体" w:cs="Times New Roman" w:hint="eastAsia"/>
          <w:spacing w:val="10"/>
          <w:kern w:val="0"/>
          <w:sz w:val="24"/>
          <w:szCs w:val="24"/>
        </w:rPr>
        <w:t>但边坡直立形成后，易产生土层内部的圆弧滑动，</w:t>
      </w:r>
      <w:r>
        <w:rPr>
          <w:rFonts w:ascii="宋体" w:eastAsia="宋体" w:hAnsi="宋体" w:cs="Times New Roman" w:hint="eastAsia"/>
          <w:spacing w:val="10"/>
          <w:kern w:val="0"/>
          <w:sz w:val="24"/>
          <w:szCs w:val="24"/>
          <w:lang w:val="zh-CN"/>
        </w:rPr>
        <w:t>设计拟按土层</w:t>
      </w:r>
      <w:r>
        <w:rPr>
          <w:rFonts w:ascii="宋体" w:eastAsia="宋体" w:hAnsi="宋体" w:cs="Times New Roman" w:hint="eastAsia"/>
          <w:spacing w:val="10"/>
          <w:kern w:val="0"/>
          <w:sz w:val="24"/>
          <w:szCs w:val="24"/>
          <w:lang w:val="zh-CN"/>
        </w:rPr>
        <w:t>1</w:t>
      </w:r>
      <w:r>
        <w:rPr>
          <w:rFonts w:ascii="宋体" w:eastAsia="宋体" w:hAnsi="宋体" w:cs="Times New Roman" w:hint="eastAsia"/>
          <w:spacing w:val="10"/>
          <w:kern w:val="0"/>
          <w:sz w:val="24"/>
          <w:szCs w:val="24"/>
          <w:lang w:val="zh-CN"/>
        </w:rPr>
        <w:t>：</w:t>
      </w:r>
      <w:r>
        <w:rPr>
          <w:rFonts w:ascii="宋体" w:eastAsia="宋体" w:hAnsi="宋体" w:cs="Times New Roman" w:hint="eastAsia"/>
          <w:spacing w:val="10"/>
          <w:kern w:val="0"/>
          <w:sz w:val="24"/>
          <w:szCs w:val="24"/>
          <w:lang w:val="zh-CN"/>
        </w:rPr>
        <w:t>1.</w:t>
      </w:r>
      <w:r>
        <w:rPr>
          <w:rFonts w:ascii="宋体" w:eastAsia="宋体" w:hAnsi="宋体" w:cs="Times New Roman" w:hint="eastAsia"/>
          <w:spacing w:val="10"/>
          <w:kern w:val="0"/>
          <w:sz w:val="24"/>
          <w:szCs w:val="24"/>
        </w:rPr>
        <w:t>75</w:t>
      </w:r>
      <w:r>
        <w:rPr>
          <w:rFonts w:ascii="宋体" w:eastAsia="宋体" w:hAnsi="宋体" w:cs="Times New Roman" w:hint="eastAsia"/>
          <w:spacing w:val="10"/>
          <w:kern w:val="0"/>
          <w:sz w:val="24"/>
          <w:szCs w:val="24"/>
          <w:lang w:val="zh-CN"/>
        </w:rPr>
        <w:t>坡率</w:t>
      </w:r>
      <w:r>
        <w:rPr>
          <w:rFonts w:ascii="宋体" w:eastAsia="宋体" w:hAnsi="宋体" w:cs="Times New Roman" w:hint="eastAsia"/>
          <w:spacing w:val="10"/>
          <w:kern w:val="0"/>
          <w:sz w:val="24"/>
          <w:szCs w:val="24"/>
        </w:rPr>
        <w:t>放坡，高度大于</w:t>
      </w:r>
      <w:r>
        <w:rPr>
          <w:rFonts w:ascii="宋体" w:eastAsia="宋体" w:hAnsi="宋体" w:cs="Times New Roman" w:hint="eastAsia"/>
          <w:spacing w:val="10"/>
          <w:kern w:val="0"/>
          <w:sz w:val="24"/>
          <w:szCs w:val="24"/>
        </w:rPr>
        <w:t>8m</w:t>
      </w:r>
      <w:r>
        <w:rPr>
          <w:rFonts w:ascii="宋体" w:eastAsia="宋体" w:hAnsi="宋体" w:cs="Times New Roman" w:hint="eastAsia"/>
          <w:spacing w:val="10"/>
          <w:kern w:val="0"/>
          <w:sz w:val="24"/>
          <w:szCs w:val="24"/>
        </w:rPr>
        <w:t>的采用分级放坡</w:t>
      </w:r>
      <w:r>
        <w:rPr>
          <w:rFonts w:ascii="宋体" w:eastAsia="宋体" w:hAnsi="宋体" w:cs="Times New Roman" w:hint="eastAsia"/>
          <w:spacing w:val="10"/>
          <w:kern w:val="0"/>
          <w:sz w:val="24"/>
          <w:szCs w:val="24"/>
          <w:lang w:val="zh-CN"/>
        </w:rPr>
        <w:t>，每</w:t>
      </w:r>
      <w:r>
        <w:rPr>
          <w:rFonts w:ascii="宋体" w:eastAsia="宋体" w:hAnsi="宋体" w:cs="Times New Roman" w:hint="eastAsia"/>
          <w:spacing w:val="10"/>
          <w:kern w:val="0"/>
          <w:sz w:val="24"/>
          <w:szCs w:val="24"/>
          <w:lang w:val="zh-CN"/>
        </w:rPr>
        <w:t>8m</w:t>
      </w:r>
      <w:r>
        <w:rPr>
          <w:rFonts w:ascii="宋体" w:eastAsia="宋体" w:hAnsi="宋体" w:cs="Times New Roman" w:hint="eastAsia"/>
          <w:spacing w:val="10"/>
          <w:kern w:val="0"/>
          <w:sz w:val="24"/>
          <w:szCs w:val="24"/>
          <w:lang w:val="zh-CN"/>
        </w:rPr>
        <w:t>一个台阶，台阶宽</w:t>
      </w:r>
      <w:r>
        <w:rPr>
          <w:rFonts w:ascii="宋体" w:eastAsia="宋体" w:hAnsi="宋体" w:cs="Times New Roman" w:hint="eastAsia"/>
          <w:spacing w:val="10"/>
          <w:kern w:val="0"/>
          <w:sz w:val="24"/>
          <w:szCs w:val="24"/>
        </w:rPr>
        <w:t>3</w:t>
      </w:r>
      <w:r>
        <w:rPr>
          <w:rFonts w:ascii="宋体" w:eastAsia="宋体" w:hAnsi="宋体" w:cs="Times New Roman" w:hint="eastAsia"/>
          <w:spacing w:val="10"/>
          <w:kern w:val="0"/>
          <w:sz w:val="24"/>
          <w:szCs w:val="24"/>
          <w:lang w:val="zh-CN"/>
        </w:rPr>
        <w:t>m</w:t>
      </w:r>
      <w:r>
        <w:rPr>
          <w:rFonts w:ascii="宋体" w:eastAsia="宋体" w:hAnsi="宋体" w:cs="Times New Roman" w:hint="eastAsia"/>
          <w:spacing w:val="10"/>
          <w:kern w:val="0"/>
          <w:sz w:val="24"/>
          <w:szCs w:val="24"/>
          <w:lang w:val="zh-CN"/>
        </w:rPr>
        <w:t>。</w:t>
      </w:r>
    </w:p>
    <w:p w:rsidR="00D9225E">
      <w:pPr>
        <w:pStyle w:val="LW"/>
        <w:ind w:firstLine="520"/>
      </w:pPr>
      <w:r>
        <w:rPr>
          <w:rFonts w:hint="eastAsia"/>
        </w:rPr>
        <w:t>边坡基岩部分：</w:t>
      </w:r>
    </w:p>
    <w:p w:rsidR="00D9225E">
      <w:pPr>
        <w:pStyle w:val="LW"/>
        <w:ind w:firstLine="520"/>
      </w:pPr>
      <w:r>
        <w:rPr>
          <w:rFonts w:hint="eastAsia"/>
        </w:rPr>
        <w:t>根据边坡产状，岩层产状及该区域发育的两组裂隙产状作赤平投影图：</w:t>
      </w:r>
    </w:p>
    <w:p w:rsidR="00D9225E">
      <w:pPr>
        <w:pStyle w:val="LW26"/>
      </w:pPr>
      <w:r>
        <w:rPr>
          <w:noProof/>
        </w:rPr>
        <w:drawing>
          <wp:inline distT="0" distB="0" distL="114300" distR="114300">
            <wp:extent cx="3622675" cy="2771140"/>
            <wp:effectExtent l="0" t="0" r="15875" b="10160"/>
            <wp:docPr id="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2"/>
                    <pic:cNvPicPr>
                      <a:picLocks noChangeAspect="1"/>
                    </pic:cNvPicPr>
                  </pic:nvPicPr>
                  <pic:blipFill>
                    <a:blip xmlns:r="http://schemas.openxmlformats.org/officeDocument/2006/relationships" r:embed="rId34"/>
                    <a:srcRect l="23242" t="12155" r="37970" b="21313"/>
                    <a:stretch>
                      <a:fillRect/>
                    </a:stretch>
                  </pic:blipFill>
                  <pic:spPr>
                    <a:xfrm>
                      <a:off x="0" y="0"/>
                      <a:ext cx="3622675" cy="2771140"/>
                    </a:xfrm>
                    <a:prstGeom prst="rect">
                      <a:avLst/>
                    </a:prstGeom>
                    <a:noFill/>
                    <a:ln>
                      <a:noFill/>
                    </a:ln>
                  </pic:spPr>
                </pic:pic>
              </a:graphicData>
            </a:graphic>
          </wp:inline>
        </w:drawing>
      </w:r>
      <w:r>
        <w:rPr>
          <w:rFonts w:hint="eastAsia"/>
        </w:rPr>
        <w:t xml:space="preserve"> </w:t>
      </w:r>
    </w:p>
    <w:p w:rsidR="00D9225E">
      <w:pPr>
        <w:pStyle w:val="LW"/>
        <w:ind w:firstLine="520"/>
        <w:rPr>
          <w:rFonts w:cs="Times New Roman"/>
        </w:rPr>
      </w:pPr>
      <w:r>
        <w:rPr>
          <w:rFonts w:cs="Times New Roman" w:hint="eastAsia"/>
          <w:lang w:val="zh-CN"/>
        </w:rPr>
        <w:t>从赤平投影图可知，边坡（岩质部分）受</w:t>
      </w:r>
      <w:r>
        <w:rPr>
          <w:rFonts w:cs="Times New Roman" w:hint="eastAsia"/>
        </w:rPr>
        <w:t>岩体自身强度</w:t>
      </w:r>
      <w:r>
        <w:rPr>
          <w:rFonts w:cs="Times New Roman" w:hint="eastAsia"/>
          <w:lang w:val="zh-CN"/>
        </w:rPr>
        <w:t>控制，根据《</w:t>
      </w:r>
      <w:r>
        <w:rPr>
          <w:rFonts w:cs="Times New Roman" w:hint="eastAsia"/>
        </w:rPr>
        <w:t>建筑边坡工程技术规范</w:t>
      </w:r>
      <w:r>
        <w:rPr>
          <w:rFonts w:cs="Times New Roman" w:hint="eastAsia"/>
          <w:lang w:val="zh-CN"/>
        </w:rPr>
        <w:t>》（</w:t>
      </w:r>
      <w:r>
        <w:rPr>
          <w:rFonts w:cs="Times New Roman" w:hint="eastAsia"/>
        </w:rPr>
        <w:t>GB50330</w:t>
      </w:r>
      <w:r>
        <w:rPr>
          <w:rFonts w:cs="Times New Roman" w:hint="eastAsia"/>
          <w:lang w:val="zh-CN"/>
        </w:rPr>
        <w:t>-20</w:t>
      </w:r>
      <w:r>
        <w:rPr>
          <w:rFonts w:cs="Times New Roman" w:hint="eastAsia"/>
        </w:rPr>
        <w:t>13</w:t>
      </w:r>
      <w:r>
        <w:rPr>
          <w:rFonts w:cs="Times New Roman" w:hint="eastAsia"/>
          <w:lang w:val="zh-CN"/>
        </w:rPr>
        <w:t>）附表</w:t>
      </w:r>
      <w:r>
        <w:rPr>
          <w:rFonts w:cs="Times New Roman" w:hint="eastAsia"/>
        </w:rPr>
        <w:t>4.1.4</w:t>
      </w:r>
      <w:r>
        <w:rPr>
          <w:rFonts w:cs="Times New Roman" w:hint="eastAsia"/>
          <w:lang w:val="zh-CN"/>
        </w:rPr>
        <w:t>判别该段边坡岩体类型为Ⅳ类。边坡岩体等效内摩擦角取</w:t>
      </w:r>
      <w:r>
        <w:rPr>
          <w:rFonts w:cs="Times New Roman" w:hint="eastAsia"/>
          <w:lang w:val="zh-CN"/>
        </w:rPr>
        <w:t>5</w:t>
      </w:r>
      <w:r>
        <w:rPr>
          <w:rFonts w:cs="Times New Roman" w:hint="eastAsia"/>
        </w:rPr>
        <w:t>2</w:t>
      </w:r>
      <w:r>
        <w:rPr>
          <w:rFonts w:cs="Times New Roman" w:hint="eastAsia"/>
          <w:lang w:val="zh-CN"/>
        </w:rPr>
        <w:t>°，岩体破裂角取</w:t>
      </w:r>
      <w:r>
        <w:rPr>
          <w:rFonts w:cs="Times New Roman" w:hint="eastAsia"/>
        </w:rPr>
        <w:t>61</w:t>
      </w:r>
      <w:r>
        <w:rPr>
          <w:rFonts w:cs="Times New Roman" w:hint="eastAsia"/>
          <w:lang w:val="zh-CN"/>
        </w:rPr>
        <w:t>°。</w:t>
      </w:r>
      <w:r>
        <w:rPr>
          <w:rFonts w:cs="Times New Roman" w:hint="eastAsia"/>
        </w:rPr>
        <w:t>建议岩质边坡采用</w:t>
      </w:r>
      <w:r>
        <w:rPr>
          <w:rFonts w:cs="Times New Roman" w:hint="eastAsia"/>
        </w:rPr>
        <w:t>1:0.5</w:t>
      </w:r>
      <w:r>
        <w:rPr>
          <w:rFonts w:cs="Times New Roman" w:hint="eastAsia"/>
        </w:rPr>
        <w:t>坡率放坡</w:t>
      </w:r>
      <w:r>
        <w:rPr>
          <w:rFonts w:cs="Times New Roman" w:hint="eastAsia"/>
          <w:lang w:val="zh-CN"/>
        </w:rPr>
        <w:t>。</w:t>
      </w:r>
    </w:p>
    <w:p w:rsidR="00D9225E">
      <w:pPr>
        <w:pStyle w:val="LW"/>
        <w:ind w:firstLine="520"/>
        <w:rPr>
          <w:rFonts w:cs="Times New Roman"/>
          <w:lang w:val="zh-CN"/>
        </w:rPr>
      </w:pPr>
      <w:r>
        <w:rPr>
          <w:rFonts w:cs="Times New Roman" w:hint="eastAsia"/>
          <w:lang w:val="zh-CN"/>
        </w:rPr>
        <w:t>整平后为基岩出露或为红粘土。路基下卧层为基岩。红粘土、基岩</w:t>
      </w:r>
      <w:r>
        <w:rPr>
          <w:rFonts w:cs="Times New Roman" w:hint="eastAsia"/>
        </w:rPr>
        <w:t>均</w:t>
      </w:r>
      <w:r>
        <w:rPr>
          <w:rFonts w:cs="Times New Roman" w:hint="eastAsia"/>
          <w:lang w:val="zh-CN"/>
        </w:rPr>
        <w:t>可直接作为路基持</w:t>
      </w:r>
      <w:r>
        <w:rPr>
          <w:rFonts w:cs="Times New Roman" w:hint="eastAsia"/>
          <w:lang w:val="zh-CN"/>
        </w:rPr>
        <w:t>力层，红粘土地基承载力特征</w:t>
      </w:r>
      <w:r>
        <w:rPr>
          <w:rFonts w:cs="Times New Roman" w:hint="eastAsia"/>
        </w:rPr>
        <w:t>值取</w:t>
      </w:r>
      <w:r>
        <w:rPr>
          <w:rFonts w:cs="Times New Roman" w:hint="eastAsia"/>
        </w:rPr>
        <w:t>150</w:t>
      </w:r>
      <w:r>
        <w:rPr>
          <w:rFonts w:cs="Times New Roman" w:hint="eastAsia"/>
        </w:rPr>
        <w:t>kPa</w:t>
      </w:r>
      <w:r>
        <w:rPr>
          <w:rFonts w:cs="Times New Roman" w:hint="eastAsia"/>
        </w:rPr>
        <w:t>、</w:t>
      </w:r>
      <w:r>
        <w:rPr>
          <w:rFonts w:cs="Times New Roman" w:hint="eastAsia"/>
          <w:lang w:val="zh-CN"/>
        </w:rPr>
        <w:t>强风化</w:t>
      </w:r>
      <w:r>
        <w:rPr>
          <w:rFonts w:cs="Times New Roman" w:hint="eastAsia"/>
        </w:rPr>
        <w:t>白云岩</w:t>
      </w:r>
      <w:r>
        <w:rPr>
          <w:rFonts w:cs="Times New Roman" w:hint="eastAsia"/>
          <w:lang w:val="zh-CN"/>
        </w:rPr>
        <w:t>地基承载力特征值</w:t>
      </w:r>
      <w:r>
        <w:rPr>
          <w:rFonts w:cs="Times New Roman" w:hint="eastAsia"/>
        </w:rPr>
        <w:t>4</w:t>
      </w:r>
      <w:r>
        <w:rPr>
          <w:rFonts w:cs="Times New Roman" w:hint="eastAsia"/>
          <w:lang w:val="zh-CN"/>
        </w:rPr>
        <w:t>00kPa</w:t>
      </w:r>
      <w:r>
        <w:rPr>
          <w:rFonts w:cs="Times New Roman" w:hint="eastAsia"/>
          <w:lang w:val="zh-CN"/>
        </w:rPr>
        <w:t>；中等风化</w:t>
      </w:r>
      <w:r>
        <w:rPr>
          <w:rFonts w:cs="Times New Roman" w:hint="eastAsia"/>
        </w:rPr>
        <w:t>白云岩</w:t>
      </w:r>
      <w:r>
        <w:rPr>
          <w:rFonts w:cs="Times New Roman" w:hint="eastAsia"/>
          <w:lang w:val="zh-CN"/>
        </w:rPr>
        <w:t>地基承载力特征值取</w:t>
      </w:r>
      <w:r>
        <w:rPr>
          <w:rFonts w:cs="Times New Roman" w:hint="eastAsia"/>
        </w:rPr>
        <w:t>3612</w:t>
      </w:r>
      <w:r>
        <w:rPr>
          <w:rFonts w:cs="Times New Roman" w:hint="eastAsia"/>
          <w:lang w:val="zh-CN"/>
        </w:rPr>
        <w:t>kPa</w:t>
      </w:r>
      <w:r>
        <w:rPr>
          <w:rFonts w:cs="Times New Roman" w:hint="eastAsia"/>
          <w:lang w:val="zh-CN"/>
        </w:rPr>
        <w:t>。</w:t>
      </w:r>
    </w:p>
    <w:p w:rsidR="00D9225E">
      <w:pPr>
        <w:pStyle w:val="LW"/>
        <w:ind w:firstLine="520"/>
      </w:pPr>
      <w:r>
        <w:rPr>
          <w:rFonts w:hint="eastAsia"/>
        </w:rPr>
        <w:t>右侧边坡</w:t>
      </w:r>
    </w:p>
    <w:p w:rsidR="00D9225E">
      <w:pPr>
        <w:pStyle w:val="LW"/>
        <w:ind w:firstLine="520"/>
        <w:rPr>
          <w:rFonts w:cs="Times New Roman"/>
          <w:lang w:val="zh-CN"/>
        </w:rPr>
      </w:pPr>
      <w:r>
        <w:rPr>
          <w:rFonts w:cs="Times New Roman" w:hint="eastAsia"/>
          <w:lang w:val="zh-CN"/>
        </w:rPr>
        <w:t>按设计高程整平后，将在道路</w:t>
      </w:r>
      <w:r>
        <w:rPr>
          <w:rFonts w:cs="Times New Roman" w:hint="eastAsia"/>
        </w:rPr>
        <w:t>右</w:t>
      </w:r>
      <w:r>
        <w:rPr>
          <w:rFonts w:cs="Times New Roman" w:hint="eastAsia"/>
          <w:lang w:val="zh-CN"/>
        </w:rPr>
        <w:t>侧形成挖方边坡，最高约</w:t>
      </w:r>
      <w:r>
        <w:rPr>
          <w:rFonts w:cs="Times New Roman" w:hint="eastAsia"/>
        </w:rPr>
        <w:t>15.13</w:t>
      </w:r>
      <w:r>
        <w:rPr>
          <w:rFonts w:cs="Times New Roman" w:hint="eastAsia"/>
          <w:lang w:val="zh-CN"/>
        </w:rPr>
        <w:t>m</w:t>
      </w:r>
      <w:r>
        <w:rPr>
          <w:rFonts w:cs="Times New Roman" w:hint="eastAsia"/>
          <w:lang w:val="zh-CN"/>
        </w:rPr>
        <w:t>，土体厚度为</w:t>
      </w:r>
      <w:r>
        <w:rPr>
          <w:rFonts w:cs="Times New Roman" w:hint="eastAsia"/>
        </w:rPr>
        <w:t>6.60</w:t>
      </w:r>
      <w:r>
        <w:rPr>
          <w:rFonts w:cs="Times New Roman" w:hint="eastAsia"/>
        </w:rPr>
        <w:t>～</w:t>
      </w:r>
      <w:r>
        <w:rPr>
          <w:rFonts w:cs="Times New Roman" w:hint="eastAsia"/>
        </w:rPr>
        <w:t>16.30</w:t>
      </w:r>
      <w:r>
        <w:rPr>
          <w:rFonts w:cs="Times New Roman" w:hint="eastAsia"/>
          <w:lang w:val="zh-CN"/>
        </w:rPr>
        <w:t>m,</w:t>
      </w:r>
      <w:r>
        <w:rPr>
          <w:rFonts w:cs="Times New Roman" w:hint="eastAsia"/>
          <w:lang w:val="zh-CN"/>
        </w:rPr>
        <w:t>岩体为</w:t>
      </w:r>
      <w:r>
        <w:rPr>
          <w:rFonts w:cs="Times New Roman" w:hint="eastAsia"/>
        </w:rPr>
        <w:t>白云岩</w:t>
      </w:r>
      <w:r>
        <w:rPr>
          <w:rFonts w:cs="Times New Roman" w:hint="eastAsia"/>
          <w:lang w:val="zh-CN"/>
        </w:rPr>
        <w:t>，为岩土质边坡，坡向</w:t>
      </w:r>
      <w:r>
        <w:rPr>
          <w:rFonts w:cs="Times New Roman" w:hint="eastAsia"/>
        </w:rPr>
        <w:t>90</w:t>
      </w:r>
      <w:r>
        <w:rPr>
          <w:rFonts w:cs="Times New Roman" w:hint="eastAsia"/>
          <w:lang w:val="zh-CN"/>
        </w:rPr>
        <w:t>°。边坡安全等级为</w:t>
      </w:r>
      <w:r>
        <w:rPr>
          <w:rFonts w:cs="Times New Roman" w:hint="eastAsia"/>
        </w:rPr>
        <w:t>一</w:t>
      </w:r>
      <w:r>
        <w:rPr>
          <w:rFonts w:cs="Times New Roman" w:hint="eastAsia"/>
          <w:lang w:val="zh-CN"/>
        </w:rPr>
        <w:t>级。</w:t>
      </w:r>
    </w:p>
    <w:p w:rsidR="00D9225E">
      <w:pPr>
        <w:pStyle w:val="LW"/>
        <w:ind w:firstLine="520"/>
        <w:rPr>
          <w:rFonts w:cs="Times New Roman"/>
          <w:lang w:val="zh-CN"/>
        </w:rPr>
      </w:pPr>
      <w:r>
        <w:rPr>
          <w:rFonts w:cs="Times New Roman" w:hint="eastAsia"/>
          <w:lang w:val="zh-CN"/>
        </w:rPr>
        <w:t>边坡（土质部分）：由于岩土界面较缓，不会产生沿岩土界面滑移现象，</w:t>
      </w:r>
      <w:r>
        <w:rPr>
          <w:rFonts w:cs="Times New Roman" w:hint="eastAsia"/>
        </w:rPr>
        <w:t>但边坡直立形成后，易产生土层内部的圆弧滑动，</w:t>
      </w:r>
      <w:r>
        <w:rPr>
          <w:rFonts w:cs="Times New Roman" w:hint="eastAsia"/>
          <w:lang w:val="zh-CN"/>
        </w:rPr>
        <w:t>设计拟按土层</w:t>
      </w:r>
      <w:r>
        <w:rPr>
          <w:rFonts w:cs="Times New Roman" w:hint="eastAsia"/>
          <w:lang w:val="zh-CN"/>
        </w:rPr>
        <w:t>1</w:t>
      </w:r>
      <w:r>
        <w:rPr>
          <w:rFonts w:cs="Times New Roman" w:hint="eastAsia"/>
          <w:lang w:val="zh-CN"/>
        </w:rPr>
        <w:t>：</w:t>
      </w:r>
      <w:r>
        <w:rPr>
          <w:rFonts w:cs="Times New Roman" w:hint="eastAsia"/>
          <w:lang w:val="zh-CN"/>
        </w:rPr>
        <w:t>1.</w:t>
      </w:r>
      <w:r>
        <w:rPr>
          <w:rFonts w:cs="Times New Roman" w:hint="eastAsia"/>
        </w:rPr>
        <w:t>75</w:t>
      </w:r>
      <w:r>
        <w:rPr>
          <w:rFonts w:cs="Times New Roman" w:hint="eastAsia"/>
          <w:lang w:val="zh-CN"/>
        </w:rPr>
        <w:t>坡率</w:t>
      </w:r>
      <w:r>
        <w:rPr>
          <w:rFonts w:cs="Times New Roman" w:hint="eastAsia"/>
        </w:rPr>
        <w:t>放坡，高度大于</w:t>
      </w:r>
      <w:r>
        <w:rPr>
          <w:rFonts w:cs="Times New Roman" w:hint="eastAsia"/>
        </w:rPr>
        <w:t>8m</w:t>
      </w:r>
      <w:r>
        <w:rPr>
          <w:rFonts w:cs="Times New Roman" w:hint="eastAsia"/>
        </w:rPr>
        <w:t>的采用分级放坡</w:t>
      </w:r>
      <w:r>
        <w:rPr>
          <w:rFonts w:cs="Times New Roman" w:hint="eastAsia"/>
          <w:lang w:val="zh-CN"/>
        </w:rPr>
        <w:t>，每</w:t>
      </w:r>
      <w:r>
        <w:rPr>
          <w:rFonts w:cs="Times New Roman" w:hint="eastAsia"/>
          <w:lang w:val="zh-CN"/>
        </w:rPr>
        <w:t>8m</w:t>
      </w:r>
      <w:r>
        <w:rPr>
          <w:rFonts w:cs="Times New Roman" w:hint="eastAsia"/>
          <w:lang w:val="zh-CN"/>
        </w:rPr>
        <w:t>一个台阶，台阶宽</w:t>
      </w:r>
      <w:r>
        <w:rPr>
          <w:rFonts w:cs="Times New Roman" w:hint="eastAsia"/>
        </w:rPr>
        <w:t>3</w:t>
      </w:r>
      <w:r>
        <w:rPr>
          <w:rFonts w:cs="Times New Roman" w:hint="eastAsia"/>
          <w:lang w:val="zh-CN"/>
        </w:rPr>
        <w:t>m</w:t>
      </w:r>
      <w:r>
        <w:rPr>
          <w:rFonts w:cs="Times New Roman" w:hint="eastAsia"/>
          <w:lang w:val="zh-CN"/>
        </w:rPr>
        <w:t>。</w:t>
      </w:r>
    </w:p>
    <w:p w:rsidR="00D9225E">
      <w:pPr>
        <w:pStyle w:val="LW"/>
        <w:ind w:firstLine="520"/>
      </w:pPr>
      <w:r>
        <w:rPr>
          <w:rFonts w:hint="eastAsia"/>
        </w:rPr>
        <w:t>边坡基岩部分：</w:t>
      </w:r>
    </w:p>
    <w:p w:rsidR="00D9225E">
      <w:pPr>
        <w:pStyle w:val="LW"/>
        <w:ind w:firstLine="520"/>
        <w:sectPr>
          <w:headerReference w:type="even" r:id="rId35"/>
          <w:footerReference w:type="even" r:id="rId36"/>
          <w:type w:val="nextPage"/>
          <w:pgSz w:w="23811" w:h="16838" w:orient="landscape"/>
          <w:pgMar w:top="851" w:right="851" w:bottom="3119" w:left="1985" w:header="879" w:footer="765" w:gutter="0"/>
          <w:pgNumType w:start="10"/>
          <w:cols w:num="2" w:space="425"/>
          <w:titlePg w:val="0"/>
          <w:docGrid w:type="lines" w:linePitch="312"/>
        </w:sectPr>
      </w:pPr>
      <w:r>
        <w:rPr>
          <w:rFonts w:hint="eastAsia"/>
        </w:rPr>
        <w:t>根据边坡产状，岩层产状及该区域发育的两组裂隙产状作赤平投影图：</w:t>
      </w:r>
    </w:p>
    <w:p w:rsidR="00D9225E">
      <w:pPr>
        <w:pStyle w:val="LW26"/>
      </w:pPr>
      <w:r>
        <w:rPr>
          <w:noProof/>
        </w:rPr>
        <w:drawing>
          <wp:inline distT="0" distB="0" distL="114300" distR="114300">
            <wp:extent cx="3957320" cy="3034665"/>
            <wp:effectExtent l="0" t="0" r="5080" b="13335"/>
            <wp:docPr id="1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3"/>
                    <pic:cNvPicPr>
                      <a:picLocks noChangeAspect="1"/>
                    </pic:cNvPicPr>
                  </pic:nvPicPr>
                  <pic:blipFill>
                    <a:blip xmlns:r="http://schemas.openxmlformats.org/officeDocument/2006/relationships" r:embed="rId37"/>
                    <a:srcRect l="32298" t="11534" r="28288" b="20665"/>
                    <a:stretch>
                      <a:fillRect/>
                    </a:stretch>
                  </pic:blipFill>
                  <pic:spPr>
                    <a:xfrm>
                      <a:off x="0" y="0"/>
                      <a:ext cx="3957320" cy="3034665"/>
                    </a:xfrm>
                    <a:prstGeom prst="rect">
                      <a:avLst/>
                    </a:prstGeom>
                    <a:noFill/>
                    <a:ln>
                      <a:noFill/>
                    </a:ln>
                  </pic:spPr>
                </pic:pic>
              </a:graphicData>
            </a:graphic>
          </wp:inline>
        </w:drawing>
      </w:r>
      <w:r>
        <w:rPr>
          <w:rFonts w:hint="eastAsia"/>
        </w:rPr>
        <w:t xml:space="preserve"> </w:t>
      </w:r>
    </w:p>
    <w:p w:rsidR="00D9225E">
      <w:pPr>
        <w:pStyle w:val="LW"/>
        <w:ind w:firstLine="520"/>
        <w:rPr>
          <w:rFonts w:cs="Times New Roman"/>
        </w:rPr>
      </w:pPr>
      <w:r>
        <w:rPr>
          <w:rFonts w:cs="Times New Roman" w:hint="eastAsia"/>
          <w:lang w:val="zh-CN"/>
        </w:rPr>
        <w:t>从赤平投影图可知，边坡为切向坡。裂隙</w:t>
      </w:r>
      <w:r>
        <w:rPr>
          <w:rFonts w:cs="Times New Roman" w:hint="eastAsia"/>
        </w:rPr>
        <w:t>Ⅰ</w:t>
      </w:r>
      <w:r>
        <w:rPr>
          <w:rFonts w:cs="Times New Roman" w:hint="eastAsia"/>
          <w:lang w:val="zh-CN"/>
        </w:rPr>
        <w:t>倾向与坡向相近，裂隙</w:t>
      </w:r>
      <w:r>
        <w:rPr>
          <w:rFonts w:cs="Times New Roman" w:hint="eastAsia"/>
        </w:rPr>
        <w:t>Ⅰ</w:t>
      </w:r>
      <w:r>
        <w:rPr>
          <w:rFonts w:cs="Times New Roman" w:hint="eastAsia"/>
          <w:lang w:val="zh-CN"/>
        </w:rPr>
        <w:t>倾角小于坡角，为外倾结构面，边坡可能沿其发生平面滑动破坏。裂隙</w:t>
      </w:r>
      <w:r>
        <w:rPr>
          <w:rFonts w:cs="Times New Roman" w:hint="eastAsia"/>
        </w:rPr>
        <w:t>II</w:t>
      </w:r>
      <w:r>
        <w:rPr>
          <w:rFonts w:cs="Times New Roman" w:hint="eastAsia"/>
          <w:lang w:val="zh-CN"/>
        </w:rPr>
        <w:t>与边坡呈大角度相交。边坡稳定性主要受受</w:t>
      </w:r>
      <w:r>
        <w:rPr>
          <w:rFonts w:cs="Times New Roman" w:hint="eastAsia"/>
        </w:rPr>
        <w:t>Ⅰ组裂隙</w:t>
      </w:r>
      <w:r>
        <w:rPr>
          <w:rFonts w:cs="Times New Roman" w:hint="eastAsia"/>
          <w:lang w:val="zh-CN"/>
        </w:rPr>
        <w:t>控制</w:t>
      </w:r>
      <w:r>
        <w:rPr>
          <w:rFonts w:cs="Times New Roman" w:hint="eastAsia"/>
        </w:rPr>
        <w:t>,</w:t>
      </w:r>
      <w:r>
        <w:rPr>
          <w:rFonts w:cs="Times New Roman" w:hint="eastAsia"/>
          <w:lang w:val="zh-CN"/>
        </w:rPr>
        <w:t>受裂隙及层面切割，会发生局部崩塌、坡面掉块现象，根据《</w:t>
      </w:r>
      <w:r>
        <w:rPr>
          <w:rFonts w:cs="Times New Roman" w:hint="eastAsia"/>
        </w:rPr>
        <w:t>建筑边坡工程技术规范</w:t>
      </w:r>
      <w:r>
        <w:rPr>
          <w:rFonts w:cs="Times New Roman" w:hint="eastAsia"/>
          <w:lang w:val="zh-CN"/>
        </w:rPr>
        <w:t>》（</w:t>
      </w:r>
      <w:r>
        <w:rPr>
          <w:rFonts w:cs="Times New Roman" w:hint="eastAsia"/>
        </w:rPr>
        <w:t>GB50330</w:t>
      </w:r>
      <w:r>
        <w:rPr>
          <w:rFonts w:cs="Times New Roman" w:hint="eastAsia"/>
          <w:lang w:val="zh-CN"/>
        </w:rPr>
        <w:t>-20</w:t>
      </w:r>
      <w:r>
        <w:rPr>
          <w:rFonts w:cs="Times New Roman" w:hint="eastAsia"/>
        </w:rPr>
        <w:t>13</w:t>
      </w:r>
      <w:r>
        <w:rPr>
          <w:rFonts w:cs="Times New Roman" w:hint="eastAsia"/>
          <w:lang w:val="zh-CN"/>
        </w:rPr>
        <w:t>）附表</w:t>
      </w:r>
      <w:r>
        <w:rPr>
          <w:rFonts w:cs="Times New Roman" w:hint="eastAsia"/>
        </w:rPr>
        <w:t>4.1.4</w:t>
      </w:r>
      <w:r>
        <w:rPr>
          <w:rFonts w:cs="Times New Roman" w:hint="eastAsia"/>
          <w:lang w:val="zh-CN"/>
        </w:rPr>
        <w:t>判别该段边坡岩体类型为Ⅳ类。边坡岩体等效内摩擦角取</w:t>
      </w:r>
      <w:r>
        <w:rPr>
          <w:rFonts w:cs="Times New Roman" w:hint="eastAsia"/>
          <w:lang w:val="zh-CN"/>
        </w:rPr>
        <w:t>5</w:t>
      </w:r>
      <w:r>
        <w:rPr>
          <w:rFonts w:cs="Times New Roman" w:hint="eastAsia"/>
        </w:rPr>
        <w:t>2</w:t>
      </w:r>
      <w:r>
        <w:rPr>
          <w:rFonts w:cs="Times New Roman" w:hint="eastAsia"/>
          <w:lang w:val="zh-CN"/>
        </w:rPr>
        <w:t>°，岩体破裂角取</w:t>
      </w:r>
      <w:r>
        <w:rPr>
          <w:rFonts w:cs="Times New Roman" w:hint="eastAsia"/>
        </w:rPr>
        <w:t>61</w:t>
      </w:r>
      <w:r>
        <w:rPr>
          <w:rFonts w:cs="Times New Roman" w:hint="eastAsia"/>
          <w:lang w:val="zh-CN"/>
        </w:rPr>
        <w:t>°。</w:t>
      </w:r>
      <w:r>
        <w:rPr>
          <w:rFonts w:cs="Times New Roman" w:hint="eastAsia"/>
        </w:rPr>
        <w:t>建议岩质边坡采用</w:t>
      </w:r>
      <w:r>
        <w:rPr>
          <w:rFonts w:cs="Times New Roman" w:hint="eastAsia"/>
        </w:rPr>
        <w:t>1:0.5</w:t>
      </w:r>
      <w:r>
        <w:rPr>
          <w:rFonts w:cs="Times New Roman" w:hint="eastAsia"/>
        </w:rPr>
        <w:t>坡率放坡</w:t>
      </w:r>
      <w:r>
        <w:rPr>
          <w:rFonts w:cs="Times New Roman" w:hint="eastAsia"/>
          <w:lang w:val="zh-CN"/>
        </w:rPr>
        <w:t>。</w:t>
      </w:r>
    </w:p>
    <w:p w:rsidR="00D9225E">
      <w:pPr>
        <w:pStyle w:val="LW"/>
        <w:ind w:firstLine="520"/>
        <w:rPr>
          <w:rFonts w:cs="Times New Roman"/>
        </w:rPr>
      </w:pPr>
      <w:r>
        <w:rPr>
          <w:rFonts w:cs="Times New Roman" w:hint="eastAsia"/>
          <w:lang w:val="zh-CN"/>
        </w:rPr>
        <w:t>整平后为基岩出露或为红粘土。路基下卧层为基岩。红粘土、基岩</w:t>
      </w:r>
      <w:r>
        <w:rPr>
          <w:rFonts w:cs="Times New Roman" w:hint="eastAsia"/>
        </w:rPr>
        <w:t>均</w:t>
      </w:r>
      <w:r>
        <w:rPr>
          <w:rFonts w:cs="Times New Roman" w:hint="eastAsia"/>
          <w:lang w:val="zh-CN"/>
        </w:rPr>
        <w:t>可直接作为路基持力层，红粘土地基承载力特征</w:t>
      </w:r>
      <w:r>
        <w:rPr>
          <w:rFonts w:cs="Times New Roman" w:hint="eastAsia"/>
        </w:rPr>
        <w:t>值取</w:t>
      </w:r>
      <w:r>
        <w:rPr>
          <w:rFonts w:cs="Times New Roman" w:hint="eastAsia"/>
        </w:rPr>
        <w:t>150</w:t>
      </w:r>
      <w:r>
        <w:rPr>
          <w:rFonts w:cs="Times New Roman" w:hint="eastAsia"/>
          <w:lang w:val="zh-CN"/>
        </w:rPr>
        <w:t>kPa</w:t>
      </w:r>
      <w:r>
        <w:rPr>
          <w:rFonts w:cs="Times New Roman" w:hint="eastAsia"/>
          <w:lang w:val="zh-CN"/>
        </w:rPr>
        <w:t>、强风化</w:t>
      </w:r>
      <w:r>
        <w:rPr>
          <w:rFonts w:cs="Times New Roman" w:hint="eastAsia"/>
        </w:rPr>
        <w:t>白云岩</w:t>
      </w:r>
      <w:r>
        <w:rPr>
          <w:rFonts w:cs="Times New Roman" w:hint="eastAsia"/>
          <w:lang w:val="zh-CN"/>
        </w:rPr>
        <w:t>地基承载力特征值</w:t>
      </w:r>
      <w:r>
        <w:rPr>
          <w:rFonts w:cs="Times New Roman" w:hint="eastAsia"/>
        </w:rPr>
        <w:t>4</w:t>
      </w:r>
      <w:r>
        <w:rPr>
          <w:rFonts w:cs="Times New Roman" w:hint="eastAsia"/>
          <w:lang w:val="zh-CN"/>
        </w:rPr>
        <w:t>00kPa</w:t>
      </w:r>
      <w:r>
        <w:rPr>
          <w:rFonts w:cs="Times New Roman" w:hint="eastAsia"/>
          <w:lang w:val="zh-CN"/>
        </w:rPr>
        <w:t>；中等风</w:t>
      </w:r>
      <w:r>
        <w:rPr>
          <w:rFonts w:cs="Times New Roman" w:hint="eastAsia"/>
          <w:lang w:val="zh-CN"/>
        </w:rPr>
        <w:t>化</w:t>
      </w:r>
      <w:r>
        <w:rPr>
          <w:rFonts w:cs="Times New Roman" w:hint="eastAsia"/>
        </w:rPr>
        <w:t>白云岩</w:t>
      </w:r>
      <w:r>
        <w:rPr>
          <w:rFonts w:cs="Times New Roman" w:hint="eastAsia"/>
          <w:lang w:val="zh-CN"/>
        </w:rPr>
        <w:t>地基承载力特征值取</w:t>
      </w:r>
      <w:r>
        <w:rPr>
          <w:rFonts w:cs="Times New Roman" w:hint="eastAsia"/>
        </w:rPr>
        <w:t>3612</w:t>
      </w:r>
      <w:r>
        <w:rPr>
          <w:rFonts w:cs="Times New Roman" w:hint="eastAsia"/>
          <w:lang w:val="zh-CN"/>
        </w:rPr>
        <w:t>kPa</w:t>
      </w:r>
      <w:r>
        <w:rPr>
          <w:rFonts w:cs="Times New Roman" w:hint="eastAsia"/>
          <w:lang w:val="zh-CN"/>
        </w:rPr>
        <w:t>。</w:t>
      </w:r>
    </w:p>
    <w:p w:rsidR="00D9225E">
      <w:pPr>
        <w:pStyle w:val="LW"/>
        <w:ind w:firstLine="520"/>
      </w:pPr>
      <w:r>
        <w:rPr>
          <w:rFonts w:hint="eastAsia"/>
        </w:rPr>
        <w:t>2</w:t>
      </w:r>
      <w:r>
        <w:rPr>
          <w:rFonts w:hint="eastAsia"/>
        </w:rPr>
        <w:t>、</w:t>
      </w:r>
      <w:r>
        <w:rPr>
          <w:rFonts w:hint="eastAsia"/>
        </w:rPr>
        <w:t>K0+200</w:t>
      </w:r>
      <w:r>
        <w:rPr>
          <w:rFonts w:hint="eastAsia"/>
        </w:rPr>
        <w:t>～</w:t>
      </w:r>
      <w:r>
        <w:rPr>
          <w:rFonts w:hint="eastAsia"/>
        </w:rPr>
        <w:t>K0+</w:t>
      </w:r>
      <w:r>
        <w:rPr>
          <w:rFonts w:hint="eastAsia"/>
        </w:rPr>
        <w:t>791.293</w:t>
      </w:r>
    </w:p>
    <w:p w:rsidR="00D9225E">
      <w:pPr>
        <w:spacing w:line="360" w:lineRule="auto"/>
        <w:ind w:firstLine="480" w:firstLineChars="200"/>
        <w:jc w:val="left"/>
        <w:rPr>
          <w:rFonts w:ascii="宋体" w:eastAsia="宋体" w:hAnsi="宋体" w:cs="Times New Roman"/>
          <w:spacing w:val="10"/>
          <w:kern w:val="0"/>
          <w:sz w:val="24"/>
          <w:szCs w:val="24"/>
        </w:rPr>
      </w:pPr>
      <w:bookmarkStart w:id="109" w:name="_Toc80888621"/>
      <w:bookmarkStart w:id="110" w:name="_Toc488764258"/>
      <w:bookmarkStart w:id="111" w:name="_Toc88148457"/>
      <w:bookmarkStart w:id="112" w:name="_Toc488238730"/>
      <w:bookmarkStart w:id="113" w:name="_Toc88141336"/>
      <w:bookmarkStart w:id="114" w:name="_Toc488238611"/>
      <w:bookmarkStart w:id="115" w:name="_Toc488236932"/>
      <w:bookmarkStart w:id="116" w:name="_Toc88140172"/>
      <w:bookmarkStart w:id="117" w:name="_Toc2435312"/>
      <w:r>
        <w:rPr>
          <w:rFonts w:ascii="宋体" w:eastAsia="宋体" w:hAnsi="宋体" w:cs="Times New Roman" w:hint="eastAsia"/>
          <w:spacing w:val="10"/>
          <w:kern w:val="0"/>
          <w:sz w:val="24"/>
          <w:szCs w:val="24"/>
        </w:rPr>
        <w:t>按设计高程平场后，将在拟建道路两侧形成最高约</w:t>
      </w:r>
      <w:r>
        <w:rPr>
          <w:rFonts w:ascii="宋体" w:eastAsia="宋体" w:hAnsi="宋体" w:cs="Times New Roman" w:hint="eastAsia"/>
          <w:spacing w:val="10"/>
          <w:kern w:val="0"/>
          <w:sz w:val="24"/>
          <w:szCs w:val="24"/>
        </w:rPr>
        <w:t>10.009m</w:t>
      </w:r>
      <w:r>
        <w:rPr>
          <w:rFonts w:ascii="宋体" w:eastAsia="宋体" w:hAnsi="宋体" w:cs="Times New Roman" w:hint="eastAsia"/>
          <w:spacing w:val="10"/>
          <w:kern w:val="0"/>
          <w:sz w:val="24"/>
          <w:szCs w:val="24"/>
        </w:rPr>
        <w:t>的路堑边坡（参照</w:t>
      </w:r>
      <w:r>
        <w:rPr>
          <w:rFonts w:ascii="宋体" w:eastAsia="宋体" w:hAnsi="宋体" w:cs="Times New Roman" w:hint="eastAsia"/>
          <w:spacing w:val="10"/>
          <w:kern w:val="0"/>
          <w:sz w:val="24"/>
          <w:szCs w:val="24"/>
        </w:rPr>
        <w:t>5</w:t>
      </w:r>
      <w:r>
        <w:rPr>
          <w:rFonts w:ascii="宋体" w:eastAsia="宋体" w:hAnsi="宋体" w:cs="Times New Roman" w:hint="eastAsia"/>
          <w:spacing w:val="10"/>
          <w:kern w:val="0"/>
          <w:sz w:val="24"/>
          <w:szCs w:val="24"/>
        </w:rPr>
        <w:t>剖面），为土质边坡，</w:t>
      </w:r>
      <w:r>
        <w:rPr>
          <w:rFonts w:ascii="宋体" w:eastAsia="宋体" w:hAnsi="宋体" w:cs="Times New Roman" w:hint="eastAsia"/>
          <w:spacing w:val="10"/>
          <w:kern w:val="0"/>
          <w:sz w:val="24"/>
          <w:szCs w:val="24"/>
          <w:lang w:val="zh-CN"/>
        </w:rPr>
        <w:t>边坡安全等级为二级。</w:t>
      </w:r>
      <w:r>
        <w:rPr>
          <w:rFonts w:ascii="宋体" w:eastAsia="宋体" w:hAnsi="宋体" w:cs="Times New Roman" w:hint="eastAsia"/>
          <w:spacing w:val="10"/>
          <w:kern w:val="0"/>
          <w:sz w:val="24"/>
          <w:szCs w:val="24"/>
        </w:rPr>
        <w:t>由于拟建场地内岩土界面埋深较深或者较缓，边坡直立形成后不会沿岩土界面产生整体滑移，但会产生土层内部的圆弧滑动。</w:t>
      </w:r>
    </w:p>
    <w:p w:rsidR="00D9225E">
      <w:pPr>
        <w:spacing w:line="360" w:lineRule="auto"/>
        <w:ind w:firstLine="480" w:firstLineChars="200"/>
        <w:jc w:val="left"/>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按初步设计方案对道路两侧的路堑设计，按</w:t>
      </w:r>
      <w:r>
        <w:rPr>
          <w:rFonts w:ascii="宋体" w:eastAsia="宋体" w:hAnsi="宋体" w:cs="Times New Roman" w:hint="eastAsia"/>
          <w:spacing w:val="10"/>
          <w:kern w:val="0"/>
          <w:sz w:val="24"/>
          <w:szCs w:val="24"/>
          <w:lang w:val="zh-CN"/>
        </w:rPr>
        <w:t>《</w:t>
      </w:r>
      <w:r>
        <w:rPr>
          <w:rFonts w:ascii="宋体" w:eastAsia="宋体" w:hAnsi="宋体" w:cs="Times New Roman" w:hint="eastAsia"/>
          <w:spacing w:val="10"/>
          <w:kern w:val="0"/>
          <w:sz w:val="24"/>
          <w:szCs w:val="24"/>
        </w:rPr>
        <w:t>建筑边坡工程技术规范</w:t>
      </w:r>
      <w:r>
        <w:rPr>
          <w:rFonts w:ascii="宋体" w:eastAsia="宋体" w:hAnsi="宋体" w:cs="Times New Roman" w:hint="eastAsia"/>
          <w:spacing w:val="10"/>
          <w:kern w:val="0"/>
          <w:sz w:val="24"/>
          <w:szCs w:val="24"/>
          <w:lang w:val="zh-CN"/>
        </w:rPr>
        <w:t>》（</w:t>
      </w:r>
      <w:r>
        <w:rPr>
          <w:rFonts w:ascii="宋体" w:eastAsia="宋体" w:hAnsi="宋体" w:cs="Times New Roman" w:hint="eastAsia"/>
          <w:spacing w:val="10"/>
          <w:kern w:val="0"/>
          <w:sz w:val="24"/>
          <w:szCs w:val="24"/>
        </w:rPr>
        <w:t>GB50330</w:t>
      </w:r>
      <w:r>
        <w:rPr>
          <w:rFonts w:ascii="宋体" w:eastAsia="宋体" w:hAnsi="宋体" w:cs="Times New Roman" w:hint="eastAsia"/>
          <w:spacing w:val="10"/>
          <w:kern w:val="0"/>
          <w:sz w:val="24"/>
          <w:szCs w:val="24"/>
          <w:lang w:val="zh-CN"/>
        </w:rPr>
        <w:t>-20</w:t>
      </w:r>
      <w:r>
        <w:rPr>
          <w:rFonts w:ascii="宋体" w:eastAsia="宋体" w:hAnsi="宋体" w:cs="Times New Roman" w:hint="eastAsia"/>
          <w:spacing w:val="10"/>
          <w:kern w:val="0"/>
          <w:sz w:val="24"/>
          <w:szCs w:val="24"/>
        </w:rPr>
        <w:t>13</w:t>
      </w:r>
      <w:r>
        <w:rPr>
          <w:rFonts w:ascii="宋体" w:eastAsia="宋体" w:hAnsi="宋体" w:cs="Times New Roman" w:hint="eastAsia"/>
          <w:spacing w:val="10"/>
          <w:kern w:val="0"/>
          <w:sz w:val="24"/>
          <w:szCs w:val="24"/>
          <w:lang w:val="zh-CN"/>
        </w:rPr>
        <w:t>）</w:t>
      </w:r>
      <w:r>
        <w:rPr>
          <w:rFonts w:ascii="宋体" w:eastAsia="宋体" w:hAnsi="宋体" w:cs="Times New Roman" w:hint="eastAsia"/>
          <w:spacing w:val="10"/>
          <w:kern w:val="0"/>
          <w:sz w:val="24"/>
          <w:szCs w:val="24"/>
        </w:rPr>
        <w:t>要求的坡率和坡型进行如下处理：一般情况下，设计挖方高度小于</w:t>
      </w:r>
      <w:r>
        <w:rPr>
          <w:rFonts w:ascii="宋体" w:eastAsia="宋体" w:hAnsi="宋体" w:cs="Times New Roman" w:hint="eastAsia"/>
          <w:spacing w:val="10"/>
          <w:kern w:val="0"/>
          <w:sz w:val="24"/>
          <w:szCs w:val="24"/>
        </w:rPr>
        <w:t>8m</w:t>
      </w:r>
      <w:r>
        <w:rPr>
          <w:rFonts w:ascii="宋体" w:eastAsia="宋体" w:hAnsi="宋体" w:cs="Times New Roman" w:hint="eastAsia"/>
          <w:spacing w:val="10"/>
          <w:kern w:val="0"/>
          <w:sz w:val="24"/>
          <w:szCs w:val="24"/>
        </w:rPr>
        <w:t>的按</w:t>
      </w:r>
      <w:r>
        <w:rPr>
          <w:rFonts w:ascii="宋体" w:eastAsia="宋体" w:hAnsi="宋体" w:cs="Times New Roman" w:hint="eastAsia"/>
          <w:spacing w:val="10"/>
          <w:kern w:val="0"/>
          <w:sz w:val="24"/>
          <w:szCs w:val="24"/>
        </w:rPr>
        <w:t>1:1.75</w:t>
      </w:r>
      <w:r>
        <w:rPr>
          <w:rFonts w:ascii="宋体" w:eastAsia="宋体" w:hAnsi="宋体" w:cs="Times New Roman" w:hint="eastAsia"/>
          <w:spacing w:val="10"/>
          <w:kern w:val="0"/>
          <w:sz w:val="24"/>
          <w:szCs w:val="24"/>
        </w:rPr>
        <w:t>放坡，挖方高度大于</w:t>
      </w:r>
      <w:r>
        <w:rPr>
          <w:rFonts w:ascii="宋体" w:eastAsia="宋体" w:hAnsi="宋体" w:cs="Times New Roman" w:hint="eastAsia"/>
          <w:spacing w:val="10"/>
          <w:kern w:val="0"/>
          <w:sz w:val="24"/>
          <w:szCs w:val="24"/>
        </w:rPr>
        <w:t>8m</w:t>
      </w:r>
      <w:r>
        <w:rPr>
          <w:rFonts w:ascii="宋体" w:eastAsia="宋体" w:hAnsi="宋体" w:cs="Times New Roman" w:hint="eastAsia"/>
          <w:spacing w:val="10"/>
          <w:kern w:val="0"/>
          <w:sz w:val="24"/>
          <w:szCs w:val="24"/>
        </w:rPr>
        <w:t>的采用分级放坡，第一级边坡及以后均按</w:t>
      </w:r>
      <w:r>
        <w:rPr>
          <w:rFonts w:ascii="宋体" w:eastAsia="宋体" w:hAnsi="宋体" w:cs="Times New Roman" w:hint="eastAsia"/>
          <w:spacing w:val="10"/>
          <w:kern w:val="0"/>
          <w:sz w:val="24"/>
          <w:szCs w:val="24"/>
        </w:rPr>
        <w:t>1:1.75</w:t>
      </w:r>
      <w:r>
        <w:rPr>
          <w:rFonts w:ascii="宋体" w:eastAsia="宋体" w:hAnsi="宋体" w:cs="Times New Roman" w:hint="eastAsia"/>
          <w:spacing w:val="10"/>
          <w:kern w:val="0"/>
          <w:sz w:val="24"/>
          <w:szCs w:val="24"/>
        </w:rPr>
        <w:t>放坡，每</w:t>
      </w:r>
      <w:r>
        <w:rPr>
          <w:rFonts w:ascii="宋体" w:eastAsia="宋体" w:hAnsi="宋体" w:cs="Times New Roman" w:hint="eastAsia"/>
          <w:spacing w:val="10"/>
          <w:kern w:val="0"/>
          <w:sz w:val="24"/>
          <w:szCs w:val="24"/>
        </w:rPr>
        <w:t>8m</w:t>
      </w:r>
      <w:r>
        <w:rPr>
          <w:rFonts w:ascii="宋体" w:eastAsia="宋体" w:hAnsi="宋体" w:cs="Times New Roman" w:hint="eastAsia"/>
          <w:spacing w:val="10"/>
          <w:kern w:val="0"/>
          <w:sz w:val="24"/>
          <w:szCs w:val="24"/>
        </w:rPr>
        <w:t>一级，各级间留</w:t>
      </w:r>
      <w:r>
        <w:rPr>
          <w:rFonts w:ascii="宋体" w:eastAsia="宋体" w:hAnsi="宋体" w:cs="Times New Roman" w:hint="eastAsia"/>
          <w:spacing w:val="10"/>
          <w:kern w:val="0"/>
          <w:sz w:val="24"/>
          <w:szCs w:val="24"/>
        </w:rPr>
        <w:t>3m</w:t>
      </w:r>
      <w:r>
        <w:rPr>
          <w:rFonts w:ascii="宋体" w:eastAsia="宋体" w:hAnsi="宋体" w:cs="Times New Roman" w:hint="eastAsia"/>
          <w:spacing w:val="10"/>
          <w:kern w:val="0"/>
          <w:sz w:val="24"/>
          <w:szCs w:val="24"/>
        </w:rPr>
        <w:t>宽平台，填方边坡</w:t>
      </w:r>
      <w:r>
        <w:rPr>
          <w:rFonts w:ascii="宋体" w:eastAsia="宋体" w:hAnsi="宋体" w:cs="Times New Roman" w:hint="eastAsia"/>
          <w:spacing w:val="10"/>
          <w:kern w:val="0"/>
          <w:sz w:val="24"/>
          <w:szCs w:val="24"/>
        </w:rPr>
        <w:t>高度小于</w:t>
      </w:r>
      <w:r>
        <w:rPr>
          <w:rFonts w:ascii="宋体" w:eastAsia="宋体" w:hAnsi="宋体" w:cs="Times New Roman" w:hint="eastAsia"/>
          <w:spacing w:val="10"/>
          <w:kern w:val="0"/>
          <w:sz w:val="24"/>
          <w:szCs w:val="24"/>
        </w:rPr>
        <w:t>8m</w:t>
      </w:r>
      <w:r>
        <w:rPr>
          <w:rFonts w:ascii="宋体" w:eastAsia="宋体" w:hAnsi="宋体" w:cs="Times New Roman" w:hint="eastAsia"/>
          <w:spacing w:val="10"/>
          <w:kern w:val="0"/>
          <w:sz w:val="24"/>
          <w:szCs w:val="24"/>
        </w:rPr>
        <w:t>按</w:t>
      </w:r>
      <w:r>
        <w:rPr>
          <w:rFonts w:ascii="宋体" w:eastAsia="宋体" w:hAnsi="宋体" w:cs="Times New Roman" w:hint="eastAsia"/>
          <w:spacing w:val="10"/>
          <w:kern w:val="0"/>
          <w:sz w:val="24"/>
          <w:szCs w:val="24"/>
        </w:rPr>
        <w:t>1:1.5</w:t>
      </w:r>
      <w:r>
        <w:rPr>
          <w:rFonts w:ascii="宋体" w:eastAsia="宋体" w:hAnsi="宋体" w:cs="Times New Roman" w:hint="eastAsia"/>
          <w:spacing w:val="10"/>
          <w:kern w:val="0"/>
          <w:sz w:val="24"/>
          <w:szCs w:val="24"/>
        </w:rPr>
        <w:t>放坡，大于</w:t>
      </w:r>
      <w:r>
        <w:rPr>
          <w:rFonts w:ascii="宋体" w:eastAsia="宋体" w:hAnsi="宋体" w:cs="Times New Roman" w:hint="eastAsia"/>
          <w:spacing w:val="10"/>
          <w:kern w:val="0"/>
          <w:sz w:val="24"/>
          <w:szCs w:val="24"/>
        </w:rPr>
        <w:t>8m</w:t>
      </w:r>
      <w:r>
        <w:rPr>
          <w:rFonts w:ascii="宋体" w:eastAsia="宋体" w:hAnsi="宋体" w:cs="Times New Roman" w:hint="eastAsia"/>
          <w:spacing w:val="10"/>
          <w:kern w:val="0"/>
          <w:sz w:val="24"/>
          <w:szCs w:val="24"/>
        </w:rPr>
        <w:t>边坡上部</w:t>
      </w:r>
      <w:r>
        <w:rPr>
          <w:rFonts w:ascii="宋体" w:eastAsia="宋体" w:hAnsi="宋体" w:cs="Times New Roman" w:hint="eastAsia"/>
          <w:spacing w:val="10"/>
          <w:kern w:val="0"/>
          <w:sz w:val="24"/>
          <w:szCs w:val="24"/>
        </w:rPr>
        <w:t>8m</w:t>
      </w:r>
      <w:r>
        <w:rPr>
          <w:rFonts w:ascii="宋体" w:eastAsia="宋体" w:hAnsi="宋体" w:cs="Times New Roman" w:hint="eastAsia"/>
          <w:spacing w:val="10"/>
          <w:kern w:val="0"/>
          <w:sz w:val="24"/>
          <w:szCs w:val="24"/>
        </w:rPr>
        <w:t>按</w:t>
      </w:r>
      <w:r>
        <w:rPr>
          <w:rFonts w:ascii="宋体" w:eastAsia="宋体" w:hAnsi="宋体" w:cs="Times New Roman" w:hint="eastAsia"/>
          <w:spacing w:val="10"/>
          <w:kern w:val="0"/>
          <w:sz w:val="24"/>
          <w:szCs w:val="24"/>
        </w:rPr>
        <w:t>1:1.5</w:t>
      </w:r>
      <w:r>
        <w:rPr>
          <w:rFonts w:ascii="宋体" w:eastAsia="宋体" w:hAnsi="宋体" w:cs="Times New Roman" w:hint="eastAsia"/>
          <w:spacing w:val="10"/>
          <w:kern w:val="0"/>
          <w:sz w:val="24"/>
          <w:szCs w:val="24"/>
        </w:rPr>
        <w:t>放坡，</w:t>
      </w:r>
      <w:r>
        <w:rPr>
          <w:rFonts w:ascii="宋体" w:eastAsia="宋体" w:hAnsi="宋体" w:cs="Times New Roman" w:hint="eastAsia"/>
          <w:spacing w:val="10"/>
          <w:kern w:val="0"/>
          <w:sz w:val="24"/>
          <w:szCs w:val="24"/>
        </w:rPr>
        <w:t>8m</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18m</w:t>
      </w:r>
      <w:r>
        <w:rPr>
          <w:rFonts w:ascii="宋体" w:eastAsia="宋体" w:hAnsi="宋体" w:cs="Times New Roman" w:hint="eastAsia"/>
          <w:spacing w:val="10"/>
          <w:kern w:val="0"/>
          <w:sz w:val="24"/>
          <w:szCs w:val="24"/>
        </w:rPr>
        <w:t>为第二级，</w:t>
      </w:r>
      <w:r>
        <w:rPr>
          <w:rFonts w:ascii="宋体" w:eastAsia="宋体" w:hAnsi="宋体" w:cs="Times New Roman" w:hint="eastAsia"/>
          <w:spacing w:val="10"/>
          <w:kern w:val="0"/>
          <w:sz w:val="24"/>
          <w:szCs w:val="24"/>
        </w:rPr>
        <w:t>18m</w:t>
      </w:r>
      <w:r>
        <w:rPr>
          <w:rFonts w:ascii="宋体" w:eastAsia="宋体" w:hAnsi="宋体" w:cs="Times New Roman" w:hint="eastAsia"/>
          <w:spacing w:val="10"/>
          <w:kern w:val="0"/>
          <w:sz w:val="24"/>
          <w:szCs w:val="24"/>
        </w:rPr>
        <w:t>以下每</w:t>
      </w:r>
      <w:r>
        <w:rPr>
          <w:rFonts w:ascii="宋体" w:eastAsia="宋体" w:hAnsi="宋体" w:cs="Times New Roman" w:hint="eastAsia"/>
          <w:spacing w:val="10"/>
          <w:kern w:val="0"/>
          <w:sz w:val="24"/>
          <w:szCs w:val="24"/>
        </w:rPr>
        <w:t>10m</w:t>
      </w:r>
      <w:r>
        <w:rPr>
          <w:rFonts w:ascii="宋体" w:eastAsia="宋体" w:hAnsi="宋体" w:cs="Times New Roman" w:hint="eastAsia"/>
          <w:spacing w:val="10"/>
          <w:kern w:val="0"/>
          <w:sz w:val="24"/>
          <w:szCs w:val="24"/>
        </w:rPr>
        <w:t>为一级边坡，第二级以下坡比均为</w:t>
      </w:r>
      <w:r>
        <w:rPr>
          <w:rFonts w:ascii="宋体" w:eastAsia="宋体" w:hAnsi="宋体" w:cs="Times New Roman" w:hint="eastAsia"/>
          <w:spacing w:val="10"/>
          <w:kern w:val="0"/>
          <w:sz w:val="24"/>
          <w:szCs w:val="24"/>
        </w:rPr>
        <w:t>1:1.75</w:t>
      </w:r>
      <w:r>
        <w:rPr>
          <w:rFonts w:ascii="宋体" w:eastAsia="宋体" w:hAnsi="宋体" w:cs="Times New Roman" w:hint="eastAsia"/>
          <w:spacing w:val="10"/>
          <w:kern w:val="0"/>
          <w:sz w:val="24"/>
          <w:szCs w:val="24"/>
        </w:rPr>
        <w:t>，第三级以下坡比为</w:t>
      </w:r>
      <w:r>
        <w:rPr>
          <w:rFonts w:ascii="宋体" w:eastAsia="宋体" w:hAnsi="宋体" w:cs="Times New Roman" w:hint="eastAsia"/>
          <w:spacing w:val="10"/>
          <w:kern w:val="0"/>
          <w:sz w:val="24"/>
          <w:szCs w:val="24"/>
        </w:rPr>
        <w:t>1</w:t>
      </w:r>
      <w:r>
        <w:rPr>
          <w:rFonts w:ascii="宋体" w:eastAsia="宋体" w:hAnsi="宋体" w:cs="Times New Roman" w:hint="eastAsia"/>
          <w:spacing w:val="10"/>
          <w:kern w:val="0"/>
          <w:sz w:val="24"/>
          <w:szCs w:val="24"/>
        </w:rPr>
        <w:t>：</w:t>
      </w:r>
      <w:r>
        <w:rPr>
          <w:rFonts w:ascii="宋体" w:eastAsia="宋体" w:hAnsi="宋体" w:cs="Times New Roman" w:hint="eastAsia"/>
          <w:spacing w:val="10"/>
          <w:kern w:val="0"/>
          <w:sz w:val="24"/>
          <w:szCs w:val="24"/>
        </w:rPr>
        <w:t>2</w:t>
      </w:r>
      <w:r>
        <w:rPr>
          <w:rFonts w:ascii="宋体" w:eastAsia="宋体" w:hAnsi="宋体" w:cs="Times New Roman" w:hint="eastAsia"/>
          <w:spacing w:val="10"/>
          <w:kern w:val="0"/>
          <w:sz w:val="24"/>
          <w:szCs w:val="24"/>
        </w:rPr>
        <w:t>两级边坡间留</w:t>
      </w:r>
      <w:r>
        <w:rPr>
          <w:rFonts w:ascii="宋体" w:eastAsia="宋体" w:hAnsi="宋体" w:cs="Times New Roman" w:hint="eastAsia"/>
          <w:spacing w:val="10"/>
          <w:kern w:val="0"/>
          <w:sz w:val="24"/>
          <w:szCs w:val="24"/>
        </w:rPr>
        <w:t>2.0m</w:t>
      </w:r>
      <w:r>
        <w:rPr>
          <w:rFonts w:ascii="宋体" w:eastAsia="宋体" w:hAnsi="宋体" w:cs="Times New Roman" w:hint="eastAsia"/>
          <w:spacing w:val="10"/>
          <w:kern w:val="0"/>
          <w:sz w:val="24"/>
          <w:szCs w:val="24"/>
        </w:rPr>
        <w:t>宽马道</w:t>
      </w:r>
      <w:r>
        <w:rPr>
          <w:rFonts w:ascii="宋体" w:eastAsia="宋体" w:hAnsi="宋体" w:cs="Times New Roman" w:hint="eastAsia"/>
          <w:spacing w:val="10"/>
          <w:kern w:val="0"/>
          <w:sz w:val="24"/>
          <w:szCs w:val="24"/>
          <w:lang w:val="zh-CN"/>
        </w:rPr>
        <w:t>放坡后作好坡面防护及截排水措施。</w:t>
      </w:r>
    </w:p>
    <w:p w:rsidR="00D9225E">
      <w:pPr>
        <w:spacing w:line="360" w:lineRule="auto"/>
        <w:ind w:firstLine="480" w:firstLineChars="200"/>
        <w:rPr>
          <w:rFonts w:ascii="仿宋_GB2312" w:eastAsia="仿宋_GB2312"/>
          <w:bCs/>
          <w:sz w:val="28"/>
          <w:szCs w:val="28"/>
          <w:lang w:val="zh-CN"/>
        </w:rPr>
      </w:pPr>
      <w:r>
        <w:rPr>
          <w:rFonts w:ascii="宋体" w:eastAsia="宋体" w:hAnsi="宋体" w:cs="Times New Roman" w:hint="eastAsia"/>
          <w:spacing w:val="10"/>
          <w:kern w:val="0"/>
          <w:sz w:val="24"/>
          <w:szCs w:val="24"/>
          <w:lang w:val="zh-CN"/>
        </w:rPr>
        <w:t>路基下卧层为红粘土层。红粘土地基承载力</w:t>
      </w:r>
      <w:r>
        <w:rPr>
          <w:rFonts w:ascii="宋体" w:eastAsia="宋体" w:hAnsi="宋体" w:cs="Times New Roman" w:hint="eastAsia"/>
          <w:spacing w:val="10"/>
          <w:kern w:val="0"/>
          <w:sz w:val="24"/>
          <w:szCs w:val="24"/>
        </w:rPr>
        <w:t>特征值取</w:t>
      </w:r>
      <w:r>
        <w:rPr>
          <w:rFonts w:ascii="宋体" w:eastAsia="宋体" w:hAnsi="宋体" w:cs="Times New Roman" w:hint="eastAsia"/>
          <w:spacing w:val="10"/>
          <w:kern w:val="0"/>
          <w:sz w:val="24"/>
          <w:szCs w:val="24"/>
        </w:rPr>
        <w:t>150</w:t>
      </w:r>
      <w:r>
        <w:rPr>
          <w:rFonts w:ascii="宋体" w:eastAsia="宋体" w:hAnsi="宋体" w:cs="Times New Roman" w:hint="eastAsia"/>
          <w:spacing w:val="10"/>
          <w:kern w:val="0"/>
          <w:sz w:val="24"/>
          <w:szCs w:val="24"/>
          <w:lang w:val="zh-CN"/>
        </w:rPr>
        <w:t>kPa</w:t>
      </w:r>
      <w:r>
        <w:rPr>
          <w:rFonts w:ascii="仿宋_GB2312" w:eastAsia="仿宋_GB2312" w:hint="eastAsia"/>
          <w:bCs/>
          <w:sz w:val="28"/>
          <w:szCs w:val="28"/>
          <w:lang w:val="zh-CN"/>
        </w:rPr>
        <w:t>。</w:t>
      </w:r>
    </w:p>
    <w:p w:rsidR="00D9225E">
      <w:pPr>
        <w:pStyle w:val="LW31"/>
      </w:pPr>
      <w:bookmarkStart w:id="118" w:name="_Toc30298"/>
      <w:r>
        <w:rPr>
          <w:rFonts w:hint="eastAsia"/>
        </w:rPr>
        <w:t>岩溶评价</w:t>
      </w:r>
      <w:bookmarkEnd w:id="109"/>
      <w:bookmarkEnd w:id="110"/>
      <w:bookmarkEnd w:id="111"/>
      <w:bookmarkEnd w:id="112"/>
      <w:bookmarkEnd w:id="113"/>
      <w:bookmarkEnd w:id="114"/>
      <w:bookmarkEnd w:id="115"/>
      <w:bookmarkEnd w:id="116"/>
      <w:bookmarkEnd w:id="117"/>
      <w:bookmarkEnd w:id="118"/>
    </w:p>
    <w:p w:rsidR="00D9225E">
      <w:pPr>
        <w:spacing w:line="360" w:lineRule="auto"/>
        <w:ind w:firstLine="480" w:firstLineChars="200"/>
        <w:jc w:val="left"/>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根据地面调查以及区域经验，拟建场地岩溶</w:t>
      </w:r>
      <w:r>
        <w:rPr>
          <w:rFonts w:ascii="宋体" w:eastAsia="宋体" w:hAnsi="宋体" w:cs="Times New Roman" w:hint="eastAsia"/>
          <w:spacing w:val="10"/>
          <w:kern w:val="0"/>
          <w:sz w:val="24"/>
          <w:szCs w:val="24"/>
          <w:lang w:val="zh-CN"/>
        </w:rPr>
        <w:t>较发育。</w:t>
      </w:r>
      <w:r>
        <w:rPr>
          <w:rFonts w:ascii="宋体" w:eastAsia="宋体" w:hAnsi="宋体" w:cs="Times New Roman" w:hint="eastAsia"/>
          <w:spacing w:val="10"/>
          <w:kern w:val="0"/>
          <w:sz w:val="24"/>
          <w:szCs w:val="24"/>
        </w:rPr>
        <w:t>于拟建建（构）筑物位置本次钻探未发现溶洞。由于岩溶地区存在隐伏岩溶问题，根据设计高程，路基基础置于土层中，在基础主要受力层范围内，如存在岩溶破碎带等，在附加荷载</w:t>
      </w:r>
      <w:r>
        <w:rPr>
          <w:rFonts w:ascii="宋体" w:eastAsia="宋体" w:hAnsi="宋体" w:cs="Times New Roman" w:hint="eastAsia"/>
          <w:spacing w:val="10"/>
          <w:kern w:val="0"/>
          <w:sz w:val="24"/>
          <w:szCs w:val="24"/>
        </w:rPr>
        <w:t>或振动荷载作用下，可能使路基发生不均匀沉降。建议在施工过程中可采取下列措施进行处理：</w:t>
      </w:r>
    </w:p>
    <w:p w:rsidR="00D9225E">
      <w:pPr>
        <w:spacing w:line="360" w:lineRule="auto"/>
        <w:ind w:firstLine="480" w:firstLineChars="200"/>
        <w:jc w:val="left"/>
        <w:rPr>
          <w:rFonts w:ascii="仿宋_GB2312" w:eastAsia="仿宋_GB2312" w:hAnsi="仿宋_GB2312" w:cs="仿宋_GB2312"/>
          <w:snapToGrid w:val="0"/>
          <w:kern w:val="0"/>
          <w:sz w:val="28"/>
          <w:szCs w:val="28"/>
        </w:rPr>
      </w:pPr>
      <w:r>
        <w:rPr>
          <w:rFonts w:ascii="宋体" w:eastAsia="宋体" w:hAnsi="宋体" w:cs="Times New Roman" w:hint="eastAsia"/>
          <w:spacing w:val="10"/>
          <w:kern w:val="0"/>
          <w:sz w:val="24"/>
          <w:szCs w:val="24"/>
        </w:rPr>
        <w:fldChar w:fldCharType="begin"/>
      </w:r>
      <w:r>
        <w:rPr>
          <w:rFonts w:ascii="宋体" w:eastAsia="宋体" w:hAnsi="宋体" w:cs="Times New Roman" w:hint="eastAsia"/>
          <w:spacing w:val="10"/>
          <w:kern w:val="0"/>
          <w:sz w:val="24"/>
          <w:szCs w:val="24"/>
        </w:rPr>
        <w:instrText xml:space="preserve"> = 1 \* GB3 </w:instrText>
      </w:r>
      <w:r>
        <w:rPr>
          <w:rFonts w:ascii="宋体" w:eastAsia="宋体" w:hAnsi="宋体" w:cs="Times New Roman" w:hint="eastAsia"/>
          <w:spacing w:val="10"/>
          <w:kern w:val="0"/>
          <w:sz w:val="24"/>
          <w:szCs w:val="24"/>
        </w:rPr>
        <w:fldChar w:fldCharType="separate"/>
      </w:r>
      <w:r>
        <w:rPr>
          <w:rFonts w:ascii="宋体" w:eastAsia="宋体" w:hAnsi="宋体" w:cs="Times New Roman" w:hint="eastAsia"/>
          <w:spacing w:val="10"/>
          <w:kern w:val="0"/>
          <w:sz w:val="24"/>
          <w:szCs w:val="24"/>
        </w:rPr>
        <w:t>①</w:t>
      </w:r>
      <w:r>
        <w:rPr>
          <w:rFonts w:ascii="宋体" w:eastAsia="宋体" w:hAnsi="宋体" w:cs="Times New Roman" w:hint="eastAsia"/>
          <w:spacing w:val="10"/>
          <w:kern w:val="0"/>
          <w:sz w:val="24"/>
          <w:szCs w:val="24"/>
        </w:rPr>
        <w:fldChar w:fldCharType="end"/>
      </w:r>
      <w:r>
        <w:rPr>
          <w:rFonts w:ascii="宋体" w:eastAsia="宋体" w:hAnsi="宋体" w:cs="Times New Roman" w:hint="eastAsia"/>
          <w:spacing w:val="10"/>
          <w:kern w:val="0"/>
          <w:sz w:val="24"/>
          <w:szCs w:val="24"/>
        </w:rPr>
        <w:t xml:space="preserve"> </w:t>
      </w:r>
      <w:r>
        <w:rPr>
          <w:rFonts w:ascii="宋体" w:eastAsia="宋体" w:hAnsi="宋体" w:cs="Times New Roman" w:hint="eastAsia"/>
          <w:spacing w:val="10"/>
          <w:kern w:val="0"/>
          <w:sz w:val="24"/>
          <w:szCs w:val="24"/>
        </w:rPr>
        <w:t>对地下水应积极疏导，切忌堵截；</w:t>
      </w:r>
      <w:r>
        <w:rPr>
          <w:rFonts w:ascii="宋体" w:eastAsia="宋体" w:hAnsi="宋体" w:cs="Times New Roman" w:hint="eastAsia"/>
          <w:spacing w:val="10"/>
          <w:kern w:val="0"/>
          <w:sz w:val="24"/>
          <w:szCs w:val="24"/>
        </w:rPr>
        <w:fldChar w:fldCharType="begin"/>
      </w:r>
      <w:r>
        <w:rPr>
          <w:rFonts w:ascii="宋体" w:eastAsia="宋体" w:hAnsi="宋体" w:cs="Times New Roman" w:hint="eastAsia"/>
          <w:spacing w:val="10"/>
          <w:kern w:val="0"/>
          <w:sz w:val="24"/>
          <w:szCs w:val="24"/>
        </w:rPr>
        <w:instrText xml:space="preserve"> = 2 \* GB3 </w:instrText>
      </w:r>
      <w:r>
        <w:rPr>
          <w:rFonts w:ascii="宋体" w:eastAsia="宋体" w:hAnsi="宋体" w:cs="Times New Roman" w:hint="eastAsia"/>
          <w:spacing w:val="10"/>
          <w:kern w:val="0"/>
          <w:sz w:val="24"/>
          <w:szCs w:val="24"/>
        </w:rPr>
        <w:fldChar w:fldCharType="separate"/>
      </w:r>
      <w:r>
        <w:rPr>
          <w:rFonts w:ascii="宋体" w:eastAsia="宋体" w:hAnsi="宋体" w:cs="Times New Roman" w:hint="eastAsia"/>
          <w:spacing w:val="10"/>
          <w:kern w:val="0"/>
          <w:sz w:val="24"/>
          <w:szCs w:val="24"/>
        </w:rPr>
        <w:t>②</w:t>
      </w:r>
      <w:r>
        <w:rPr>
          <w:rFonts w:ascii="宋体" w:eastAsia="宋体" w:hAnsi="宋体" w:cs="Times New Roman" w:hint="eastAsia"/>
          <w:spacing w:val="10"/>
          <w:kern w:val="0"/>
          <w:sz w:val="24"/>
          <w:szCs w:val="24"/>
        </w:rPr>
        <w:fldChar w:fldCharType="end"/>
      </w:r>
      <w:r>
        <w:rPr>
          <w:rFonts w:ascii="宋体" w:eastAsia="宋体" w:hAnsi="宋体" w:cs="Times New Roman" w:hint="eastAsia"/>
          <w:spacing w:val="10"/>
          <w:kern w:val="0"/>
          <w:sz w:val="24"/>
          <w:szCs w:val="24"/>
        </w:rPr>
        <w:t>如发现洞口较小的竖向溶洞时宜采用镶补、嵌塞、跨盖等处理方法；</w:t>
      </w:r>
      <w:r>
        <w:rPr>
          <w:rFonts w:ascii="宋体" w:eastAsia="宋体" w:hAnsi="宋体" w:cs="Times New Roman" w:hint="eastAsia"/>
          <w:spacing w:val="10"/>
          <w:kern w:val="0"/>
          <w:sz w:val="24"/>
          <w:szCs w:val="24"/>
        </w:rPr>
        <w:fldChar w:fldCharType="begin"/>
      </w:r>
      <w:r>
        <w:rPr>
          <w:rFonts w:ascii="宋体" w:eastAsia="宋体" w:hAnsi="宋体" w:cs="Times New Roman" w:hint="eastAsia"/>
          <w:spacing w:val="10"/>
          <w:kern w:val="0"/>
          <w:sz w:val="24"/>
          <w:szCs w:val="24"/>
        </w:rPr>
        <w:instrText xml:space="preserve"> = 3 \* GB3 </w:instrText>
      </w:r>
      <w:r>
        <w:rPr>
          <w:rFonts w:ascii="宋体" w:eastAsia="宋体" w:hAnsi="宋体" w:cs="Times New Roman" w:hint="eastAsia"/>
          <w:spacing w:val="10"/>
          <w:kern w:val="0"/>
          <w:sz w:val="24"/>
          <w:szCs w:val="24"/>
        </w:rPr>
        <w:fldChar w:fldCharType="separate"/>
      </w:r>
      <w:r>
        <w:rPr>
          <w:rFonts w:ascii="宋体" w:eastAsia="宋体" w:hAnsi="宋体" w:cs="Times New Roman" w:hint="eastAsia"/>
          <w:spacing w:val="10"/>
          <w:kern w:val="0"/>
          <w:sz w:val="24"/>
          <w:szCs w:val="24"/>
        </w:rPr>
        <w:t>③</w:t>
      </w:r>
      <w:r>
        <w:rPr>
          <w:rFonts w:ascii="宋体" w:eastAsia="宋体" w:hAnsi="宋体" w:cs="Times New Roman" w:hint="eastAsia"/>
          <w:spacing w:val="10"/>
          <w:kern w:val="0"/>
          <w:sz w:val="24"/>
          <w:szCs w:val="24"/>
        </w:rPr>
        <w:fldChar w:fldCharType="end"/>
      </w:r>
      <w:r>
        <w:rPr>
          <w:rFonts w:ascii="宋体" w:eastAsia="宋体" w:hAnsi="宋体" w:cs="Times New Roman" w:hint="eastAsia"/>
          <w:spacing w:val="10"/>
          <w:kern w:val="0"/>
          <w:sz w:val="24"/>
          <w:szCs w:val="24"/>
        </w:rPr>
        <w:t>顶板不稳定的浅埋溶洞，可采取清除覆盖土、爆开顶板、挖除松软填充物、采用块石及碎石回填等处理方法；</w:t>
      </w:r>
      <w:r>
        <w:rPr>
          <w:rFonts w:ascii="宋体" w:eastAsia="宋体" w:hAnsi="宋体" w:cs="Times New Roman" w:hint="eastAsia"/>
          <w:spacing w:val="10"/>
          <w:kern w:val="0"/>
          <w:sz w:val="24"/>
          <w:szCs w:val="24"/>
        </w:rPr>
        <w:fldChar w:fldCharType="begin"/>
      </w:r>
      <w:r>
        <w:rPr>
          <w:rFonts w:ascii="宋体" w:eastAsia="宋体" w:hAnsi="宋体" w:cs="Times New Roman" w:hint="eastAsia"/>
          <w:spacing w:val="10"/>
          <w:kern w:val="0"/>
          <w:sz w:val="24"/>
          <w:szCs w:val="24"/>
        </w:rPr>
        <w:instrText xml:space="preserve"> = 4 \* GB3 </w:instrText>
      </w:r>
      <w:r>
        <w:rPr>
          <w:rFonts w:ascii="宋体" w:eastAsia="宋体" w:hAnsi="宋体" w:cs="Times New Roman" w:hint="eastAsia"/>
          <w:spacing w:val="10"/>
          <w:kern w:val="0"/>
          <w:sz w:val="24"/>
          <w:szCs w:val="24"/>
        </w:rPr>
        <w:fldChar w:fldCharType="separate"/>
      </w:r>
      <w:r>
        <w:rPr>
          <w:rFonts w:ascii="宋体" w:eastAsia="宋体" w:hAnsi="宋体" w:cs="Times New Roman" w:hint="eastAsia"/>
          <w:spacing w:val="10"/>
          <w:kern w:val="0"/>
          <w:sz w:val="24"/>
          <w:szCs w:val="24"/>
        </w:rPr>
        <w:t>④</w:t>
      </w:r>
      <w:r>
        <w:rPr>
          <w:rFonts w:ascii="宋体" w:eastAsia="宋体" w:hAnsi="宋体" w:cs="Times New Roman" w:hint="eastAsia"/>
          <w:spacing w:val="10"/>
          <w:kern w:val="0"/>
          <w:sz w:val="24"/>
          <w:szCs w:val="24"/>
        </w:rPr>
        <w:fldChar w:fldCharType="end"/>
      </w:r>
      <w:r>
        <w:rPr>
          <w:rFonts w:ascii="宋体" w:eastAsia="宋体" w:hAnsi="宋体" w:cs="Times New Roman" w:hint="eastAsia"/>
          <w:spacing w:val="10"/>
          <w:kern w:val="0"/>
          <w:sz w:val="24"/>
          <w:szCs w:val="24"/>
        </w:rPr>
        <w:t>如发现规模较大的岩溶，可采用洞底支撑柱（墙），或贯穿式灌注柱等。</w:t>
      </w:r>
    </w:p>
    <w:p w:rsidR="00D9225E">
      <w:pPr>
        <w:pStyle w:val="LW31"/>
      </w:pPr>
      <w:bookmarkStart w:id="119" w:name="_Toc13709"/>
      <w:r>
        <w:rPr>
          <w:rFonts w:hint="eastAsia"/>
        </w:rPr>
        <w:t>环境土</w:t>
      </w:r>
      <w:r>
        <w:t>和地下水作用评价</w:t>
      </w:r>
      <w:bookmarkEnd w:id="119"/>
    </w:p>
    <w:p w:rsidR="00D9225E">
      <w:pPr>
        <w:spacing w:line="360" w:lineRule="auto"/>
        <w:ind w:firstLine="480" w:firstLineChars="200"/>
        <w:jc w:val="left"/>
        <w:rPr>
          <w:rFonts w:ascii="宋体" w:eastAsia="宋体" w:hAnsi="宋体" w:cs="Times New Roman"/>
          <w:spacing w:val="10"/>
          <w:kern w:val="0"/>
          <w:sz w:val="24"/>
          <w:szCs w:val="24"/>
        </w:rPr>
      </w:pPr>
      <w:bookmarkStart w:id="120" w:name="_Toc88141338"/>
      <w:bookmarkStart w:id="121" w:name="_Toc88148459"/>
      <w:bookmarkStart w:id="122" w:name="_Toc88140174"/>
      <w:bookmarkStart w:id="123" w:name="_Toc80888623"/>
      <w:r>
        <w:rPr>
          <w:rFonts w:ascii="宋体" w:eastAsia="宋体" w:hAnsi="宋体" w:cs="Times New Roman" w:hint="eastAsia"/>
          <w:spacing w:val="10"/>
          <w:kern w:val="0"/>
          <w:sz w:val="24"/>
          <w:szCs w:val="24"/>
        </w:rPr>
        <w:t>拟建场地水文地质条件较简单，钻探深度内未发现地下水，场平后，大气降水在地表径流途径较短，地表汇聚的大气降水一般就近由基岩裂隙渗入地下，总体向场地低洼地段排泄。场地周围无污染源的厂矿企业，根据本文</w:t>
      </w:r>
      <w:r>
        <w:rPr>
          <w:rFonts w:ascii="宋体" w:eastAsia="宋体" w:hAnsi="宋体" w:cs="Times New Roman" w:hint="eastAsia"/>
          <w:spacing w:val="10"/>
          <w:kern w:val="0"/>
          <w:sz w:val="24"/>
          <w:szCs w:val="24"/>
        </w:rPr>
        <w:t>2.2.6</w:t>
      </w:r>
      <w:r>
        <w:rPr>
          <w:rFonts w:ascii="宋体" w:eastAsia="宋体" w:hAnsi="宋体" w:cs="Times New Roman" w:hint="eastAsia"/>
          <w:spacing w:val="10"/>
          <w:kern w:val="0"/>
          <w:sz w:val="24"/>
          <w:szCs w:val="24"/>
        </w:rPr>
        <w:t>节，场地环境水、土体对混凝土结</w:t>
      </w:r>
      <w:r>
        <w:rPr>
          <w:rFonts w:ascii="宋体" w:eastAsia="宋体" w:hAnsi="宋体" w:cs="Times New Roman" w:hint="eastAsia"/>
          <w:spacing w:val="10"/>
          <w:kern w:val="0"/>
          <w:sz w:val="24"/>
          <w:szCs w:val="24"/>
        </w:rPr>
        <w:t>构及钢筋混凝土结构中钢筋具有微腐蚀性。</w:t>
      </w:r>
    </w:p>
    <w:p w:rsidR="00D9225E">
      <w:pPr>
        <w:spacing w:line="360" w:lineRule="auto"/>
        <w:ind w:firstLine="480" w:firstLineChars="200"/>
        <w:jc w:val="left"/>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勘察区土层厚度变化大，下伏岩坡呈斜坡状，地下水主要为松散土层孔隙水，与大气降雨联系密切，土层之间连通性好，松散土层主要为强透水层。</w:t>
      </w:r>
    </w:p>
    <w:p w:rsidR="00D9225E">
      <w:pPr>
        <w:spacing w:line="360" w:lineRule="auto"/>
        <w:ind w:firstLine="480" w:firstLineChars="200"/>
        <w:jc w:val="left"/>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建议施工期间做好排水、止水措施，选择旱季时进行施工。</w:t>
      </w:r>
    </w:p>
    <w:p w:rsidR="00D9225E">
      <w:pPr>
        <w:pStyle w:val="LW31"/>
      </w:pPr>
      <w:bookmarkStart w:id="124" w:name="_Toc3875"/>
      <w:r>
        <w:rPr>
          <w:rFonts w:hint="eastAsia"/>
        </w:rPr>
        <w:t>相邻构筑物</w:t>
      </w:r>
      <w:r>
        <w:t>影响评价</w:t>
      </w:r>
      <w:bookmarkEnd w:id="124"/>
    </w:p>
    <w:p w:rsidR="00D9225E">
      <w:pPr>
        <w:spacing w:line="360" w:lineRule="auto"/>
        <w:ind w:firstLine="480" w:firstLineChars="200"/>
        <w:jc w:val="left"/>
        <w:rPr>
          <w:rFonts w:ascii="宋体" w:eastAsia="宋体" w:hAnsi="宋体" w:cs="Times New Roman"/>
          <w:spacing w:val="10"/>
          <w:kern w:val="0"/>
          <w:sz w:val="24"/>
          <w:szCs w:val="24"/>
        </w:rPr>
        <w:sectPr>
          <w:headerReference w:type="even" r:id="rId38"/>
          <w:footerReference w:type="even" r:id="rId39"/>
          <w:type w:val="nextPage"/>
          <w:pgSz w:w="23811" w:h="16838" w:orient="landscape"/>
          <w:pgMar w:top="851" w:right="851" w:bottom="3119" w:left="1985" w:header="879" w:footer="765" w:gutter="0"/>
          <w:pgNumType w:start="11"/>
          <w:cols w:num="2" w:space="425"/>
          <w:titlePg w:val="0"/>
          <w:docGrid w:type="lines" w:linePitch="312"/>
        </w:sectPr>
      </w:pPr>
      <w:r>
        <w:rPr>
          <w:rFonts w:ascii="宋体" w:eastAsia="宋体" w:hAnsi="宋体" w:cs="Times New Roman" w:hint="eastAsia"/>
          <w:spacing w:val="10"/>
          <w:kern w:val="0"/>
          <w:sz w:val="24"/>
          <w:szCs w:val="24"/>
        </w:rPr>
        <w:t>拟建场地内建筑物基本已经拆除，拟建场地施工面限制较大，在基坑及边坡开挖前应详细考虑弃土位置。然后根据弃土区的位置，运土距离、开挖设备能力等因素，对降水工程、土方工程和支挡工程进行周密的施工组织设计。基坑及边坡开挖土方应及时运走，不能在基坑或边坡旁堆放，以免引起边坡变形而发生意外。在施工过程中应注意现场的文明施工，降低噪声及施工排渣对环境的影响。</w:t>
      </w:r>
    </w:p>
    <w:p w:rsidR="00D9225E">
      <w:pPr>
        <w:spacing w:line="360" w:lineRule="auto"/>
        <w:ind w:firstLine="480" w:firstLineChars="200"/>
        <w:jc w:val="left"/>
        <w:rPr>
          <w:rFonts w:ascii="宋体" w:eastAsia="宋体" w:hAnsi="宋体" w:cs="Times New Roman"/>
          <w:spacing w:val="10"/>
          <w:kern w:val="0"/>
          <w:sz w:val="24"/>
          <w:szCs w:val="24"/>
        </w:rPr>
      </w:pPr>
      <w:r>
        <w:rPr>
          <w:rFonts w:ascii="宋体" w:eastAsia="宋体" w:hAnsi="宋体" w:cs="Times New Roman" w:hint="eastAsia"/>
          <w:spacing w:val="10"/>
          <w:kern w:val="0"/>
          <w:sz w:val="24"/>
          <w:szCs w:val="24"/>
        </w:rPr>
        <w:t>综上所述，建筑物的修建对相邻构筑物的影响较小。</w:t>
      </w:r>
    </w:p>
    <w:p w:rsidR="00D9225E">
      <w:pPr>
        <w:pStyle w:val="LW31"/>
      </w:pPr>
      <w:bookmarkStart w:id="125" w:name="_Toc31940"/>
      <w:r>
        <w:rPr>
          <w:rFonts w:hint="eastAsia"/>
        </w:rPr>
        <w:t>地</w:t>
      </w:r>
      <w:r>
        <w:t>基</w:t>
      </w:r>
      <w:r>
        <w:rPr>
          <w:rFonts w:hint="eastAsia"/>
        </w:rPr>
        <w:t>均匀性</w:t>
      </w:r>
      <w:r>
        <w:t>评价</w:t>
      </w:r>
      <w:bookmarkEnd w:id="125"/>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场平后，勘察区地基土主要有填土、红黏土、强风化基岩及中等风化基岩。有关各层均匀性评价如下：</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素填土：</w:t>
      </w:r>
      <w:r>
        <w:rPr>
          <w:rFonts w:ascii="宋体" w:eastAsia="宋体" w:cs="Times New Roman" w:hint="eastAsia"/>
          <w:spacing w:val="10"/>
          <w:kern w:val="0"/>
          <w:sz w:val="24"/>
          <w:szCs w:val="24"/>
        </w:rPr>
        <w:t>经现场调查结合工程钻探，因人类活动建设抛填而成的填土揭露厚度，结构松散～稍密，均匀性差；</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红黏土：场地内广泛分布，场地内揭露厚度约</w:t>
      </w:r>
      <w:r>
        <w:rPr>
          <w:rFonts w:ascii="宋体" w:eastAsia="宋体" w:cs="Times New Roman" w:hint="eastAsia"/>
          <w:spacing w:val="10"/>
          <w:kern w:val="0"/>
          <w:sz w:val="24"/>
          <w:szCs w:val="24"/>
        </w:rPr>
        <w:t>3.70</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16.70m</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BK7</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BK17</w:t>
      </w:r>
      <w:r>
        <w:rPr>
          <w:rFonts w:ascii="宋体" w:eastAsia="宋体" w:cs="Times New Roman" w:hint="eastAsia"/>
          <w:spacing w:val="10"/>
          <w:kern w:val="0"/>
          <w:sz w:val="24"/>
          <w:szCs w:val="24"/>
        </w:rPr>
        <w:t>）。红粘土层厚度变化大，分布不均匀，整体均匀较好。根据设计意图，拟建道路基本设计高程位于红粘土内；</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强风化基岩：本层厚度</w:t>
      </w:r>
      <w:r>
        <w:rPr>
          <w:rFonts w:ascii="宋体" w:eastAsia="宋体" w:cs="Times New Roman" w:hint="eastAsia"/>
          <w:spacing w:val="10"/>
          <w:kern w:val="0"/>
          <w:sz w:val="24"/>
          <w:szCs w:val="24"/>
        </w:rPr>
        <w:t>0.3</w:t>
      </w:r>
      <w:r>
        <w:rPr>
          <w:rFonts w:ascii="宋体" w:eastAsia="宋体" w:cs="Times New Roman" w:hint="eastAsia"/>
          <w:spacing w:val="10"/>
          <w:kern w:val="0"/>
          <w:sz w:val="24"/>
          <w:szCs w:val="24"/>
          <w:lang w:val="zh-CN"/>
        </w:rPr>
        <w:t>～</w:t>
      </w:r>
      <w:r>
        <w:rPr>
          <w:rFonts w:ascii="宋体" w:eastAsia="宋体" w:cs="Times New Roman" w:hint="eastAsia"/>
          <w:spacing w:val="10"/>
          <w:kern w:val="0"/>
          <w:sz w:val="24"/>
          <w:szCs w:val="24"/>
        </w:rPr>
        <w:t>2.20m</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BK2</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BK12</w:t>
      </w:r>
      <w:r>
        <w:rPr>
          <w:rFonts w:ascii="宋体" w:eastAsia="宋体" w:cs="Times New Roman" w:hint="eastAsia"/>
          <w:spacing w:val="10"/>
          <w:kern w:val="0"/>
          <w:sz w:val="24"/>
          <w:szCs w:val="24"/>
        </w:rPr>
        <w:t>），分布不连续，均匀性较好；</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中等风化基岩：为白云岩，分布较有规律，风化程度较有规律，岩石试验强度变异性中等，均匀性较好。</w:t>
      </w:r>
    </w:p>
    <w:p w:rsidR="00D9225E">
      <w:pPr>
        <w:pStyle w:val="LW31"/>
      </w:pPr>
      <w:bookmarkStart w:id="126" w:name="_Toc17642"/>
      <w:r>
        <w:rPr>
          <w:rFonts w:hint="eastAsia"/>
        </w:rPr>
        <w:t>地</w:t>
      </w:r>
      <w:r>
        <w:t>基</w:t>
      </w:r>
      <w:r>
        <w:rPr>
          <w:rFonts w:hint="eastAsia"/>
        </w:rPr>
        <w:t>稳定</w:t>
      </w:r>
      <w:r>
        <w:rPr>
          <w:rFonts w:hint="eastAsia"/>
        </w:rPr>
        <w:t>性</w:t>
      </w:r>
      <w:r>
        <w:t>评价</w:t>
      </w:r>
      <w:bookmarkEnd w:id="126"/>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lang w:val="zh-CN"/>
        </w:rPr>
        <w:t>拟建场地无滑坡、崩塌、泥石流等不良地质现象，场地</w:t>
      </w:r>
      <w:r>
        <w:rPr>
          <w:rFonts w:ascii="宋体" w:eastAsia="宋体" w:cs="Times New Roman" w:hint="eastAsia"/>
          <w:spacing w:val="10"/>
          <w:kern w:val="0"/>
          <w:sz w:val="24"/>
          <w:szCs w:val="24"/>
        </w:rPr>
        <w:t>两侧挖</w:t>
      </w:r>
      <w:r>
        <w:rPr>
          <w:rFonts w:ascii="宋体" w:eastAsia="宋体" w:cs="Times New Roman" w:hint="eastAsia"/>
          <w:spacing w:val="10"/>
          <w:kern w:val="0"/>
          <w:sz w:val="24"/>
          <w:szCs w:val="24"/>
          <w:lang w:val="zh-CN"/>
        </w:rPr>
        <w:t>方土质</w:t>
      </w:r>
      <w:r>
        <w:rPr>
          <w:rFonts w:ascii="宋体" w:eastAsia="宋体" w:cs="Times New Roman" w:hint="eastAsia"/>
          <w:spacing w:val="10"/>
          <w:kern w:val="0"/>
          <w:sz w:val="24"/>
          <w:szCs w:val="24"/>
        </w:rPr>
        <w:t>边坡整体在天然状态下处于稳定状态，在暴雨情况下处于基本稳定状态，可能沿填土界面及岩土界面发生整体滑移破坏，在对该边坡进行有效的治理后，场地地基整体稳定。</w:t>
      </w:r>
      <w:r>
        <w:rPr>
          <w:rFonts w:ascii="宋体" w:eastAsia="宋体" w:cs="Times New Roman" w:hint="eastAsia"/>
          <w:spacing w:val="10"/>
          <w:kern w:val="0"/>
          <w:sz w:val="24"/>
          <w:szCs w:val="24"/>
          <w:lang w:val="zh-CN"/>
        </w:rPr>
        <w:t>岩质地基整体稳定。部分区</w:t>
      </w:r>
      <w:r>
        <w:rPr>
          <w:rFonts w:ascii="宋体" w:eastAsia="宋体" w:cs="Times New Roman" w:hint="eastAsia"/>
          <w:spacing w:val="10"/>
          <w:kern w:val="0"/>
          <w:sz w:val="24"/>
          <w:szCs w:val="24"/>
          <w:lang w:val="zh-CN"/>
        </w:rPr>
        <w:t>域填土厚度较大，在场地整平时应对现有填土及新填土进行压实并满足规范要求。在对场地内边坡进行有效的治理后，场地地基整体稳定。</w:t>
      </w:r>
    </w:p>
    <w:p w:rsidR="00D9225E">
      <w:pPr>
        <w:pStyle w:val="LW31"/>
      </w:pPr>
      <w:bookmarkStart w:id="127" w:name="_Toc30925"/>
      <w:r>
        <w:rPr>
          <w:rFonts w:hint="eastAsia"/>
        </w:rPr>
        <w:t>特殊土</w:t>
      </w:r>
      <w:r>
        <w:t>评价</w:t>
      </w:r>
      <w:bookmarkEnd w:id="127"/>
    </w:p>
    <w:p w:rsidR="00D9225E">
      <w:pPr>
        <w:pStyle w:val="LW41"/>
      </w:pPr>
      <w:r>
        <w:rPr>
          <w:rFonts w:hint="eastAsia"/>
        </w:rPr>
        <w:t>红黏土的</w:t>
      </w:r>
      <w:r>
        <w:t>性质</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根据室内试验成果，红粘土孔隙比大，高压缩性，为高塑性、中压缩性红粘土。</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1</w:t>
      </w:r>
      <w:r>
        <w:rPr>
          <w:rFonts w:ascii="宋体" w:eastAsia="宋体" w:cs="Times New Roman" w:hint="eastAsia"/>
          <w:spacing w:val="10"/>
          <w:kern w:val="0"/>
          <w:sz w:val="24"/>
          <w:szCs w:val="24"/>
        </w:rPr>
        <w:t>）湿度状态分类：根据含水比，场地内红粘土呈硬塑～可</w:t>
      </w:r>
      <w:r>
        <w:rPr>
          <w:rFonts w:ascii="宋体" w:eastAsia="宋体" w:cs="Times New Roman" w:hint="eastAsia"/>
          <w:spacing w:val="10"/>
          <w:kern w:val="0"/>
          <w:sz w:val="24"/>
          <w:szCs w:val="24"/>
        </w:rPr>
        <w:t>塑状，底部呈软塑状；</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2</w:t>
      </w:r>
      <w:r>
        <w:rPr>
          <w:rFonts w:ascii="宋体" w:eastAsia="宋体" w:cs="Times New Roman" w:hint="eastAsia"/>
          <w:spacing w:val="10"/>
          <w:kern w:val="0"/>
          <w:sz w:val="24"/>
          <w:szCs w:val="24"/>
        </w:rPr>
        <w:t>）结构分类：其裂隙不发育，未见大的裂隙发育，呈致密状；</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3</w:t>
      </w:r>
      <w:r>
        <w:rPr>
          <w:rFonts w:ascii="宋体" w:eastAsia="宋体" w:cs="Times New Roman" w:hint="eastAsia"/>
          <w:spacing w:val="10"/>
          <w:kern w:val="0"/>
          <w:sz w:val="24"/>
          <w:szCs w:val="24"/>
        </w:rPr>
        <w:t>）复浸水特性分类：根据</w:t>
      </w:r>
      <w:r>
        <w:rPr>
          <w:rFonts w:ascii="宋体" w:eastAsia="宋体" w:cs="Times New Roman" w:hint="eastAsia"/>
          <w:spacing w:val="10"/>
          <w:kern w:val="0"/>
          <w:sz w:val="24"/>
          <w:szCs w:val="24"/>
        </w:rPr>
        <w:t>Ir= WL/WP=2.14</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Ir</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=1.83</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Ir</w:t>
      </w:r>
      <w:r>
        <w:rPr>
          <w:rFonts w:ascii="宋体" w:eastAsia="宋体" w:cs="Times New Roman" w:hint="eastAsia"/>
          <w:spacing w:val="10"/>
          <w:kern w:val="0"/>
          <w:sz w:val="24"/>
          <w:szCs w:val="24"/>
        </w:rPr>
        <w:t>大于</w:t>
      </w:r>
      <w:r>
        <w:rPr>
          <w:rFonts w:ascii="宋体" w:eastAsia="宋体" w:cs="Times New Roman" w:hint="eastAsia"/>
          <w:spacing w:val="10"/>
          <w:kern w:val="0"/>
          <w:sz w:val="24"/>
          <w:szCs w:val="24"/>
        </w:rPr>
        <w:t>Ir</w:t>
      </w:r>
      <w:r>
        <w:rPr>
          <w:rFonts w:ascii="宋体" w:eastAsia="宋体" w:cs="Times New Roman" w:hint="eastAsia"/>
          <w:spacing w:val="10"/>
          <w:kern w:val="0"/>
          <w:sz w:val="24"/>
          <w:szCs w:val="24"/>
        </w:rPr>
        <w:t>’，为Ⅰ类，收缩后复浸水膨胀，能恢复到原位；</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4</w:t>
      </w:r>
      <w:r>
        <w:rPr>
          <w:rFonts w:ascii="宋体" w:eastAsia="宋体" w:cs="Times New Roman" w:hint="eastAsia"/>
          <w:spacing w:val="10"/>
          <w:kern w:val="0"/>
          <w:sz w:val="24"/>
          <w:szCs w:val="24"/>
        </w:rPr>
        <w:t>）地基均匀性分类：</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根据《工程地质手册》（第四版）表</w:t>
      </w:r>
      <w:r>
        <w:rPr>
          <w:rFonts w:ascii="宋体" w:eastAsia="宋体" w:cs="Times New Roman" w:hint="eastAsia"/>
          <w:spacing w:val="10"/>
          <w:kern w:val="0"/>
          <w:sz w:val="24"/>
          <w:szCs w:val="24"/>
        </w:rPr>
        <w:t>5-2-7</w:t>
      </w:r>
      <w:r>
        <w:rPr>
          <w:rFonts w:ascii="宋体" w:eastAsia="宋体" w:cs="Times New Roman" w:hint="eastAsia"/>
          <w:spacing w:val="10"/>
          <w:kern w:val="0"/>
          <w:sz w:val="24"/>
          <w:szCs w:val="24"/>
        </w:rPr>
        <w:t>，当采用红粘土作地基持力层时，“地基压缩层”</w:t>
      </w:r>
      <w:r>
        <w:rPr>
          <w:rFonts w:ascii="宋体" w:eastAsia="宋体" w:cs="Times New Roman" w:hint="eastAsia"/>
          <w:spacing w:val="10"/>
          <w:kern w:val="0"/>
          <w:sz w:val="24"/>
          <w:szCs w:val="24"/>
        </w:rPr>
        <w:t xml:space="preserve"> </w:t>
      </w:r>
      <w:r>
        <w:rPr>
          <w:rFonts w:ascii="宋体" w:eastAsia="宋体" w:cs="Times New Roman" w:hint="eastAsia"/>
          <w:spacing w:val="10"/>
          <w:kern w:val="0"/>
          <w:sz w:val="24"/>
          <w:szCs w:val="24"/>
        </w:rPr>
        <w:t>的厚度</w:t>
      </w:r>
      <w:r>
        <w:rPr>
          <w:rFonts w:ascii="宋体" w:eastAsia="宋体" w:cs="Times New Roman" w:hint="eastAsia"/>
          <w:spacing w:val="10"/>
          <w:kern w:val="0"/>
          <w:sz w:val="24"/>
          <w:szCs w:val="24"/>
        </w:rPr>
        <w:t>Z</w:t>
      </w:r>
      <w:r>
        <w:rPr>
          <w:rFonts w:ascii="宋体" w:eastAsia="宋体" w:cs="Times New Roman" w:hint="eastAsia"/>
          <w:spacing w:val="10"/>
          <w:kern w:val="0"/>
          <w:sz w:val="24"/>
          <w:szCs w:val="24"/>
        </w:rPr>
        <w:t>一般应根据建筑物结构类型、基础形式、荷载等综合分析确定。</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5</w:t>
      </w:r>
      <w:r>
        <w:rPr>
          <w:rFonts w:ascii="宋体" w:eastAsia="宋体" w:cs="Times New Roman" w:hint="eastAsia"/>
          <w:spacing w:val="10"/>
          <w:kern w:val="0"/>
          <w:sz w:val="24"/>
          <w:szCs w:val="24"/>
        </w:rPr>
        <w:t>）上硬下软现象：</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红粘土样品试验结果显示，场地内红粘土均呈可塑～硬塑状，不同深度的物理力学性质差异不大，上硬下软现象</w:t>
      </w:r>
      <w:r>
        <w:rPr>
          <w:rFonts w:ascii="宋体" w:eastAsia="宋体" w:cs="Times New Roman" w:hint="eastAsia"/>
          <w:spacing w:val="10"/>
          <w:kern w:val="0"/>
          <w:sz w:val="24"/>
          <w:szCs w:val="24"/>
        </w:rPr>
        <w:t>不明显。</w:t>
      </w:r>
    </w:p>
    <w:p w:rsidR="00D9225E">
      <w:pPr>
        <w:pStyle w:val="LW41"/>
      </w:pPr>
      <w:r>
        <w:rPr>
          <w:rFonts w:hint="eastAsia"/>
        </w:rPr>
        <w:t>红黏土地基评价</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1</w:t>
      </w:r>
      <w:r>
        <w:rPr>
          <w:rFonts w:ascii="宋体" w:eastAsia="宋体" w:cs="Times New Roman" w:hint="eastAsia"/>
          <w:spacing w:val="10"/>
          <w:kern w:val="0"/>
          <w:sz w:val="24"/>
          <w:szCs w:val="24"/>
        </w:rPr>
        <w:t>）地基承载力评价</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红粘土的地基承载力特征值，系根据现场调查、实验数据，参考《工程地质勘察规范》（</w:t>
      </w:r>
      <w:r>
        <w:rPr>
          <w:rFonts w:ascii="宋体" w:eastAsia="宋体" w:cs="Times New Roman" w:hint="eastAsia"/>
          <w:spacing w:val="10"/>
          <w:kern w:val="0"/>
          <w:sz w:val="24"/>
          <w:szCs w:val="24"/>
        </w:rPr>
        <w:t>DBJ50/T-043-2016</w:t>
      </w:r>
      <w:r>
        <w:rPr>
          <w:rFonts w:ascii="宋体" w:eastAsia="宋体" w:cs="Times New Roman" w:hint="eastAsia"/>
          <w:spacing w:val="10"/>
          <w:kern w:val="0"/>
          <w:sz w:val="24"/>
          <w:szCs w:val="24"/>
        </w:rPr>
        <w:t>）的相关规定，计算得</w:t>
      </w:r>
      <w:r>
        <w:rPr>
          <w:rFonts w:ascii="宋体" w:eastAsia="宋体" w:cs="Times New Roman" w:hint="eastAsia"/>
          <w:spacing w:val="10"/>
          <w:kern w:val="0"/>
          <w:sz w:val="24"/>
          <w:szCs w:val="24"/>
        </w:rPr>
        <w:t>150 KPa</w:t>
      </w:r>
      <w:r>
        <w:rPr>
          <w:rFonts w:ascii="宋体" w:eastAsia="宋体" w:cs="Times New Roman" w:hint="eastAsia"/>
          <w:spacing w:val="10"/>
          <w:kern w:val="0"/>
          <w:sz w:val="24"/>
          <w:szCs w:val="24"/>
        </w:rPr>
        <w:t>。</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2</w:t>
      </w:r>
      <w:r>
        <w:rPr>
          <w:rFonts w:ascii="宋体" w:eastAsia="宋体" w:cs="Times New Roman" w:hint="eastAsia"/>
          <w:spacing w:val="10"/>
          <w:kern w:val="0"/>
          <w:sz w:val="24"/>
          <w:szCs w:val="24"/>
        </w:rPr>
        <w:t>）地基均匀性评价</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按设计标高整平后，拟建场地内地基均匀性差。</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3</w:t>
      </w:r>
      <w:r>
        <w:rPr>
          <w:rFonts w:ascii="宋体" w:eastAsia="宋体" w:cs="Times New Roman" w:hint="eastAsia"/>
          <w:spacing w:val="10"/>
          <w:kern w:val="0"/>
          <w:sz w:val="24"/>
          <w:szCs w:val="24"/>
        </w:rPr>
        <w:t>）胀缩性评价</w:t>
      </w:r>
    </w:p>
    <w:bookmarkEnd w:id="95"/>
    <w:bookmarkEnd w:id="96"/>
    <w:bookmarkEnd w:id="120"/>
    <w:bookmarkEnd w:id="121"/>
    <w:bookmarkEnd w:id="122"/>
    <w:bookmarkEnd w:id="123"/>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红粘土在天然状态时一般膨胀性较弱，胀缩性能以收缩为主；当复浸水时，经过胀缩循环，一部分胀量逐次积累，一部分缩量逐次积累。因此，应注意两方面的问题：第一，轻型建筑物的基础埋置深度应大于大气影响急剧层深度；第二，施工开挖时，宜采取保湿措施，防止失水干缩。</w:t>
      </w:r>
    </w:p>
    <w:p w:rsidR="00D9225E">
      <w:pPr>
        <w:pStyle w:val="LW31"/>
      </w:pPr>
      <w:bookmarkStart w:id="128" w:name="_Toc14805"/>
      <w:r>
        <w:rPr>
          <w:rFonts w:hint="eastAsia"/>
        </w:rPr>
        <w:t>岩土地基</w:t>
      </w:r>
      <w:r>
        <w:t>承载力评价</w:t>
      </w:r>
      <w:bookmarkEnd w:id="128"/>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场地内第四系土层主要为素填土、红黏土，在场地内均有分布，厚度变化大，分布不连续。场地内第四系土层整体承载力差，未经处理后不能作为拟建道路基础持力层。红黏土承载力相对较高，成分较均匀，可路基持力层及下卧层</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基岩强风化段岩石破碎，质软，力学强度</w:t>
      </w:r>
      <w:r>
        <w:rPr>
          <w:rFonts w:ascii="宋体" w:eastAsia="宋体" w:cs="Times New Roman" w:hint="eastAsia"/>
          <w:spacing w:val="10"/>
          <w:kern w:val="0"/>
          <w:sz w:val="24"/>
          <w:szCs w:val="24"/>
        </w:rPr>
        <w:t>低，承载力较差，不能作为拟建道路基础持力层。</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中等风化基岩段在场地内分布广，且较稳定，力学强度较高，承载力能满足拟建道路荷载要求。</w:t>
      </w:r>
    </w:p>
    <w:p w:rsidR="00D9225E">
      <w:pPr>
        <w:pStyle w:val="LW31"/>
      </w:pPr>
      <w:bookmarkStart w:id="129" w:name="_Toc7062"/>
      <w:r>
        <w:rPr>
          <w:rFonts w:hint="eastAsia"/>
        </w:rPr>
        <w:t>路基持力层</w:t>
      </w:r>
      <w:r>
        <w:t>选择与建议</w:t>
      </w:r>
      <w:bookmarkEnd w:id="129"/>
    </w:p>
    <w:p w:rsidR="00D9225E">
      <w:pPr>
        <w:spacing w:line="360" w:lineRule="auto"/>
        <w:ind w:firstLine="480" w:firstLineChars="200"/>
        <w:jc w:val="left"/>
        <w:rPr>
          <w:rFonts w:ascii="宋体" w:eastAsia="宋体" w:hAnsi="宋体" w:cs="Times New Roman"/>
          <w:bCs/>
          <w:spacing w:val="10"/>
          <w:kern w:val="0"/>
          <w:sz w:val="24"/>
          <w:szCs w:val="24"/>
        </w:rPr>
        <w:sectPr>
          <w:headerReference w:type="even" r:id="rId40"/>
          <w:footerReference w:type="even" r:id="rId41"/>
          <w:type w:val="nextPage"/>
          <w:pgSz w:w="23811" w:h="16838" w:orient="landscape"/>
          <w:pgMar w:top="851" w:right="851" w:bottom="3119" w:left="1985" w:header="879" w:footer="765" w:gutter="0"/>
          <w:pgNumType w:start="12"/>
          <w:cols w:num="2" w:space="425"/>
          <w:titlePg w:val="0"/>
          <w:docGrid w:type="lines" w:linePitch="312"/>
        </w:sectPr>
      </w:pPr>
      <w:r>
        <w:rPr>
          <w:rFonts w:ascii="宋体" w:eastAsia="宋体" w:hAnsi="宋体" w:cs="Times New Roman" w:hint="eastAsia"/>
          <w:bCs/>
          <w:spacing w:val="10"/>
          <w:kern w:val="0"/>
          <w:sz w:val="24"/>
          <w:szCs w:val="24"/>
        </w:rPr>
        <w:t>根据设计意图</w:t>
      </w:r>
      <w:r>
        <w:rPr>
          <w:rFonts w:ascii="宋体" w:eastAsia="宋体" w:hAnsi="宋体" w:cs="Times New Roman" w:hint="eastAsia"/>
          <w:bCs/>
          <w:spacing w:val="10"/>
          <w:kern w:val="0"/>
          <w:sz w:val="24"/>
          <w:szCs w:val="24"/>
        </w:rPr>
        <w:t>K0+017.306</w:t>
      </w:r>
      <w:r>
        <w:rPr>
          <w:rFonts w:ascii="宋体" w:eastAsia="宋体" w:hAnsi="宋体" w:cs="Times New Roman" w:hint="eastAsia"/>
          <w:bCs/>
          <w:spacing w:val="10"/>
          <w:kern w:val="0"/>
          <w:sz w:val="24"/>
          <w:szCs w:val="24"/>
        </w:rPr>
        <w:t>～</w:t>
      </w:r>
      <w:r>
        <w:rPr>
          <w:rFonts w:ascii="宋体" w:eastAsia="宋体" w:hAnsi="宋体" w:cs="Times New Roman" w:hint="eastAsia"/>
          <w:bCs/>
          <w:spacing w:val="10"/>
          <w:kern w:val="0"/>
          <w:sz w:val="24"/>
          <w:szCs w:val="24"/>
        </w:rPr>
        <w:t>K0+200</w:t>
      </w:r>
      <w:r>
        <w:rPr>
          <w:rFonts w:ascii="宋体" w:eastAsia="宋体" w:hAnsi="宋体" w:cs="Times New Roman" w:hint="eastAsia"/>
          <w:bCs/>
          <w:spacing w:val="10"/>
          <w:kern w:val="0"/>
          <w:sz w:val="24"/>
          <w:szCs w:val="24"/>
        </w:rPr>
        <w:t>段，</w:t>
      </w:r>
      <w:r>
        <w:rPr>
          <w:rFonts w:ascii="宋体" w:eastAsia="宋体" w:hAnsi="宋体" w:cs="Times New Roman" w:hint="eastAsia"/>
          <w:bCs/>
          <w:spacing w:val="10"/>
          <w:kern w:val="0"/>
          <w:sz w:val="24"/>
          <w:szCs w:val="24"/>
          <w:lang w:val="zh-CN"/>
        </w:rPr>
        <w:t>整平后为基岩出露或为红粘土。路基下卧层为基岩。红粘土、基岩</w:t>
      </w:r>
      <w:r>
        <w:rPr>
          <w:rFonts w:ascii="宋体" w:eastAsia="宋体" w:hAnsi="宋体" w:cs="Times New Roman" w:hint="eastAsia"/>
          <w:bCs/>
          <w:spacing w:val="10"/>
          <w:kern w:val="0"/>
          <w:sz w:val="24"/>
          <w:szCs w:val="24"/>
        </w:rPr>
        <w:t>均</w:t>
      </w:r>
      <w:r>
        <w:rPr>
          <w:rFonts w:ascii="宋体" w:eastAsia="宋体" w:hAnsi="宋体" w:cs="Times New Roman" w:hint="eastAsia"/>
          <w:bCs/>
          <w:spacing w:val="10"/>
          <w:kern w:val="0"/>
          <w:sz w:val="24"/>
          <w:szCs w:val="24"/>
          <w:lang w:val="zh-CN"/>
        </w:rPr>
        <w:t>可直接作为路基持力层，红粘土地基承载力</w:t>
      </w:r>
      <w:r>
        <w:rPr>
          <w:rFonts w:ascii="宋体" w:eastAsia="宋体" w:hAnsi="宋体" w:cs="Times New Roman" w:hint="eastAsia"/>
          <w:bCs/>
          <w:spacing w:val="10"/>
          <w:kern w:val="0"/>
          <w:sz w:val="24"/>
          <w:szCs w:val="24"/>
        </w:rPr>
        <w:t>特征值取</w:t>
      </w:r>
      <w:r>
        <w:rPr>
          <w:rFonts w:ascii="宋体" w:eastAsia="宋体" w:hAnsi="宋体" w:cs="Times New Roman" w:hint="eastAsia"/>
          <w:bCs/>
          <w:spacing w:val="10"/>
          <w:kern w:val="0"/>
          <w:sz w:val="24"/>
          <w:szCs w:val="24"/>
        </w:rPr>
        <w:t>150kPa</w:t>
      </w:r>
      <w:r>
        <w:rPr>
          <w:rFonts w:ascii="宋体" w:eastAsia="宋体" w:hAnsi="宋体" w:cs="Times New Roman" w:hint="eastAsia"/>
          <w:bCs/>
          <w:spacing w:val="10"/>
          <w:kern w:val="0"/>
          <w:sz w:val="24"/>
          <w:szCs w:val="24"/>
        </w:rPr>
        <w:t>、</w:t>
      </w:r>
    </w:p>
    <w:p w:rsidR="00D9225E">
      <w:pPr>
        <w:spacing w:line="360" w:lineRule="auto"/>
        <w:ind w:firstLine="480" w:firstLineChars="200"/>
        <w:jc w:val="left"/>
        <w:rPr>
          <w:rFonts w:ascii="宋体" w:eastAsia="宋体" w:hAnsi="宋体" w:cs="Times New Roman"/>
          <w:bCs/>
          <w:spacing w:val="10"/>
          <w:kern w:val="0"/>
          <w:sz w:val="24"/>
          <w:szCs w:val="24"/>
        </w:rPr>
      </w:pPr>
      <w:r>
        <w:rPr>
          <w:rFonts w:ascii="宋体" w:eastAsia="宋体" w:hAnsi="宋体" w:cs="Times New Roman" w:hint="eastAsia"/>
          <w:bCs/>
          <w:spacing w:val="10"/>
          <w:kern w:val="0"/>
          <w:sz w:val="24"/>
          <w:szCs w:val="24"/>
          <w:lang w:val="zh-CN"/>
        </w:rPr>
        <w:t>强风化</w:t>
      </w:r>
      <w:r>
        <w:rPr>
          <w:rFonts w:ascii="宋体" w:eastAsia="宋体" w:hAnsi="宋体" w:cs="Times New Roman" w:hint="eastAsia"/>
          <w:bCs/>
          <w:spacing w:val="10"/>
          <w:kern w:val="0"/>
          <w:sz w:val="24"/>
          <w:szCs w:val="24"/>
        </w:rPr>
        <w:t>白云岩</w:t>
      </w:r>
      <w:r>
        <w:rPr>
          <w:rFonts w:ascii="宋体" w:eastAsia="宋体" w:hAnsi="宋体" w:cs="Times New Roman" w:hint="eastAsia"/>
          <w:bCs/>
          <w:spacing w:val="10"/>
          <w:kern w:val="0"/>
          <w:sz w:val="24"/>
          <w:szCs w:val="24"/>
          <w:lang w:val="zh-CN"/>
        </w:rPr>
        <w:t>地基承载力</w:t>
      </w:r>
      <w:r>
        <w:rPr>
          <w:rFonts w:ascii="宋体" w:eastAsia="宋体" w:hAnsi="宋体" w:cs="Times New Roman" w:hint="eastAsia"/>
          <w:bCs/>
          <w:spacing w:val="10"/>
          <w:kern w:val="0"/>
          <w:sz w:val="24"/>
          <w:szCs w:val="24"/>
        </w:rPr>
        <w:t>特征</w:t>
      </w:r>
      <w:r>
        <w:rPr>
          <w:rFonts w:ascii="宋体" w:eastAsia="宋体" w:hAnsi="宋体" w:cs="Times New Roman" w:hint="eastAsia"/>
          <w:bCs/>
          <w:spacing w:val="10"/>
          <w:kern w:val="0"/>
          <w:sz w:val="24"/>
          <w:szCs w:val="24"/>
          <w:lang w:val="zh-CN"/>
        </w:rPr>
        <w:t>值</w:t>
      </w:r>
      <w:r>
        <w:rPr>
          <w:rFonts w:ascii="宋体" w:eastAsia="宋体" w:hAnsi="宋体" w:cs="Times New Roman" w:hint="eastAsia"/>
          <w:bCs/>
          <w:spacing w:val="10"/>
          <w:kern w:val="0"/>
          <w:sz w:val="24"/>
          <w:szCs w:val="24"/>
        </w:rPr>
        <w:t>4</w:t>
      </w:r>
      <w:r>
        <w:rPr>
          <w:rFonts w:ascii="宋体" w:eastAsia="宋体" w:hAnsi="宋体" w:cs="Times New Roman" w:hint="eastAsia"/>
          <w:bCs/>
          <w:spacing w:val="10"/>
          <w:kern w:val="0"/>
          <w:sz w:val="24"/>
          <w:szCs w:val="24"/>
          <w:lang w:val="zh-CN"/>
        </w:rPr>
        <w:t>00kPa</w:t>
      </w:r>
      <w:r>
        <w:rPr>
          <w:rFonts w:ascii="宋体" w:eastAsia="宋体" w:hAnsi="宋体" w:cs="Times New Roman" w:hint="eastAsia"/>
          <w:bCs/>
          <w:spacing w:val="10"/>
          <w:kern w:val="0"/>
          <w:sz w:val="24"/>
          <w:szCs w:val="24"/>
          <w:lang w:val="zh-CN"/>
        </w:rPr>
        <w:t>；中等风化</w:t>
      </w:r>
      <w:r>
        <w:rPr>
          <w:rFonts w:ascii="宋体" w:eastAsia="宋体" w:hAnsi="宋体" w:cs="Times New Roman" w:hint="eastAsia"/>
          <w:bCs/>
          <w:spacing w:val="10"/>
          <w:kern w:val="0"/>
          <w:sz w:val="24"/>
          <w:szCs w:val="24"/>
        </w:rPr>
        <w:t>白云岩</w:t>
      </w:r>
      <w:r>
        <w:rPr>
          <w:rFonts w:ascii="宋体" w:eastAsia="宋体" w:hAnsi="宋体" w:cs="Times New Roman" w:hint="eastAsia"/>
          <w:bCs/>
          <w:spacing w:val="10"/>
          <w:kern w:val="0"/>
          <w:sz w:val="24"/>
          <w:szCs w:val="24"/>
          <w:lang w:val="zh-CN"/>
        </w:rPr>
        <w:t>地基承载力</w:t>
      </w:r>
      <w:r>
        <w:rPr>
          <w:rFonts w:ascii="宋体" w:eastAsia="宋体" w:hAnsi="宋体" w:cs="Times New Roman" w:hint="eastAsia"/>
          <w:bCs/>
          <w:spacing w:val="10"/>
          <w:kern w:val="0"/>
          <w:sz w:val="24"/>
          <w:szCs w:val="24"/>
        </w:rPr>
        <w:t>特征</w:t>
      </w:r>
      <w:r>
        <w:rPr>
          <w:rFonts w:ascii="宋体" w:eastAsia="宋体" w:hAnsi="宋体" w:cs="Times New Roman" w:hint="eastAsia"/>
          <w:bCs/>
          <w:spacing w:val="10"/>
          <w:kern w:val="0"/>
          <w:sz w:val="24"/>
          <w:szCs w:val="24"/>
          <w:lang w:val="zh-CN"/>
        </w:rPr>
        <w:t>值取</w:t>
      </w:r>
      <w:r>
        <w:rPr>
          <w:rFonts w:ascii="宋体" w:eastAsia="宋体" w:hAnsi="宋体" w:cs="Times New Roman" w:hint="eastAsia"/>
          <w:bCs/>
          <w:spacing w:val="10"/>
          <w:kern w:val="0"/>
          <w:sz w:val="24"/>
          <w:szCs w:val="24"/>
        </w:rPr>
        <w:t>3612</w:t>
      </w:r>
      <w:r>
        <w:rPr>
          <w:rFonts w:ascii="宋体" w:eastAsia="宋体" w:hAnsi="宋体" w:cs="Times New Roman" w:hint="eastAsia"/>
          <w:bCs/>
          <w:spacing w:val="10"/>
          <w:kern w:val="0"/>
          <w:sz w:val="24"/>
          <w:szCs w:val="24"/>
          <w:lang w:val="zh-CN"/>
        </w:rPr>
        <w:t>kPa</w:t>
      </w:r>
      <w:r>
        <w:rPr>
          <w:rFonts w:ascii="宋体" w:eastAsia="宋体" w:hAnsi="宋体" w:cs="Times New Roman" w:hint="eastAsia"/>
          <w:bCs/>
          <w:spacing w:val="10"/>
          <w:kern w:val="0"/>
          <w:sz w:val="24"/>
          <w:szCs w:val="24"/>
          <w:lang w:val="zh-CN"/>
        </w:rPr>
        <w:t>。</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根据设计意图</w:t>
      </w:r>
      <w:r>
        <w:rPr>
          <w:rFonts w:ascii="宋体" w:eastAsia="宋体" w:cs="Times New Roman" w:hint="eastAsia"/>
          <w:spacing w:val="10"/>
          <w:kern w:val="0"/>
          <w:sz w:val="24"/>
          <w:szCs w:val="24"/>
        </w:rPr>
        <w:t>K0+200</w:t>
      </w: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K0+791.293</w:t>
      </w:r>
      <w:r>
        <w:rPr>
          <w:rFonts w:ascii="宋体" w:eastAsia="宋体" w:cs="Times New Roman" w:hint="eastAsia"/>
          <w:spacing w:val="10"/>
          <w:kern w:val="0"/>
          <w:sz w:val="24"/>
          <w:szCs w:val="24"/>
        </w:rPr>
        <w:t>段，</w:t>
      </w:r>
      <w:r>
        <w:rPr>
          <w:rFonts w:ascii="宋体" w:eastAsia="宋体" w:cs="Times New Roman" w:hint="eastAsia"/>
          <w:spacing w:val="10"/>
          <w:kern w:val="0"/>
          <w:sz w:val="24"/>
          <w:szCs w:val="24"/>
          <w:lang w:val="zh-CN"/>
        </w:rPr>
        <w:t>平后为红粘土。路基下卧层为红粘土，红粘土地基承载力</w:t>
      </w:r>
      <w:r>
        <w:rPr>
          <w:rFonts w:ascii="宋体" w:eastAsia="宋体" w:cs="Times New Roman" w:hint="eastAsia"/>
          <w:spacing w:val="10"/>
          <w:kern w:val="0"/>
          <w:sz w:val="24"/>
          <w:szCs w:val="24"/>
        </w:rPr>
        <w:t>特征值取</w:t>
      </w:r>
      <w:r>
        <w:rPr>
          <w:rFonts w:ascii="宋体" w:eastAsia="宋体" w:cs="Times New Roman" w:hint="eastAsia"/>
          <w:spacing w:val="10"/>
          <w:kern w:val="0"/>
          <w:sz w:val="24"/>
          <w:szCs w:val="24"/>
        </w:rPr>
        <w:t>150kPa</w:t>
      </w:r>
      <w:r>
        <w:rPr>
          <w:rFonts w:ascii="宋体" w:eastAsia="宋体" w:cs="Times New Roman" w:hint="eastAsia"/>
          <w:spacing w:val="10"/>
          <w:kern w:val="0"/>
          <w:sz w:val="24"/>
          <w:szCs w:val="24"/>
        </w:rPr>
        <w:t>。</w:t>
      </w:r>
    </w:p>
    <w:p w:rsidR="00D9225E">
      <w:pPr>
        <w:pStyle w:val="LW31"/>
      </w:pPr>
      <w:bookmarkStart w:id="130" w:name="_Toc5878"/>
      <w:r>
        <w:rPr>
          <w:rFonts w:hint="eastAsia"/>
        </w:rPr>
        <w:t>软土路基</w:t>
      </w:r>
      <w:r>
        <w:t>处理</w:t>
      </w:r>
      <w:bookmarkEnd w:id="130"/>
    </w:p>
    <w:p w:rsidR="00D9225E">
      <w:pPr>
        <w:spacing w:line="360" w:lineRule="auto"/>
        <w:ind w:firstLine="480" w:firstLineChars="200"/>
        <w:jc w:val="left"/>
        <w:rPr>
          <w:rFonts w:ascii="宋体" w:eastAsia="宋体" w:hAnsi="宋体" w:cs="Times New Roman"/>
          <w:bCs/>
          <w:spacing w:val="10"/>
          <w:kern w:val="0"/>
          <w:sz w:val="24"/>
          <w:szCs w:val="24"/>
        </w:rPr>
      </w:pPr>
      <w:r>
        <w:rPr>
          <w:rFonts w:ascii="宋体" w:eastAsia="宋体" w:hAnsi="宋体" w:cs="Times New Roman" w:hint="eastAsia"/>
          <w:bCs/>
          <w:spacing w:val="10"/>
          <w:kern w:val="0"/>
          <w:sz w:val="24"/>
          <w:szCs w:val="24"/>
        </w:rPr>
        <w:t>拟建场地无地表水源，在低洼处易形成积水，流塑～软塑状红黏土层在水的长期浸泡下表层含水量高，力学性质差，处于挖方区时土体自身稳定性差，处于填方区时不经处理易造成回填后路基产生不均匀沉降。该层主要分布于冲沟地带，建议开挖或回填前将积水抽干（软土部分主要位于</w:t>
      </w:r>
      <w:r>
        <w:rPr>
          <w:rFonts w:ascii="宋体" w:eastAsia="宋体" w:hAnsi="宋体" w:cs="Times New Roman" w:hint="eastAsia"/>
          <w:bCs/>
          <w:spacing w:val="10"/>
          <w:kern w:val="0"/>
          <w:sz w:val="24"/>
          <w:szCs w:val="24"/>
        </w:rPr>
        <w:t>K0+260-K0+380</w:t>
      </w:r>
      <w:r>
        <w:rPr>
          <w:rFonts w:ascii="宋体" w:eastAsia="宋体" w:hAnsi="宋体" w:cs="Times New Roman" w:hint="eastAsia"/>
          <w:bCs/>
          <w:spacing w:val="10"/>
          <w:kern w:val="0"/>
          <w:sz w:val="24"/>
          <w:szCs w:val="24"/>
        </w:rPr>
        <w:t>段）以及局部低洼地段，对场地内软塑～流塑状红黏土进行清除处理。</w:t>
      </w:r>
    </w:p>
    <w:p w:rsidR="00D9225E">
      <w:pPr>
        <w:pStyle w:val="LW31"/>
      </w:pPr>
      <w:bookmarkStart w:id="131" w:name="_Toc21856"/>
      <w:r>
        <w:rPr>
          <w:rFonts w:hint="eastAsia"/>
        </w:rPr>
        <w:t>地质条件</w:t>
      </w:r>
      <w:r>
        <w:t>可能造成的工程风险</w:t>
      </w:r>
      <w:bookmarkEnd w:id="131"/>
    </w:p>
    <w:p w:rsidR="00D9225E">
      <w:pPr>
        <w:pStyle w:val="26"/>
        <w:ind w:firstLine="520"/>
        <w:rPr>
          <w:rFonts w:ascii="宋体" w:eastAsia="宋体" w:cs="Times New Roman"/>
          <w:spacing w:val="10"/>
          <w:kern w:val="0"/>
          <w:sz w:val="24"/>
          <w:szCs w:val="24"/>
        </w:rPr>
      </w:pPr>
      <w:bookmarkStart w:id="132" w:name="_Toc88141340"/>
      <w:bookmarkStart w:id="133" w:name="_Toc88140176"/>
      <w:bookmarkStart w:id="134" w:name="_Toc88148461"/>
      <w:bookmarkStart w:id="135" w:name="_Toc80888625"/>
      <w:bookmarkStart w:id="136" w:name="_Toc260687213"/>
      <w:bookmarkStart w:id="137" w:name="_Toc50970706"/>
      <w:r>
        <w:rPr>
          <w:rFonts w:ascii="宋体" w:eastAsia="宋体" w:cs="Times New Roman" w:hint="eastAsia"/>
          <w:spacing w:val="10"/>
          <w:kern w:val="0"/>
          <w:sz w:val="24"/>
          <w:szCs w:val="24"/>
        </w:rPr>
        <w:t>根据设计高程平场后，将在拟建道路两侧形成最高约</w:t>
      </w:r>
      <w:r>
        <w:rPr>
          <w:rFonts w:ascii="宋体" w:eastAsia="宋体" w:cs="Times New Roman" w:hint="eastAsia"/>
          <w:spacing w:val="10"/>
          <w:kern w:val="0"/>
          <w:sz w:val="24"/>
          <w:szCs w:val="24"/>
        </w:rPr>
        <w:t>15.1</w:t>
      </w:r>
      <w:r>
        <w:rPr>
          <w:rFonts w:ascii="宋体" w:eastAsia="宋体" w:cs="Times New Roman" w:hint="eastAsia"/>
          <w:spacing w:val="10"/>
          <w:kern w:val="0"/>
          <w:sz w:val="24"/>
          <w:szCs w:val="24"/>
        </w:rPr>
        <w:t>3m</w:t>
      </w:r>
      <w:r>
        <w:rPr>
          <w:rFonts w:ascii="宋体" w:eastAsia="宋体" w:cs="Times New Roman" w:hint="eastAsia"/>
          <w:spacing w:val="10"/>
          <w:kern w:val="0"/>
          <w:sz w:val="24"/>
          <w:szCs w:val="24"/>
        </w:rPr>
        <w:t>的挖方边坡，为岩土质边坡，以及局部的软土路基。由于边坡高度较高，土质边坡易产生土体内部的圆弧破坏。开挖或回填施工时，若采取大面积无序施工，有可能造成工程风险，危及施工人员人身安全。软土路基处理不当，将会导致回填路基段产出滑移风险。</w:t>
      </w:r>
      <w:r>
        <w:rPr>
          <w:rFonts w:ascii="宋体" w:eastAsia="宋体" w:cs="Times New Roman" w:hint="eastAsia"/>
          <w:spacing w:val="10"/>
          <w:kern w:val="0"/>
          <w:sz w:val="24"/>
          <w:szCs w:val="24"/>
          <w:lang w:val="zh-CN"/>
        </w:rPr>
        <w:t>地质条件可能造成的工程风险为</w:t>
      </w:r>
      <w:r>
        <w:rPr>
          <w:rFonts w:ascii="宋体" w:eastAsia="宋体" w:cs="Times New Roman" w:hint="eastAsia"/>
          <w:spacing w:val="10"/>
          <w:kern w:val="0"/>
          <w:sz w:val="24"/>
          <w:szCs w:val="24"/>
        </w:rPr>
        <w:t>直接回填或清淤不彻底易引起道路路面不均匀沉降，高边坡开挖方式不当易产生垮塌。</w:t>
      </w:r>
    </w:p>
    <w:p w:rsidR="00D9225E">
      <w:pPr>
        <w:pStyle w:val="LW31"/>
      </w:pPr>
      <w:bookmarkStart w:id="138" w:name="_Toc88141342"/>
      <w:bookmarkStart w:id="139" w:name="_Toc88148463"/>
      <w:bookmarkStart w:id="140" w:name="_Toc80888627"/>
      <w:bookmarkStart w:id="141" w:name="_Toc88140178"/>
      <w:bookmarkStart w:id="142" w:name="_Toc4401"/>
      <w:bookmarkEnd w:id="132"/>
      <w:bookmarkEnd w:id="133"/>
      <w:bookmarkEnd w:id="134"/>
      <w:bookmarkEnd w:id="135"/>
      <w:r>
        <w:t>结论与建议</w:t>
      </w:r>
      <w:bookmarkEnd w:id="138"/>
      <w:bookmarkEnd w:id="139"/>
      <w:bookmarkEnd w:id="140"/>
      <w:bookmarkEnd w:id="141"/>
      <w:bookmarkEnd w:id="142"/>
    </w:p>
    <w:p w:rsidR="00D9225E">
      <w:pPr>
        <w:pStyle w:val="26"/>
        <w:ind w:firstLine="520"/>
        <w:rPr>
          <w:rFonts w:ascii="宋体" w:eastAsia="宋体" w:cs="Times New Roman"/>
          <w:spacing w:val="10"/>
          <w:kern w:val="0"/>
          <w:sz w:val="24"/>
          <w:szCs w:val="24"/>
        </w:rPr>
      </w:pPr>
      <w:bookmarkStart w:id="143" w:name="_Toc88141344"/>
      <w:bookmarkStart w:id="144" w:name="_Toc88140180"/>
      <w:bookmarkStart w:id="145" w:name="_Toc88148465"/>
      <w:bookmarkEnd w:id="136"/>
      <w:bookmarkEnd w:id="137"/>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1</w:t>
      </w:r>
      <w:r>
        <w:rPr>
          <w:rFonts w:ascii="宋体" w:eastAsia="宋体" w:cs="Times New Roman" w:hint="eastAsia"/>
          <w:spacing w:val="10"/>
          <w:kern w:val="0"/>
          <w:sz w:val="24"/>
          <w:szCs w:val="24"/>
        </w:rPr>
        <w:t>）本次工程重要性等级为二级；拟建场地内边坡安全等级一级～二级；场地复杂程度为中等复杂场地，综合确定本次岩土工程勘察等级为乙级。</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2</w:t>
      </w:r>
      <w:r>
        <w:rPr>
          <w:rFonts w:ascii="宋体" w:eastAsia="宋体" w:cs="Times New Roman" w:hint="eastAsia"/>
          <w:spacing w:val="10"/>
          <w:kern w:val="0"/>
          <w:sz w:val="24"/>
          <w:szCs w:val="24"/>
        </w:rPr>
        <w:t>）场地属构造溶蚀侵蚀河谷</w:t>
      </w:r>
      <w:r>
        <w:rPr>
          <w:rFonts w:ascii="宋体" w:eastAsia="宋体" w:cs="Times New Roman" w:hint="eastAsia"/>
          <w:spacing w:val="10"/>
          <w:kern w:val="0"/>
          <w:sz w:val="24"/>
          <w:szCs w:val="24"/>
        </w:rPr>
        <w:t>地貌。主要分布为素填土、红黏土及白云岩，基岩中裂隙较发育；场地水文地质条件较复杂，排泄条件较好，场地内土体及水体对建筑材料具微腐蚀性；地震设防烈度为</w:t>
      </w:r>
      <w:r>
        <w:rPr>
          <w:rFonts w:ascii="宋体" w:eastAsia="宋体" w:cs="Times New Roman" w:hint="eastAsia"/>
          <w:spacing w:val="10"/>
          <w:kern w:val="0"/>
          <w:sz w:val="24"/>
          <w:szCs w:val="24"/>
        </w:rPr>
        <w:t>6</w:t>
      </w:r>
      <w:r>
        <w:rPr>
          <w:rFonts w:ascii="宋体" w:eastAsia="宋体" w:cs="Times New Roman" w:hint="eastAsia"/>
          <w:spacing w:val="10"/>
          <w:kern w:val="0"/>
          <w:sz w:val="24"/>
          <w:szCs w:val="24"/>
        </w:rPr>
        <w:t>度；场地无断层通过，除岩溶现象外无其他不良地质现象。场平后场地整体稳定，适宜本工程建设。</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3</w:t>
      </w:r>
      <w:r>
        <w:rPr>
          <w:rFonts w:ascii="宋体" w:eastAsia="宋体" w:cs="Times New Roman" w:hint="eastAsia"/>
          <w:spacing w:val="10"/>
          <w:kern w:val="0"/>
          <w:sz w:val="24"/>
          <w:szCs w:val="24"/>
        </w:rPr>
        <w:t>）岩土设计参数建议按表</w:t>
      </w:r>
      <w:r>
        <w:rPr>
          <w:rFonts w:ascii="宋体" w:eastAsia="宋体" w:cs="Times New Roman" w:hint="eastAsia"/>
          <w:spacing w:val="10"/>
          <w:kern w:val="0"/>
          <w:sz w:val="24"/>
          <w:szCs w:val="24"/>
        </w:rPr>
        <w:t>4</w:t>
      </w:r>
      <w:r>
        <w:rPr>
          <w:rFonts w:ascii="宋体" w:eastAsia="宋体" w:cs="Times New Roman" w:hint="eastAsia"/>
          <w:spacing w:val="10"/>
          <w:kern w:val="0"/>
          <w:sz w:val="24"/>
          <w:szCs w:val="24"/>
        </w:rPr>
        <w:t>.2.9.6-1</w:t>
      </w:r>
      <w:r>
        <w:rPr>
          <w:rFonts w:ascii="宋体" w:eastAsia="宋体" w:cs="Times New Roman" w:hint="eastAsia"/>
          <w:spacing w:val="10"/>
          <w:kern w:val="0"/>
          <w:sz w:val="24"/>
          <w:szCs w:val="24"/>
        </w:rPr>
        <w:t>取值。</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4</w:t>
      </w:r>
      <w:r>
        <w:rPr>
          <w:rFonts w:ascii="宋体" w:eastAsia="宋体" w:cs="Times New Roman" w:hint="eastAsia"/>
          <w:spacing w:val="10"/>
          <w:kern w:val="0"/>
          <w:sz w:val="24"/>
          <w:szCs w:val="24"/>
        </w:rPr>
        <w:t>）道路路基工程地质评价见</w:t>
      </w:r>
      <w:r>
        <w:rPr>
          <w:rFonts w:ascii="宋体" w:eastAsia="宋体" w:cs="Times New Roman" w:hint="eastAsia"/>
          <w:spacing w:val="10"/>
          <w:kern w:val="0"/>
          <w:sz w:val="24"/>
          <w:szCs w:val="24"/>
        </w:rPr>
        <w:t>4</w:t>
      </w:r>
      <w:r>
        <w:rPr>
          <w:rFonts w:ascii="宋体" w:eastAsia="宋体" w:cs="Times New Roman" w:hint="eastAsia"/>
          <w:spacing w:val="10"/>
          <w:kern w:val="0"/>
          <w:sz w:val="24"/>
          <w:szCs w:val="24"/>
        </w:rPr>
        <w:t>.3.4</w:t>
      </w:r>
      <w:r>
        <w:rPr>
          <w:rFonts w:ascii="宋体" w:eastAsia="宋体" w:cs="Times New Roman" w:hint="eastAsia"/>
          <w:spacing w:val="10"/>
          <w:kern w:val="0"/>
          <w:sz w:val="24"/>
          <w:szCs w:val="24"/>
        </w:rPr>
        <w:t>节。</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5</w:t>
      </w:r>
      <w:r>
        <w:rPr>
          <w:rFonts w:ascii="宋体" w:eastAsia="宋体" w:cs="Times New Roman" w:hint="eastAsia"/>
          <w:spacing w:val="10"/>
          <w:kern w:val="0"/>
          <w:sz w:val="24"/>
          <w:szCs w:val="24"/>
        </w:rPr>
        <w:t>）建筑场地覆盖土层主要由素填土及红粘土组成。场地地下水贫乏，基础开挖时地表水易汇入基坑内，基坑开挖易产生孔壁垮塌、渗水现象，雨季施工时应配备抽排水设备。</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6</w:t>
      </w:r>
      <w:r>
        <w:rPr>
          <w:rFonts w:ascii="宋体" w:eastAsia="宋体" w:cs="Times New Roman" w:hint="eastAsia"/>
          <w:spacing w:val="10"/>
          <w:kern w:val="0"/>
          <w:sz w:val="24"/>
          <w:szCs w:val="24"/>
        </w:rPr>
        <w:t>）根据钻探情况结合现场调查，场地岩、土层中未发现有毒有害气体、液体。</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7</w:t>
      </w:r>
      <w:r>
        <w:rPr>
          <w:rFonts w:ascii="宋体" w:eastAsia="宋体" w:cs="Times New Roman" w:hint="eastAsia"/>
          <w:spacing w:val="10"/>
          <w:kern w:val="0"/>
          <w:sz w:val="24"/>
          <w:szCs w:val="24"/>
        </w:rPr>
        <w:t>）基础及边坡开挖中应采用逆作法施工，机械开挖，加强变形监测，采用动态设计，信息法施工。分段开挖、分段支挡，未经设计许可严禁大开挖、爆破作业。</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8</w:t>
      </w:r>
      <w:r>
        <w:rPr>
          <w:rFonts w:ascii="宋体" w:eastAsia="宋体" w:cs="Times New Roman" w:hint="eastAsia"/>
          <w:spacing w:val="10"/>
          <w:kern w:val="0"/>
          <w:sz w:val="24"/>
          <w:szCs w:val="24"/>
        </w:rPr>
        <w:t>）场地内现有素填土由于硬物质与软物质分布不均，由此易导致地面不均匀沉降。建议工程建设前对场地填土进行压实处理，压实度应满足设计要求。</w:t>
      </w:r>
    </w:p>
    <w:p w:rsidR="00D9225E">
      <w:pPr>
        <w:pStyle w:val="26"/>
        <w:ind w:firstLine="520"/>
        <w:rPr>
          <w:rFonts w:ascii="宋体" w:eastAsia="宋体" w:cs="Times New Roman"/>
          <w:spacing w:val="10"/>
          <w:kern w:val="0"/>
          <w:sz w:val="24"/>
          <w:szCs w:val="24"/>
        </w:rPr>
      </w:pPr>
      <w:r>
        <w:rPr>
          <w:rFonts w:ascii="宋体" w:eastAsia="宋体" w:cs="Times New Roman" w:hint="eastAsia"/>
          <w:spacing w:val="10"/>
          <w:kern w:val="0"/>
          <w:sz w:val="24"/>
          <w:szCs w:val="24"/>
        </w:rPr>
        <w:t>（</w:t>
      </w:r>
      <w:r>
        <w:rPr>
          <w:rFonts w:ascii="宋体" w:eastAsia="宋体" w:cs="Times New Roman" w:hint="eastAsia"/>
          <w:spacing w:val="10"/>
          <w:kern w:val="0"/>
          <w:sz w:val="24"/>
          <w:szCs w:val="24"/>
        </w:rPr>
        <w:t>9</w:t>
      </w:r>
      <w:r>
        <w:rPr>
          <w:rFonts w:ascii="宋体" w:eastAsia="宋体" w:cs="Times New Roman" w:hint="eastAsia"/>
          <w:spacing w:val="10"/>
          <w:kern w:val="0"/>
          <w:sz w:val="24"/>
          <w:szCs w:val="24"/>
        </w:rPr>
        <w:t>）加强施工验槽工作，若发现异常问题，应及时通知我公司，以便会同设计、施工及时解决。</w:t>
      </w:r>
    </w:p>
    <w:p w:rsidR="00D9225E">
      <w:pPr>
        <w:pStyle w:val="LW21"/>
      </w:pPr>
      <w:bookmarkStart w:id="146" w:name="_Toc7805"/>
      <w:r>
        <w:rPr>
          <w:rFonts w:hint="eastAsia"/>
        </w:rPr>
        <w:t>建设场地地物条件</w:t>
      </w:r>
      <w:bookmarkEnd w:id="143"/>
      <w:bookmarkEnd w:id="144"/>
      <w:bookmarkEnd w:id="145"/>
      <w:bookmarkEnd w:id="146"/>
    </w:p>
    <w:p w:rsidR="00D9225E">
      <w:pPr>
        <w:pStyle w:val="LW31"/>
      </w:pPr>
      <w:bookmarkStart w:id="147" w:name="_Toc656"/>
      <w:r>
        <w:rPr>
          <w:rFonts w:hint="eastAsia"/>
        </w:rPr>
        <w:t>现状房屋</w:t>
      </w:r>
      <w:bookmarkEnd w:id="147"/>
    </w:p>
    <w:p w:rsidR="00D9225E">
      <w:pPr>
        <w:pStyle w:val="LW"/>
        <w:ind w:firstLine="520"/>
      </w:pPr>
      <w:r>
        <w:rPr>
          <w:rFonts w:hint="eastAsia"/>
        </w:rPr>
        <w:t>道路周边存在大量现状房屋，项目建设前需</w:t>
      </w:r>
      <w:r>
        <w:rPr>
          <w:rFonts w:hint="eastAsia"/>
        </w:rPr>
        <w:t>完成征地拆迁工作，做好支护设计，避免侵占建设范围外的房屋</w:t>
      </w:r>
      <w:r>
        <w:t>。</w:t>
      </w:r>
    </w:p>
    <w:p w:rsidR="00D9225E">
      <w:pPr>
        <w:pStyle w:val="LW26"/>
      </w:pPr>
      <w:r>
        <w:rPr>
          <w:rFonts w:hint="eastAsia"/>
        </w:rPr>
        <w:t xml:space="preserve"> </w:t>
      </w:r>
    </w:p>
    <w:p w:rsidR="00D9225E">
      <w:pPr>
        <w:pStyle w:val="LW24"/>
        <w:ind w:firstLine="1050" w:firstLineChars="500"/>
        <w:jc w:val="both"/>
      </w:pPr>
      <w:r>
        <w:rPr>
          <w:rFonts w:hint="eastAsia"/>
        </w:rPr>
        <w:t>图</w:t>
      </w:r>
      <w:r>
        <w:t xml:space="preserve">2.4.1-1  </w:t>
      </w:r>
      <w:r>
        <w:rPr>
          <w:rFonts w:hint="eastAsia"/>
        </w:rPr>
        <w:t>现状</w:t>
      </w:r>
      <w:r>
        <w:t>房屋</w:t>
      </w:r>
      <w:r>
        <w:rPr>
          <w:rFonts w:hint="eastAsia"/>
        </w:rPr>
        <w:t>图</w:t>
      </w:r>
      <w:r>
        <w:rPr>
          <w:rFonts w:hint="eastAsia"/>
        </w:rPr>
        <w:t xml:space="preserve">                     </w:t>
      </w:r>
      <w:r>
        <w:t xml:space="preserve">2.4.1-2  </w:t>
      </w:r>
      <w:r>
        <w:rPr>
          <w:rFonts w:hint="eastAsia"/>
        </w:rPr>
        <w:t>现状</w:t>
      </w:r>
      <w:r>
        <w:t>房屋</w:t>
      </w:r>
      <w:r>
        <w:rPr>
          <w:rFonts w:hint="eastAsia"/>
        </w:rPr>
        <w:t>图</w:t>
      </w:r>
    </w:p>
    <w:p w:rsidR="00D9225E">
      <w:pPr>
        <w:pStyle w:val="LW31"/>
      </w:pPr>
      <w:bookmarkStart w:id="148" w:name="_Toc2020"/>
      <w:r>
        <w:rPr>
          <w:rFonts w:hint="eastAsia"/>
        </w:rPr>
        <w:t>现状管网</w:t>
      </w:r>
      <w:bookmarkEnd w:id="148"/>
    </w:p>
    <w:p w:rsidR="00D9225E">
      <w:pPr>
        <w:pStyle w:val="26"/>
        <w:ind w:firstLine="520"/>
        <w:rPr>
          <w:rFonts w:ascii="宋体" w:eastAsia="宋体"/>
          <w:spacing w:val="10"/>
          <w:kern w:val="0"/>
          <w:sz w:val="24"/>
          <w:szCs w:val="22"/>
        </w:rPr>
      </w:pPr>
      <w:r>
        <w:rPr>
          <w:rFonts w:ascii="宋体" w:eastAsia="宋体" w:hint="eastAsia"/>
          <w:spacing w:val="10"/>
          <w:kern w:val="0"/>
          <w:sz w:val="24"/>
          <w:szCs w:val="22"/>
        </w:rPr>
        <w:t>项目建设区域存在大量现状建筑，征地拆迁过程中会对房屋周边的现状管网、电力及排水设施造成影响，设计过程中应加强与相关单位沟通，保证项目建设过程周边现状管网、电力及排水设施的联通。</w:t>
      </w:r>
      <w:r>
        <w:rPr>
          <w:rFonts w:hint="eastAsia"/>
        </w:rPr>
        <w:t xml:space="preserve"> </w:t>
      </w:r>
    </w:p>
    <w:p w:rsidR="00D9225E">
      <w:pPr>
        <w:pStyle w:val="LW11"/>
      </w:pPr>
      <w:bookmarkStart w:id="149" w:name="_Toc88148477"/>
      <w:bookmarkStart w:id="150" w:name="_Toc88337499"/>
      <w:bookmarkStart w:id="151" w:name="_Toc88140192"/>
      <w:bookmarkStart w:id="152" w:name="_Toc88141356"/>
      <w:r>
        <w:rPr>
          <w:rFonts w:hint="eastAsia"/>
        </w:rPr>
        <w:t>设计技术指标及说明</w:t>
      </w:r>
      <w:bookmarkEnd w:id="149"/>
      <w:bookmarkEnd w:id="150"/>
      <w:bookmarkEnd w:id="151"/>
      <w:bookmarkEnd w:id="152"/>
    </w:p>
    <w:p w:rsidR="00D9225E">
      <w:pPr>
        <w:pStyle w:val="LW"/>
        <w:ind w:firstLine="520"/>
      </w:pPr>
      <w:r>
        <w:rPr>
          <w:rFonts w:hint="eastAsia"/>
        </w:rPr>
        <w:t>根据交通量预测分析结果，结合《城市道路工程设计规范》</w:t>
      </w:r>
      <w:r>
        <w:rPr>
          <w:rFonts w:hint="eastAsia"/>
        </w:rPr>
        <w:t>CJJ 37</w:t>
      </w:r>
      <w:r>
        <w:rPr>
          <w:rFonts w:hint="eastAsia"/>
        </w:rPr>
        <w:t>—</w:t>
      </w:r>
      <w:r>
        <w:rPr>
          <w:rFonts w:hint="eastAsia"/>
        </w:rPr>
        <w:t>2012</w:t>
      </w:r>
      <w:r>
        <w:rPr>
          <w:rFonts w:hint="eastAsia"/>
        </w:rPr>
        <w:t>（</w:t>
      </w:r>
      <w:r>
        <w:rPr>
          <w:rFonts w:hint="eastAsia"/>
        </w:rPr>
        <w:t>2016</w:t>
      </w:r>
      <w:r>
        <w:rPr>
          <w:rFonts w:hint="eastAsia"/>
        </w:rPr>
        <w:t>年修订版），本阶段设计严格执行初设阶段确定设计，</w:t>
      </w:r>
      <w:r>
        <w:rPr>
          <w:rFonts w:hint="eastAsia"/>
        </w:rPr>
        <w:t>全长</w:t>
      </w:r>
      <w:r>
        <w:rPr>
          <w:rFonts w:hint="eastAsia"/>
        </w:rPr>
        <w:t>773.987m</w:t>
      </w:r>
      <w:r>
        <w:rPr>
          <w:rFonts w:hint="eastAsia"/>
        </w:rPr>
        <w:t>。道路等级为城市主干道，设计时速采用</w:t>
      </w:r>
      <w:r>
        <w:rPr>
          <w:rFonts w:hint="eastAsia"/>
        </w:rPr>
        <w:t>60km/h</w:t>
      </w:r>
      <w:r>
        <w:rPr>
          <w:rFonts w:hint="eastAsia"/>
        </w:rPr>
        <w:t>，标准路幅宽度为</w:t>
      </w:r>
      <w:r>
        <w:rPr>
          <w:rFonts w:hint="eastAsia"/>
        </w:rPr>
        <w:t>44m</w:t>
      </w:r>
      <w:r>
        <w:rPr>
          <w:rFonts w:hint="eastAsia"/>
        </w:rPr>
        <w:t>（双向</w:t>
      </w:r>
      <w:r>
        <w:rPr>
          <w:rFonts w:hint="eastAsia"/>
        </w:rPr>
        <w:t>6</w:t>
      </w:r>
      <w:r>
        <w:rPr>
          <w:rFonts w:hint="eastAsia"/>
        </w:rPr>
        <w:t>车道</w:t>
      </w:r>
      <w:r>
        <w:rPr>
          <w:rFonts w:hint="eastAsia"/>
        </w:rPr>
        <w:t>+</w:t>
      </w:r>
      <w:r>
        <w:rPr>
          <w:rFonts w:hint="eastAsia"/>
        </w:rPr>
        <w:t>非机动车</w:t>
      </w:r>
      <w:r>
        <w:rPr>
          <w:rFonts w:hint="eastAsia"/>
        </w:rPr>
        <w:t>2</w:t>
      </w:r>
      <w:r>
        <w:rPr>
          <w:rFonts w:hint="eastAsia"/>
        </w:rPr>
        <w:t>车道）。</w:t>
      </w:r>
      <w:r>
        <w:rPr>
          <w:rFonts w:hint="eastAsia"/>
        </w:rPr>
        <w:t>最终综合确定本项目采用的主要技术标准如下：</w:t>
      </w:r>
    </w:p>
    <w:p w:rsidR="00D9225E">
      <w:pPr>
        <w:pStyle w:val="LW6"/>
        <w:ind w:firstLine="520"/>
      </w:pPr>
      <w:r>
        <w:rPr>
          <w:rFonts w:hint="eastAsia"/>
        </w:rPr>
        <w:t>表</w:t>
      </w:r>
      <w:r>
        <w:t xml:space="preserve">5-1  </w:t>
      </w:r>
      <w:r>
        <w:t>主要技术指标表</w:t>
      </w: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69"/>
        <w:gridCol w:w="2992"/>
        <w:gridCol w:w="930"/>
        <w:gridCol w:w="1757"/>
        <w:gridCol w:w="3693"/>
      </w:tblGrid>
      <w:tr>
        <w:tblPrEx>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hint="eastAsia"/>
                <w:sz w:val="18"/>
                <w:szCs w:val="18"/>
              </w:rPr>
              <w:t>序号</w:t>
            </w:r>
          </w:p>
        </w:tc>
        <w:tc>
          <w:tcPr>
            <w:tcW w:w="1460"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项目名称</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单位</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规范标准</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设计取值</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w:t>
            </w:r>
          </w:p>
        </w:tc>
        <w:tc>
          <w:tcPr>
            <w:tcW w:w="1460"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道路等级</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城市主干道</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城市主干道</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2</w:t>
            </w:r>
          </w:p>
        </w:tc>
        <w:tc>
          <w:tcPr>
            <w:tcW w:w="1460"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车道</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双向</w:t>
            </w:r>
            <w:r>
              <w:rPr>
                <w:rFonts w:ascii="宋体" w:eastAsia="宋体" w:hAnsi="宋体" w:cs="宋体" w:hint="eastAsia"/>
                <w:sz w:val="18"/>
                <w:szCs w:val="18"/>
              </w:rPr>
              <w:t>6</w:t>
            </w:r>
            <w:r>
              <w:rPr>
                <w:rFonts w:ascii="宋体" w:eastAsia="宋体" w:hAnsi="宋体" w:cs="宋体" w:hint="eastAsia"/>
                <w:sz w:val="18"/>
                <w:szCs w:val="18"/>
              </w:rPr>
              <w:t>车道</w:t>
            </w:r>
            <w:r>
              <w:rPr>
                <w:rFonts w:ascii="宋体" w:eastAsia="宋体" w:hAnsi="宋体" w:cs="宋体" w:hint="eastAsia"/>
                <w:sz w:val="18"/>
                <w:szCs w:val="18"/>
              </w:rPr>
              <w:t>+</w:t>
            </w:r>
            <w:r>
              <w:rPr>
                <w:rFonts w:ascii="宋体" w:eastAsia="宋体" w:hAnsi="宋体" w:cs="宋体" w:hint="eastAsia"/>
                <w:sz w:val="18"/>
                <w:szCs w:val="18"/>
              </w:rPr>
              <w:t>非机动车</w:t>
            </w:r>
            <w:r>
              <w:rPr>
                <w:rFonts w:ascii="宋体" w:eastAsia="宋体" w:hAnsi="宋体" w:cs="宋体" w:hint="eastAsia"/>
                <w:sz w:val="18"/>
                <w:szCs w:val="18"/>
              </w:rPr>
              <w:t>2</w:t>
            </w:r>
            <w:r>
              <w:rPr>
                <w:rFonts w:ascii="宋体" w:eastAsia="宋体" w:hAnsi="宋体" w:cs="宋体" w:hint="eastAsia"/>
                <w:sz w:val="18"/>
                <w:szCs w:val="18"/>
              </w:rPr>
              <w:t>车道</w:t>
            </w:r>
          </w:p>
        </w:tc>
      </w:tr>
    </w:tbl>
    <w:p>
      <w:pPr>
        <w:sectPr>
          <w:headerReference w:type="even" r:id="rId42"/>
          <w:footerReference w:type="even" r:id="rId43"/>
          <w:type w:val="nextPage"/>
          <w:pgSz w:w="23811" w:h="16838" w:orient="landscape"/>
          <w:pgMar w:top="851" w:right="851" w:bottom="3119" w:left="1985" w:header="879" w:footer="765" w:gutter="0"/>
          <w:pgNumType w:start="13"/>
          <w:cols w:num="2" w:space="425"/>
          <w:titlePg w:val="0"/>
          <w:docGrid w:type="lines" w:linePitch="312"/>
        </w:sectPr>
      </w:pPr>
    </w:p>
    <w:tbl>
      <w:tblPr>
        <w:tblStyle w:val="TableNormal"/>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69"/>
        <w:gridCol w:w="1459"/>
        <w:gridCol w:w="1533"/>
        <w:gridCol w:w="930"/>
        <w:gridCol w:w="1757"/>
        <w:gridCol w:w="3693"/>
      </w:tblGrid>
      <w:tr>
        <w:tblPrEx>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3</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设计速度</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km/h</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60</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60</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4</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推荐最小圆曲线半径</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m</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300</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 xml:space="preserve">- </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5</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最小缓和曲线</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m</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50</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6</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最大纵坡</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5</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0.47</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7</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最小纵坡</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0.3</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0.47</w:t>
            </w:r>
          </w:p>
        </w:tc>
      </w:tr>
      <w:tr>
        <w:tblPrEx>
          <w:tblW w:w="4998" w:type="pct"/>
          <w:jc w:val="center"/>
          <w:tblLook w:val="04A0"/>
        </w:tblPrEx>
        <w:trPr>
          <w:jc w:val="center"/>
        </w:trPr>
        <w:tc>
          <w:tcPr>
            <w:tcW w:w="424" w:type="pct"/>
            <w:vMerge w:val="restar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8</w:t>
            </w:r>
          </w:p>
        </w:tc>
        <w:tc>
          <w:tcPr>
            <w:tcW w:w="712" w:type="pct"/>
            <w:vMerge w:val="restar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最小</w:t>
            </w:r>
          </w:p>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竖曲线</w:t>
            </w:r>
          </w:p>
        </w:tc>
        <w:tc>
          <w:tcPr>
            <w:tcW w:w="74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凸曲线</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m</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1800</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w:t>
            </w:r>
          </w:p>
        </w:tc>
      </w:tr>
      <w:tr>
        <w:tblPrEx>
          <w:tblW w:w="4998" w:type="pct"/>
          <w:jc w:val="center"/>
          <w:tblLook w:val="04A0"/>
        </w:tblPrEx>
        <w:trPr>
          <w:jc w:val="center"/>
        </w:trPr>
        <w:tc>
          <w:tcPr>
            <w:tcW w:w="424" w:type="pct"/>
            <w:vMerge/>
            <w:tcBorders>
              <w:tl2br w:val="nil"/>
              <w:tr2bl w:val="nil"/>
            </w:tcBorders>
            <w:vAlign w:val="center"/>
          </w:tcPr>
          <w:p w:rsidR="00D9225E">
            <w:pPr>
              <w:spacing w:line="360" w:lineRule="auto"/>
              <w:jc w:val="center"/>
              <w:rPr>
                <w:rFonts w:ascii="宋体" w:eastAsia="宋体" w:hAnsi="宋体" w:cs="宋体"/>
                <w:sz w:val="18"/>
                <w:szCs w:val="18"/>
              </w:rPr>
            </w:pPr>
          </w:p>
        </w:tc>
        <w:tc>
          <w:tcPr>
            <w:tcW w:w="712" w:type="pct"/>
            <w:vMerge/>
            <w:tcBorders>
              <w:tl2br w:val="nil"/>
              <w:tr2bl w:val="nil"/>
            </w:tcBorders>
            <w:vAlign w:val="center"/>
          </w:tcPr>
          <w:p w:rsidR="00D9225E">
            <w:pPr>
              <w:spacing w:line="360" w:lineRule="auto"/>
              <w:jc w:val="center"/>
              <w:rPr>
                <w:rFonts w:ascii="宋体" w:eastAsia="宋体" w:hAnsi="宋体" w:cs="宋体"/>
                <w:sz w:val="18"/>
                <w:szCs w:val="18"/>
              </w:rPr>
            </w:pPr>
          </w:p>
        </w:tc>
        <w:tc>
          <w:tcPr>
            <w:tcW w:w="74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凹曲线</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m</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1500</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9</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设计荷载</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城</w:t>
            </w:r>
            <w:r>
              <w:rPr>
                <w:rFonts w:ascii="宋体" w:eastAsia="宋体" w:hAnsi="宋体" w:cs="宋体" w:hint="eastAsia"/>
                <w:sz w:val="18"/>
                <w:szCs w:val="18"/>
              </w:rPr>
              <w:t>-A</w:t>
            </w:r>
            <w:r>
              <w:rPr>
                <w:rFonts w:ascii="宋体" w:eastAsia="宋体" w:hAnsi="宋体" w:cs="宋体" w:hint="eastAsia"/>
                <w:sz w:val="18"/>
                <w:szCs w:val="18"/>
              </w:rPr>
              <w:t>级</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城</w:t>
            </w:r>
            <w:r>
              <w:rPr>
                <w:rFonts w:ascii="宋体" w:eastAsia="宋体" w:hAnsi="宋体" w:cs="宋体" w:hint="eastAsia"/>
                <w:sz w:val="18"/>
                <w:szCs w:val="18"/>
              </w:rPr>
              <w:t>-A</w:t>
            </w:r>
            <w:r>
              <w:rPr>
                <w:rFonts w:ascii="宋体" w:eastAsia="宋体" w:hAnsi="宋体" w:cs="宋体" w:hint="eastAsia"/>
                <w:sz w:val="18"/>
                <w:szCs w:val="18"/>
              </w:rPr>
              <w:t>级</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10</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交通量预测年限</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年</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20</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20</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11</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路面结构设计年限</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年</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15</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15</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12</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路面设计荷载</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BZZ-100</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BZZ-100</w:t>
            </w:r>
          </w:p>
        </w:tc>
      </w:tr>
      <w:tr>
        <w:tblPrEx>
          <w:tblW w:w="4998" w:type="pct"/>
          <w:jc w:val="center"/>
          <w:tblLook w:val="04A0"/>
        </w:tblPrEx>
        <w:trPr>
          <w:trHeight w:val="572"/>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13</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标准路幅宽度</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m</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44m=4.</w:t>
            </w:r>
            <w:r>
              <w:rPr>
                <w:rFonts w:ascii="宋体" w:eastAsia="宋体" w:hAnsi="宋体" w:cs="宋体" w:hint="eastAsia"/>
                <w:sz w:val="18"/>
                <w:szCs w:val="18"/>
              </w:rPr>
              <w:t>5</w:t>
            </w:r>
            <w:r>
              <w:rPr>
                <w:rFonts w:ascii="宋体" w:eastAsia="宋体" w:hAnsi="宋体" w:cs="宋体" w:hint="eastAsia"/>
                <w:sz w:val="18"/>
                <w:szCs w:val="18"/>
              </w:rPr>
              <w:t>m</w:t>
            </w:r>
            <w:r>
              <w:rPr>
                <w:rFonts w:ascii="宋体" w:eastAsia="宋体" w:hAnsi="宋体" w:cs="宋体" w:hint="eastAsia"/>
                <w:sz w:val="18"/>
                <w:szCs w:val="18"/>
              </w:rPr>
              <w:t>（人行道）</w:t>
            </w:r>
            <w:r>
              <w:rPr>
                <w:rFonts w:ascii="宋体" w:eastAsia="宋体" w:hAnsi="宋体" w:cs="宋体" w:hint="eastAsia"/>
                <w:sz w:val="18"/>
                <w:szCs w:val="18"/>
              </w:rPr>
              <w:t>+3.5m</w:t>
            </w:r>
            <w:r>
              <w:rPr>
                <w:rFonts w:ascii="宋体" w:eastAsia="宋体" w:hAnsi="宋体" w:cs="宋体" w:hint="eastAsia"/>
                <w:sz w:val="18"/>
                <w:szCs w:val="18"/>
              </w:rPr>
              <w:t>（非机动车道）</w:t>
            </w:r>
            <w:r>
              <w:rPr>
                <w:rFonts w:ascii="宋体" w:eastAsia="宋体" w:hAnsi="宋体" w:cs="宋体" w:hint="eastAsia"/>
                <w:sz w:val="18"/>
                <w:szCs w:val="18"/>
              </w:rPr>
              <w:t>+1.5m</w:t>
            </w:r>
            <w:r>
              <w:rPr>
                <w:rFonts w:ascii="宋体" w:eastAsia="宋体" w:hAnsi="宋体" w:cs="宋体" w:hint="eastAsia"/>
                <w:sz w:val="18"/>
                <w:szCs w:val="18"/>
              </w:rPr>
              <w:t>（侧分带）</w:t>
            </w:r>
            <w:r>
              <w:rPr>
                <w:rFonts w:ascii="宋体" w:eastAsia="宋体" w:hAnsi="宋体" w:cs="宋体" w:hint="eastAsia"/>
                <w:sz w:val="18"/>
                <w:szCs w:val="18"/>
              </w:rPr>
              <w:t>+11.5m</w:t>
            </w:r>
            <w:r>
              <w:rPr>
                <w:rFonts w:ascii="宋体" w:eastAsia="宋体" w:hAnsi="宋体" w:cs="宋体" w:hint="eastAsia"/>
                <w:sz w:val="18"/>
                <w:szCs w:val="18"/>
              </w:rPr>
              <w:t>（车行道）</w:t>
            </w:r>
            <w:r>
              <w:rPr>
                <w:rFonts w:ascii="宋体" w:eastAsia="宋体" w:hAnsi="宋体" w:cs="宋体" w:hint="eastAsia"/>
                <w:sz w:val="18"/>
                <w:szCs w:val="18"/>
              </w:rPr>
              <w:t>+2m</w:t>
            </w:r>
            <w:r>
              <w:rPr>
                <w:rFonts w:ascii="宋体" w:eastAsia="宋体" w:hAnsi="宋体" w:cs="宋体" w:hint="eastAsia"/>
                <w:sz w:val="18"/>
                <w:szCs w:val="18"/>
              </w:rPr>
              <w:t>（中央分隔带）</w:t>
            </w:r>
            <w:r>
              <w:rPr>
                <w:rFonts w:ascii="宋体" w:eastAsia="宋体" w:hAnsi="宋体" w:cs="宋体" w:hint="eastAsia"/>
                <w:sz w:val="18"/>
                <w:szCs w:val="18"/>
              </w:rPr>
              <w:t>+11.5m</w:t>
            </w:r>
            <w:r>
              <w:rPr>
                <w:rFonts w:ascii="宋体" w:eastAsia="宋体" w:hAnsi="宋体" w:cs="宋体" w:hint="eastAsia"/>
                <w:sz w:val="18"/>
                <w:szCs w:val="18"/>
              </w:rPr>
              <w:t>（车行道）</w:t>
            </w:r>
            <w:r>
              <w:rPr>
                <w:rFonts w:ascii="宋体" w:eastAsia="宋体" w:hAnsi="宋体" w:cs="宋体" w:hint="eastAsia"/>
                <w:sz w:val="18"/>
                <w:szCs w:val="18"/>
              </w:rPr>
              <w:t>+1.5m</w:t>
            </w:r>
            <w:r>
              <w:rPr>
                <w:rFonts w:ascii="宋体" w:eastAsia="宋体" w:hAnsi="宋体" w:cs="宋体" w:hint="eastAsia"/>
                <w:sz w:val="18"/>
                <w:szCs w:val="18"/>
              </w:rPr>
              <w:t>（侧分带）</w:t>
            </w:r>
            <w:r>
              <w:rPr>
                <w:rFonts w:ascii="宋体" w:eastAsia="宋体" w:hAnsi="宋体" w:cs="宋体" w:hint="eastAsia"/>
                <w:sz w:val="18"/>
                <w:szCs w:val="18"/>
              </w:rPr>
              <w:t>+3.5m</w:t>
            </w:r>
            <w:r>
              <w:rPr>
                <w:rFonts w:ascii="宋体" w:eastAsia="宋体" w:hAnsi="宋体" w:cs="宋体" w:hint="eastAsia"/>
                <w:sz w:val="18"/>
                <w:szCs w:val="18"/>
              </w:rPr>
              <w:t>（非机动车道）</w:t>
            </w:r>
            <w:r>
              <w:rPr>
                <w:rFonts w:ascii="宋体" w:eastAsia="宋体" w:hAnsi="宋体" w:cs="宋体" w:hint="eastAsia"/>
                <w:sz w:val="18"/>
                <w:szCs w:val="18"/>
              </w:rPr>
              <w:t>+4.</w:t>
            </w:r>
            <w:r>
              <w:rPr>
                <w:rFonts w:ascii="宋体" w:eastAsia="宋体" w:hAnsi="宋体" w:cs="宋体" w:hint="eastAsia"/>
                <w:sz w:val="18"/>
                <w:szCs w:val="18"/>
              </w:rPr>
              <w:t>5</w:t>
            </w:r>
            <w:r>
              <w:rPr>
                <w:rFonts w:ascii="宋体" w:eastAsia="宋体" w:hAnsi="宋体" w:cs="宋体" w:hint="eastAsia"/>
                <w:sz w:val="18"/>
                <w:szCs w:val="18"/>
              </w:rPr>
              <w:t>m</w:t>
            </w:r>
            <w:r>
              <w:rPr>
                <w:rFonts w:ascii="宋体" w:eastAsia="宋体" w:hAnsi="宋体" w:cs="宋体" w:hint="eastAsia"/>
                <w:sz w:val="18"/>
                <w:szCs w:val="18"/>
              </w:rPr>
              <w:t>（人行道）</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14</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最小净空</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m</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4.5</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w:t>
            </w:r>
            <w:r>
              <w:rPr>
                <w:rFonts w:ascii="宋体" w:eastAsia="宋体" w:hAnsi="宋体" w:cs="宋体" w:hint="eastAsia"/>
                <w:sz w:val="18"/>
                <w:szCs w:val="18"/>
              </w:rPr>
              <w:t>4.5</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15</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路拱横坡</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w:t>
            </w: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1.5</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1.5</w:t>
            </w:r>
          </w:p>
        </w:tc>
      </w:tr>
      <w:tr>
        <w:tblPrEx>
          <w:tblW w:w="4998" w:type="pct"/>
          <w:jc w:val="center"/>
          <w:tblLook w:val="04A0"/>
        </w:tblPrEx>
        <w:trPr>
          <w:jc w:val="center"/>
        </w:trPr>
        <w:tc>
          <w:tcPr>
            <w:tcW w:w="424"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16</w:t>
            </w:r>
          </w:p>
        </w:tc>
        <w:tc>
          <w:tcPr>
            <w:tcW w:w="1460" w:type="pct"/>
            <w:gridSpan w:val="2"/>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地震基本烈度</w:t>
            </w:r>
          </w:p>
        </w:tc>
        <w:tc>
          <w:tcPr>
            <w:tcW w:w="454" w:type="pct"/>
            <w:tcBorders>
              <w:tl2br w:val="nil"/>
              <w:tr2bl w:val="nil"/>
            </w:tcBorders>
            <w:vAlign w:val="center"/>
          </w:tcPr>
          <w:p w:rsidR="00D9225E">
            <w:pPr>
              <w:spacing w:line="360" w:lineRule="auto"/>
              <w:jc w:val="center"/>
              <w:rPr>
                <w:rFonts w:ascii="宋体" w:eastAsia="宋体" w:hAnsi="宋体" w:cs="宋体"/>
                <w:sz w:val="18"/>
                <w:szCs w:val="18"/>
              </w:rPr>
            </w:pPr>
          </w:p>
        </w:tc>
        <w:tc>
          <w:tcPr>
            <w:tcW w:w="858"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6</w:t>
            </w:r>
            <w:r>
              <w:rPr>
                <w:rFonts w:ascii="宋体" w:eastAsia="宋体" w:hAnsi="宋体" w:cs="宋体" w:hint="eastAsia"/>
                <w:sz w:val="18"/>
                <w:szCs w:val="18"/>
              </w:rPr>
              <w:t>°</w:t>
            </w:r>
          </w:p>
        </w:tc>
        <w:tc>
          <w:tcPr>
            <w:tcW w:w="1802" w:type="pct"/>
            <w:tcBorders>
              <w:tl2br w:val="nil"/>
              <w:tr2bl w:val="nil"/>
            </w:tcBorders>
            <w:vAlign w:val="center"/>
          </w:tcPr>
          <w:p w:rsidR="00D9225E">
            <w:pPr>
              <w:spacing w:line="360" w:lineRule="auto"/>
              <w:jc w:val="center"/>
              <w:rPr>
                <w:rFonts w:ascii="宋体" w:eastAsia="宋体" w:hAnsi="宋体" w:cs="宋体"/>
                <w:sz w:val="18"/>
                <w:szCs w:val="18"/>
              </w:rPr>
            </w:pPr>
            <w:r>
              <w:rPr>
                <w:rFonts w:ascii="宋体" w:eastAsia="宋体" w:hAnsi="宋体" w:cs="宋体" w:hint="eastAsia"/>
                <w:sz w:val="18"/>
                <w:szCs w:val="18"/>
              </w:rPr>
              <w:t>6</w:t>
            </w:r>
            <w:r>
              <w:rPr>
                <w:rFonts w:ascii="宋体" w:eastAsia="宋体" w:hAnsi="宋体" w:cs="宋体" w:hint="eastAsia"/>
                <w:sz w:val="18"/>
                <w:szCs w:val="18"/>
              </w:rPr>
              <w:t>度，按</w:t>
            </w:r>
            <w:r>
              <w:rPr>
                <w:rFonts w:ascii="宋体" w:eastAsia="宋体" w:hAnsi="宋体" w:cs="宋体" w:hint="eastAsia"/>
                <w:sz w:val="18"/>
                <w:szCs w:val="18"/>
              </w:rPr>
              <w:t>7</w:t>
            </w:r>
            <w:r>
              <w:rPr>
                <w:rFonts w:ascii="宋体" w:eastAsia="宋体" w:hAnsi="宋体" w:cs="宋体" w:hint="eastAsia"/>
                <w:sz w:val="18"/>
                <w:szCs w:val="18"/>
              </w:rPr>
              <w:t>度构造设防</w:t>
            </w:r>
          </w:p>
        </w:tc>
      </w:tr>
    </w:tbl>
    <w:p w:rsidR="00D9225E">
      <w:pPr>
        <w:pStyle w:val="LW11"/>
      </w:pPr>
      <w:r>
        <w:t>道路平纵横断面设计</w:t>
      </w:r>
    </w:p>
    <w:p w:rsidR="00D9225E">
      <w:pPr>
        <w:pStyle w:val="LW21"/>
      </w:pPr>
      <w:r>
        <w:t>道路平面</w:t>
      </w:r>
    </w:p>
    <w:p w:rsidR="00D9225E">
      <w:pPr>
        <w:pStyle w:val="LW31"/>
      </w:pPr>
      <w:r>
        <w:t>平面设计时规划执行情况</w:t>
      </w:r>
    </w:p>
    <w:p w:rsidR="00D9225E">
      <w:pPr>
        <w:pStyle w:val="LW"/>
        <w:ind w:firstLine="520"/>
      </w:pPr>
      <w:r>
        <w:rPr>
          <w:rFonts w:hint="eastAsia"/>
        </w:rPr>
        <w:t>本次设计的纵一位于秀山乌杨街道，整体呈北南走向。本项目平面设计时，严格执行规划，与规划线位完全一致。道路全线</w:t>
      </w:r>
      <w:r>
        <w:t>为直线</w:t>
      </w:r>
      <w:r>
        <w:rPr>
          <w:rFonts w:hint="eastAsia"/>
        </w:rPr>
        <w:t>。</w:t>
      </w:r>
    </w:p>
    <w:p w:rsidR="00D9225E">
      <w:pPr>
        <w:pStyle w:val="LW31"/>
      </w:pPr>
      <w:r>
        <w:t>道路平面设计</w:t>
      </w:r>
    </w:p>
    <w:p w:rsidR="00D9225E">
      <w:pPr>
        <w:pStyle w:val="LW1"/>
        <w:ind w:firstLine="520"/>
      </w:pPr>
      <w:r>
        <w:t>道路平面设计</w:t>
      </w:r>
    </w:p>
    <w:p w:rsidR="00D9225E">
      <w:pPr>
        <w:pStyle w:val="LW"/>
        <w:ind w:firstLine="520"/>
      </w:pPr>
      <w:r>
        <w:rPr>
          <w:rFonts w:hint="eastAsia"/>
        </w:rPr>
        <w:t>本次</w:t>
      </w:r>
      <w:r>
        <w:rPr>
          <w:rFonts w:hint="eastAsia"/>
          <w:lang w:val="zh-CN"/>
        </w:rPr>
        <w:t>纵一路</w:t>
      </w:r>
      <w:r>
        <w:rPr>
          <w:rFonts w:hint="eastAsia"/>
          <w:lang w:val="zh-CN"/>
        </w:rPr>
        <w:t>(</w:t>
      </w:r>
      <w:r>
        <w:rPr>
          <w:rFonts w:hint="eastAsia"/>
          <w:lang w:val="zh-CN"/>
        </w:rPr>
        <w:t>一期</w:t>
      </w:r>
      <w:r>
        <w:rPr>
          <w:rFonts w:hint="eastAsia"/>
          <w:lang w:val="zh-CN"/>
        </w:rPr>
        <w:t>)</w:t>
      </w:r>
      <w:r>
        <w:rPr>
          <w:rFonts w:hint="eastAsia"/>
          <w:lang w:val="zh-CN"/>
        </w:rPr>
        <w:t>建设项目</w:t>
      </w:r>
      <w:r>
        <w:rPr>
          <w:rFonts w:hint="eastAsia"/>
        </w:rPr>
        <w:t>路线总体呈南北走向，道路北侧起于规划渝秀大道（城市主干道），由北向南分别与规划道路一（城市支路）、规划道路二（城市次干道）、规划道路三（城市支路）相交，南侧终点与学府大道（城市主干道）相交，全长</w:t>
      </w:r>
      <w:r>
        <w:rPr>
          <w:rFonts w:hint="eastAsia"/>
        </w:rPr>
        <w:t>773.987m</w:t>
      </w:r>
      <w:r>
        <w:rPr>
          <w:rFonts w:hint="eastAsia"/>
        </w:rPr>
        <w:t>（设计范围</w:t>
      </w:r>
      <w:r>
        <w:rPr>
          <w:rFonts w:hint="eastAsia"/>
        </w:rPr>
        <w:t>K0+017.306</w:t>
      </w:r>
      <w:r>
        <w:rPr>
          <w:rFonts w:hint="eastAsia"/>
        </w:rPr>
        <w:t>～</w:t>
      </w:r>
      <w:r>
        <w:rPr>
          <w:rFonts w:hint="eastAsia"/>
        </w:rPr>
        <w:t>K0+791.293</w:t>
      </w:r>
      <w:r>
        <w:rPr>
          <w:rFonts w:hint="eastAsia"/>
        </w:rPr>
        <w:t>段）。道路等级为城市主干道，设计时速采用</w:t>
      </w:r>
      <w:r>
        <w:rPr>
          <w:rFonts w:hint="eastAsia"/>
        </w:rPr>
        <w:t>60km/h</w:t>
      </w:r>
      <w:r>
        <w:rPr>
          <w:rFonts w:hint="eastAsia"/>
        </w:rPr>
        <w:t>，标准路幅宽度为</w:t>
      </w:r>
      <w:r>
        <w:rPr>
          <w:rFonts w:hint="eastAsia"/>
        </w:rPr>
        <w:t>44m</w:t>
      </w:r>
      <w:r>
        <w:rPr>
          <w:rFonts w:hint="eastAsia"/>
        </w:rPr>
        <w:t>（双向</w:t>
      </w:r>
      <w:r>
        <w:rPr>
          <w:rFonts w:hint="eastAsia"/>
        </w:rPr>
        <w:t>6</w:t>
      </w:r>
      <w:r>
        <w:rPr>
          <w:rFonts w:hint="eastAsia"/>
        </w:rPr>
        <w:t>车道</w:t>
      </w:r>
      <w:r>
        <w:rPr>
          <w:rFonts w:hint="eastAsia"/>
        </w:rPr>
        <w:t>+</w:t>
      </w:r>
      <w:r>
        <w:rPr>
          <w:rFonts w:hint="eastAsia"/>
        </w:rPr>
        <w:t>非机动车</w:t>
      </w:r>
      <w:r>
        <w:rPr>
          <w:rFonts w:hint="eastAsia"/>
        </w:rPr>
        <w:t>2</w:t>
      </w:r>
      <w:r>
        <w:rPr>
          <w:rFonts w:hint="eastAsia"/>
        </w:rPr>
        <w:t>车道），同时在人行动两侧设置</w:t>
      </w:r>
      <w:r>
        <w:rPr>
          <w:rFonts w:hint="eastAsia"/>
        </w:rPr>
        <w:t>10m</w:t>
      </w:r>
      <w:r>
        <w:rPr>
          <w:rFonts w:hint="eastAsia"/>
        </w:rPr>
        <w:t>的绿化带，道路全线无平曲线。平面设计与规划设计完全一致</w:t>
      </w:r>
      <w:r>
        <w:rPr>
          <w:rFonts w:hint="eastAsia"/>
        </w:rPr>
        <w:t>。</w:t>
      </w:r>
    </w:p>
    <w:p w:rsidR="00D9225E">
      <w:pPr>
        <w:pStyle w:val="LW"/>
        <w:ind w:firstLine="520"/>
      </w:pPr>
      <w:r>
        <w:rPr>
          <w:rFonts w:hint="eastAsia"/>
        </w:rPr>
        <w:t>对终点与</w:t>
      </w:r>
      <w:r>
        <w:rPr>
          <w:rFonts w:hint="eastAsia"/>
        </w:rPr>
        <w:t>现状学府大道</w:t>
      </w:r>
      <w:r>
        <w:rPr>
          <w:rFonts w:hint="eastAsia"/>
        </w:rPr>
        <w:t>平交口，</w:t>
      </w:r>
      <w:r>
        <w:t>做好</w:t>
      </w:r>
      <w:r>
        <w:rPr>
          <w:rFonts w:hint="eastAsia"/>
        </w:rPr>
        <w:t>路面</w:t>
      </w:r>
      <w:r>
        <w:t>搭接处理（路面搭接已计入工程量）</w:t>
      </w:r>
      <w:r>
        <w:rPr>
          <w:rFonts w:hint="eastAsia"/>
        </w:rPr>
        <w:t>及改造处理</w:t>
      </w:r>
      <w:r>
        <w:t>，具体施工范围以及搭接范围详见道路平面图。</w:t>
      </w:r>
    </w:p>
    <w:p w:rsidR="00D9225E">
      <w:pPr>
        <w:pStyle w:val="LW31"/>
      </w:pPr>
      <w:r>
        <w:t>超高加宽方式</w:t>
      </w:r>
    </w:p>
    <w:p w:rsidR="00D9225E">
      <w:pPr>
        <w:pStyle w:val="LW"/>
        <w:ind w:firstLine="520"/>
      </w:pPr>
      <w:r>
        <w:rPr>
          <w:rFonts w:hint="eastAsia"/>
        </w:rPr>
        <w:t>道路</w:t>
      </w:r>
      <w:r>
        <w:t>全线</w:t>
      </w:r>
      <w:r>
        <w:rPr>
          <w:rFonts w:hint="eastAsia"/>
        </w:rPr>
        <w:t>为</w:t>
      </w:r>
      <w:r>
        <w:t>一</w:t>
      </w:r>
      <w:r>
        <w:rPr>
          <w:rFonts w:hint="eastAsia"/>
        </w:rPr>
        <w:t>直线。按照《城市道路路线设计规范</w:t>
      </w:r>
      <w:r>
        <w:t>CJJ 193-2012</w:t>
      </w:r>
      <w:r>
        <w:t>》，</w:t>
      </w:r>
      <w:r>
        <w:rPr>
          <w:rFonts w:hint="eastAsia"/>
        </w:rPr>
        <w:t>在圆曲线半径小于等于</w:t>
      </w:r>
      <w:r>
        <w:rPr>
          <w:rFonts w:hint="eastAsia"/>
        </w:rPr>
        <w:t>250m</w:t>
      </w:r>
      <w:r>
        <w:rPr>
          <w:rFonts w:hint="eastAsia"/>
        </w:rPr>
        <w:t>的路段上设置加宽，且要求在圆曲线半径小于</w:t>
      </w:r>
      <w:r>
        <w:rPr>
          <w:rFonts w:hint="eastAsia"/>
        </w:rPr>
        <w:t>300m</w:t>
      </w:r>
      <w:r>
        <w:rPr>
          <w:rFonts w:hint="eastAsia"/>
        </w:rPr>
        <w:t>的路段上设置超高，故本次设计的道路无需进行加宽和超高。</w:t>
      </w:r>
    </w:p>
    <w:p w:rsidR="00D9225E">
      <w:pPr>
        <w:pStyle w:val="LW21"/>
      </w:pPr>
      <w:bookmarkStart w:id="153" w:name="_Toc88337508"/>
      <w:bookmarkStart w:id="154" w:name="_Toc88141365"/>
      <w:bookmarkStart w:id="155" w:name="_Toc88148486"/>
      <w:bookmarkStart w:id="156" w:name="_Toc88140201"/>
      <w:r>
        <w:rPr>
          <w:rFonts w:hint="eastAsia"/>
        </w:rPr>
        <w:t>道路</w:t>
      </w:r>
      <w:r>
        <w:t>纵断面</w:t>
      </w:r>
      <w:bookmarkEnd w:id="153"/>
      <w:bookmarkEnd w:id="154"/>
      <w:bookmarkEnd w:id="155"/>
      <w:bookmarkEnd w:id="156"/>
    </w:p>
    <w:p w:rsidR="00D9225E">
      <w:pPr>
        <w:pStyle w:val="LW31"/>
      </w:pPr>
      <w:bookmarkStart w:id="157" w:name="_Toc88148488"/>
      <w:bookmarkStart w:id="158" w:name="_Toc88337510"/>
      <w:bookmarkStart w:id="159" w:name="_Toc88141367"/>
      <w:bookmarkStart w:id="160" w:name="_Toc88140203"/>
      <w:r>
        <w:rPr>
          <w:rFonts w:hint="eastAsia"/>
        </w:rPr>
        <w:t>道路</w:t>
      </w:r>
      <w:r>
        <w:t>纵断面设计</w:t>
      </w:r>
      <w:bookmarkEnd w:id="157"/>
      <w:bookmarkEnd w:id="158"/>
      <w:bookmarkEnd w:id="159"/>
      <w:bookmarkEnd w:id="160"/>
    </w:p>
    <w:p w:rsidR="00D9225E">
      <w:pPr>
        <w:pStyle w:val="LW1"/>
        <w:ind w:firstLine="520"/>
      </w:pPr>
      <w:r>
        <w:rPr>
          <w:rFonts w:hint="eastAsia"/>
        </w:rPr>
        <w:t>道路</w:t>
      </w:r>
      <w:r>
        <w:t>纵断面设计</w:t>
      </w:r>
    </w:p>
    <w:p w:rsidR="00D9225E">
      <w:pPr>
        <w:pStyle w:val="LW"/>
        <w:ind w:firstLine="520"/>
      </w:pPr>
      <w:r>
        <w:rPr>
          <w:rFonts w:hint="eastAsia"/>
        </w:rPr>
        <w:t>纵一路起点接规划规划渝秀大道，设计高程</w:t>
      </w:r>
      <w:r>
        <w:rPr>
          <w:rFonts w:hint="eastAsia"/>
        </w:rPr>
        <w:t>359.000m;</w:t>
      </w:r>
      <w:r>
        <w:rPr>
          <w:rFonts w:hint="eastAsia"/>
        </w:rPr>
        <w:t>终点接</w:t>
      </w:r>
      <w:r>
        <w:rPr>
          <w:rFonts w:hint="eastAsia"/>
        </w:rPr>
        <w:t>现状学府大道</w:t>
      </w:r>
      <w:r>
        <w:rPr>
          <w:rFonts w:hint="eastAsia"/>
        </w:rPr>
        <w:t>，设计高程</w:t>
      </w:r>
      <w:r>
        <w:rPr>
          <w:rFonts w:hint="eastAsia"/>
        </w:rPr>
        <w:t>362.800m</w:t>
      </w:r>
      <w:r>
        <w:rPr>
          <w:rFonts w:hint="eastAsia"/>
        </w:rPr>
        <w:t>，全线共设</w:t>
      </w:r>
      <w:r>
        <w:rPr>
          <w:rFonts w:hint="eastAsia"/>
        </w:rPr>
        <w:t>1</w:t>
      </w:r>
      <w:r>
        <w:rPr>
          <w:rFonts w:hint="eastAsia"/>
        </w:rPr>
        <w:t>个坡段，道路纵坡为</w:t>
      </w:r>
      <w:r>
        <w:rPr>
          <w:rFonts w:hint="eastAsia"/>
        </w:rPr>
        <w:t>0.47%</w:t>
      </w:r>
      <w:r>
        <w:rPr>
          <w:rFonts w:hint="eastAsia"/>
        </w:rPr>
        <w:t>。</w:t>
      </w:r>
    </w:p>
    <w:p w:rsidR="00D9225E">
      <w:pPr>
        <w:pStyle w:val="LW21"/>
      </w:pPr>
      <w:bookmarkStart w:id="161" w:name="_Toc88337511"/>
      <w:bookmarkStart w:id="162" w:name="_Toc88141368"/>
      <w:bookmarkStart w:id="163" w:name="_Toc88148489"/>
      <w:bookmarkStart w:id="164" w:name="_Toc88140204"/>
      <w:r>
        <w:rPr>
          <w:rFonts w:hint="eastAsia"/>
        </w:rPr>
        <w:t>横断面</w:t>
      </w:r>
      <w:bookmarkEnd w:id="161"/>
      <w:bookmarkEnd w:id="162"/>
      <w:bookmarkEnd w:id="163"/>
      <w:bookmarkEnd w:id="164"/>
    </w:p>
    <w:p w:rsidR="00D9225E">
      <w:pPr>
        <w:pStyle w:val="LW31"/>
      </w:pPr>
      <w:r>
        <w:rPr>
          <w:rFonts w:hint="eastAsia"/>
        </w:rPr>
        <w:t>横断面设计</w:t>
      </w:r>
    </w:p>
    <w:p w:rsidR="00D9225E">
      <w:pPr>
        <w:pStyle w:val="LW"/>
        <w:ind w:firstLine="520"/>
      </w:pPr>
      <w:r>
        <w:rPr>
          <w:rFonts w:hint="eastAsia"/>
        </w:rPr>
        <w:t>纵一路（一期）</w:t>
      </w:r>
      <w:r>
        <w:rPr>
          <w:rFonts w:hint="eastAsia"/>
        </w:rPr>
        <w:t>道路等级为城市主干路，设计时速为</w:t>
      </w:r>
      <w:r>
        <w:rPr>
          <w:rFonts w:hint="eastAsia"/>
        </w:rPr>
        <w:t>6</w:t>
      </w:r>
      <w:r>
        <w:rPr>
          <w:rFonts w:hint="eastAsia"/>
        </w:rPr>
        <w:t>0km/h</w:t>
      </w:r>
      <w:r>
        <w:rPr>
          <w:rFonts w:hint="eastAsia"/>
        </w:rPr>
        <w:t>，道路标准路幅宽度为</w:t>
      </w:r>
      <w:r>
        <w:rPr>
          <w:rFonts w:hint="eastAsia"/>
        </w:rPr>
        <w:t>44</w:t>
      </w:r>
      <w:r>
        <w:rPr>
          <w:rFonts w:hint="eastAsia"/>
        </w:rPr>
        <w:t>m</w:t>
      </w:r>
      <w:r>
        <w:rPr>
          <w:rFonts w:hint="eastAsia"/>
        </w:rPr>
        <w:t>，双向</w:t>
      </w:r>
      <w:r>
        <w:rPr>
          <w:rFonts w:hint="eastAsia"/>
        </w:rPr>
        <w:t>六</w:t>
      </w:r>
      <w:r>
        <w:rPr>
          <w:rFonts w:hint="eastAsia"/>
        </w:rPr>
        <w:t>车道</w:t>
      </w:r>
      <w:r>
        <w:rPr>
          <w:rFonts w:hint="eastAsia"/>
        </w:rPr>
        <w:t>+</w:t>
      </w:r>
      <w:r>
        <w:rPr>
          <w:rFonts w:hint="eastAsia"/>
        </w:rPr>
        <w:t>非机动车</w:t>
      </w:r>
      <w:r>
        <w:rPr>
          <w:rFonts w:hint="eastAsia"/>
        </w:rPr>
        <w:t>2</w:t>
      </w:r>
      <w:r>
        <w:rPr>
          <w:rFonts w:hint="eastAsia"/>
        </w:rPr>
        <w:t>车道</w:t>
      </w:r>
      <w:r>
        <w:rPr>
          <w:rFonts w:hint="eastAsia"/>
        </w:rPr>
        <w:t>，具体路幅分配为：</w:t>
      </w:r>
    </w:p>
    <w:p w:rsidR="00D9225E">
      <w:pPr>
        <w:pStyle w:val="LW"/>
        <w:ind w:firstLine="520"/>
        <w:rPr>
          <w:rFonts w:cs="Times New Roman"/>
          <w:szCs w:val="24"/>
          <w:lang w:val="zh-CN"/>
        </w:rPr>
      </w:pPr>
      <w:r>
        <w:rPr>
          <w:rFonts w:cs="Times New Roman" w:hint="eastAsia"/>
          <w:szCs w:val="24"/>
          <w:lang w:val="zh-CN"/>
        </w:rPr>
        <w:t>44m=4.5m</w:t>
      </w:r>
      <w:r>
        <w:rPr>
          <w:rFonts w:cs="Times New Roman" w:hint="eastAsia"/>
          <w:szCs w:val="24"/>
          <w:lang w:val="zh-CN"/>
        </w:rPr>
        <w:t>（人行道</w:t>
      </w:r>
      <w:r>
        <w:rPr>
          <w:rFonts w:cs="Times New Roman" w:hint="eastAsia"/>
          <w:szCs w:val="24"/>
          <w:lang w:val="zh-CN"/>
        </w:rPr>
        <w:t>,</w:t>
      </w:r>
      <w:r>
        <w:rPr>
          <w:rFonts w:cs="Times New Roman" w:hint="eastAsia"/>
          <w:szCs w:val="24"/>
          <w:lang w:val="zh-CN"/>
        </w:rPr>
        <w:t>含</w:t>
      </w:r>
      <w:r>
        <w:rPr>
          <w:rFonts w:cs="Times New Roman" w:hint="eastAsia"/>
          <w:szCs w:val="24"/>
          <w:lang w:val="zh-CN"/>
        </w:rPr>
        <w:t>2m</w:t>
      </w:r>
      <w:r>
        <w:rPr>
          <w:rFonts w:cs="Times New Roman" w:hint="eastAsia"/>
          <w:szCs w:val="24"/>
          <w:lang w:val="zh-CN"/>
        </w:rPr>
        <w:t>智慧跑道）</w:t>
      </w:r>
      <w:r>
        <w:rPr>
          <w:rFonts w:cs="Times New Roman" w:hint="eastAsia"/>
          <w:szCs w:val="24"/>
          <w:lang w:val="zh-CN"/>
        </w:rPr>
        <w:t>+3.5m</w:t>
      </w:r>
      <w:r>
        <w:rPr>
          <w:rFonts w:cs="Times New Roman" w:hint="eastAsia"/>
          <w:szCs w:val="24"/>
          <w:lang w:val="zh-CN"/>
        </w:rPr>
        <w:t>（非机动车道）</w:t>
      </w:r>
      <w:r>
        <w:rPr>
          <w:rFonts w:cs="Times New Roman" w:hint="eastAsia"/>
          <w:szCs w:val="24"/>
          <w:lang w:val="zh-CN"/>
        </w:rPr>
        <w:t>+1.5m</w:t>
      </w:r>
      <w:r>
        <w:rPr>
          <w:rFonts w:cs="Times New Roman" w:hint="eastAsia"/>
          <w:szCs w:val="24"/>
          <w:lang w:val="zh-CN"/>
        </w:rPr>
        <w:t>（侧分带）</w:t>
      </w:r>
      <w:r>
        <w:rPr>
          <w:rFonts w:cs="Times New Roman" w:hint="eastAsia"/>
          <w:szCs w:val="24"/>
          <w:lang w:val="zh-CN"/>
        </w:rPr>
        <w:t>+11.5m</w:t>
      </w:r>
      <w:r>
        <w:rPr>
          <w:rFonts w:cs="Times New Roman" w:hint="eastAsia"/>
          <w:szCs w:val="24"/>
          <w:lang w:val="zh-CN"/>
        </w:rPr>
        <w:t>（车行道）</w:t>
      </w:r>
      <w:r>
        <w:rPr>
          <w:rFonts w:cs="Times New Roman" w:hint="eastAsia"/>
          <w:szCs w:val="24"/>
          <w:lang w:val="zh-CN"/>
        </w:rPr>
        <w:t>+2m</w:t>
      </w:r>
      <w:r>
        <w:rPr>
          <w:rFonts w:cs="Times New Roman" w:hint="eastAsia"/>
          <w:szCs w:val="24"/>
          <w:lang w:val="zh-CN"/>
        </w:rPr>
        <w:t>（中央分隔带）</w:t>
      </w:r>
      <w:r>
        <w:rPr>
          <w:rFonts w:cs="Times New Roman" w:hint="eastAsia"/>
          <w:szCs w:val="24"/>
          <w:lang w:val="zh-CN"/>
        </w:rPr>
        <w:t>+11.5m</w:t>
      </w:r>
      <w:r>
        <w:rPr>
          <w:rFonts w:cs="Times New Roman" w:hint="eastAsia"/>
          <w:szCs w:val="24"/>
          <w:lang w:val="zh-CN"/>
        </w:rPr>
        <w:t>（车行道）</w:t>
      </w:r>
      <w:r>
        <w:rPr>
          <w:rFonts w:cs="Times New Roman" w:hint="eastAsia"/>
          <w:szCs w:val="24"/>
          <w:lang w:val="zh-CN"/>
        </w:rPr>
        <w:t>+1.5m</w:t>
      </w:r>
      <w:r>
        <w:rPr>
          <w:rFonts w:cs="Times New Roman" w:hint="eastAsia"/>
          <w:szCs w:val="24"/>
          <w:lang w:val="zh-CN"/>
        </w:rPr>
        <w:t>（侧分带）</w:t>
      </w:r>
      <w:r>
        <w:rPr>
          <w:rFonts w:cs="Times New Roman" w:hint="eastAsia"/>
          <w:szCs w:val="24"/>
          <w:lang w:val="zh-CN"/>
        </w:rPr>
        <w:t>+3.5m</w:t>
      </w:r>
      <w:r>
        <w:rPr>
          <w:rFonts w:cs="Times New Roman" w:hint="eastAsia"/>
          <w:szCs w:val="24"/>
          <w:lang w:val="zh-CN"/>
        </w:rPr>
        <w:t>（非机动车道）</w:t>
      </w:r>
      <w:r>
        <w:rPr>
          <w:rFonts w:cs="Times New Roman" w:hint="eastAsia"/>
          <w:szCs w:val="24"/>
          <w:lang w:val="zh-CN"/>
        </w:rPr>
        <w:t>+4.5m</w:t>
      </w:r>
      <w:r>
        <w:rPr>
          <w:rFonts w:cs="Times New Roman" w:hint="eastAsia"/>
          <w:szCs w:val="24"/>
          <w:lang w:val="zh-CN"/>
        </w:rPr>
        <w:t>（人行道，含</w:t>
      </w:r>
      <w:r>
        <w:rPr>
          <w:rFonts w:cs="Times New Roman" w:hint="eastAsia"/>
          <w:szCs w:val="24"/>
          <w:lang w:val="zh-CN"/>
        </w:rPr>
        <w:t>2m</w:t>
      </w:r>
      <w:r>
        <w:rPr>
          <w:rFonts w:cs="Times New Roman" w:hint="eastAsia"/>
          <w:szCs w:val="24"/>
          <w:lang w:val="zh-CN"/>
        </w:rPr>
        <w:t>智慧跑道）。</w:t>
      </w:r>
    </w:p>
    <w:p w:rsidR="00D9225E">
      <w:pPr>
        <w:pStyle w:val="LW31"/>
      </w:pPr>
      <w:bookmarkStart w:id="165" w:name="_Toc79478435"/>
      <w:bookmarkStart w:id="166" w:name="_Toc79693884"/>
      <w:bookmarkStart w:id="167" w:name="_Toc75527626"/>
      <w:bookmarkStart w:id="168" w:name="_Toc76583556"/>
      <w:bookmarkStart w:id="169" w:name="_Toc88148491"/>
      <w:bookmarkStart w:id="170" w:name="_Toc143607286"/>
      <w:bookmarkStart w:id="171" w:name="_Toc81175181"/>
      <w:bookmarkStart w:id="172" w:name="_Toc76585693"/>
      <w:bookmarkStart w:id="173" w:name="_Toc80088828"/>
      <w:bookmarkStart w:id="174" w:name="_Toc75528862"/>
      <w:bookmarkStart w:id="175" w:name="_Toc75527416"/>
      <w:bookmarkStart w:id="176" w:name="_Toc88140206"/>
      <w:bookmarkStart w:id="177" w:name="_Toc88141370"/>
      <w:bookmarkStart w:id="178" w:name="_Toc79076435"/>
      <w:bookmarkStart w:id="179" w:name="_Toc79134207"/>
      <w:bookmarkStart w:id="180" w:name="_Toc81243422"/>
      <w:bookmarkStart w:id="181" w:name="_Toc79483738"/>
      <w:r>
        <w:rPr>
          <w:rFonts w:hint="eastAsia"/>
        </w:rPr>
        <w:t>设计标高</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D9225E">
      <w:pPr>
        <w:pStyle w:val="LW"/>
        <w:ind w:firstLine="520"/>
        <w:sectPr>
          <w:headerReference w:type="even" r:id="rId44"/>
          <w:footerReference w:type="even" r:id="rId45"/>
          <w:type w:val="nextPage"/>
          <w:pgSz w:w="23811" w:h="16838" w:orient="landscape"/>
          <w:pgMar w:top="851" w:right="851" w:bottom="3119" w:left="1985" w:header="879" w:footer="765" w:gutter="0"/>
          <w:pgNumType w:start="14"/>
          <w:cols w:num="2" w:space="425"/>
          <w:titlePg w:val="0"/>
          <w:docGrid w:type="lines" w:linePitch="312"/>
        </w:sectPr>
      </w:pPr>
      <w:r>
        <w:rPr>
          <w:rFonts w:hint="eastAsia"/>
        </w:rPr>
        <w:t>道路设计标高为中分带边缘处路面标高。</w:t>
      </w:r>
    </w:p>
    <w:p w:rsidR="00D9225E">
      <w:pPr>
        <w:pStyle w:val="LW31"/>
      </w:pPr>
      <w:bookmarkStart w:id="182" w:name="_Toc75527627"/>
      <w:bookmarkStart w:id="183" w:name="_Toc76585694"/>
      <w:bookmarkStart w:id="184" w:name="_Toc79134208"/>
      <w:bookmarkStart w:id="185" w:name="_Toc81243423"/>
      <w:bookmarkStart w:id="186" w:name="_Toc80088829"/>
      <w:bookmarkStart w:id="187" w:name="_Toc75528863"/>
      <w:bookmarkStart w:id="188" w:name="_Toc76583557"/>
      <w:bookmarkStart w:id="189" w:name="_Toc88148492"/>
      <w:bookmarkStart w:id="190" w:name="_Toc79483739"/>
      <w:bookmarkStart w:id="191" w:name="_Toc79693885"/>
      <w:bookmarkStart w:id="192" w:name="_Toc81175182"/>
      <w:bookmarkStart w:id="193" w:name="_Toc79076436"/>
      <w:bookmarkStart w:id="194" w:name="_Toc88141371"/>
      <w:bookmarkStart w:id="195" w:name="_Toc79478436"/>
      <w:bookmarkStart w:id="196" w:name="_Toc75527417"/>
      <w:bookmarkStart w:id="197" w:name="_Toc88140207"/>
      <w:bookmarkStart w:id="198" w:name="_Toc143607287"/>
      <w:r>
        <w:rPr>
          <w:rFonts w:hint="eastAsia"/>
        </w:rPr>
        <w:t>路拱横坡</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D9225E">
      <w:pPr>
        <w:pStyle w:val="LW"/>
        <w:ind w:firstLine="520"/>
      </w:pPr>
      <w:r>
        <w:rPr>
          <w:rFonts w:hint="eastAsia"/>
        </w:rPr>
        <w:t>机动车道横坡：</w:t>
      </w:r>
      <w:r>
        <w:rPr>
          <w:rFonts w:hint="eastAsia"/>
        </w:rPr>
        <w:t>1.5%</w:t>
      </w:r>
      <w:r>
        <w:rPr>
          <w:rFonts w:hint="eastAsia"/>
        </w:rPr>
        <w:t>，非机动车道横坡：</w:t>
      </w:r>
      <w:r>
        <w:rPr>
          <w:rFonts w:hint="eastAsia"/>
        </w:rPr>
        <w:t>1.5%</w:t>
      </w:r>
      <w:r>
        <w:rPr>
          <w:rFonts w:hint="eastAsia"/>
        </w:rPr>
        <w:t>，人行道横坡：</w:t>
      </w:r>
      <w:r>
        <w:rPr>
          <w:rFonts w:hint="eastAsia"/>
        </w:rPr>
        <w:t>2%</w:t>
      </w:r>
      <w:r>
        <w:rPr>
          <w:rFonts w:hint="eastAsia"/>
        </w:rPr>
        <w:t>。</w:t>
      </w:r>
    </w:p>
    <w:p w:rsidR="00D9225E">
      <w:pPr>
        <w:pStyle w:val="LW31"/>
      </w:pPr>
      <w:bookmarkStart w:id="199" w:name="_Toc88141372"/>
      <w:bookmarkStart w:id="200" w:name="_Toc80088830"/>
      <w:bookmarkStart w:id="201" w:name="_Toc143607288"/>
      <w:bookmarkStart w:id="202" w:name="_Toc79134209"/>
      <w:bookmarkStart w:id="203" w:name="_Toc75527418"/>
      <w:bookmarkStart w:id="204" w:name="_Toc75528864"/>
      <w:bookmarkStart w:id="205" w:name="_Toc76583558"/>
      <w:bookmarkStart w:id="206" w:name="_Toc81243424"/>
      <w:bookmarkStart w:id="207" w:name="_Toc79478437"/>
      <w:bookmarkStart w:id="208" w:name="_Toc79483740"/>
      <w:bookmarkStart w:id="209" w:name="_Toc75527628"/>
      <w:bookmarkStart w:id="210" w:name="_Toc79076437"/>
      <w:bookmarkStart w:id="211" w:name="_Toc81175183"/>
      <w:bookmarkStart w:id="212" w:name="_Toc88148493"/>
      <w:bookmarkStart w:id="213" w:name="_Toc76585695"/>
      <w:bookmarkStart w:id="214" w:name="_Toc88140208"/>
      <w:bookmarkStart w:id="215" w:name="_Toc79693886"/>
      <w:r>
        <w:rPr>
          <w:rFonts w:hint="eastAsia"/>
        </w:rPr>
        <w:t>超高加宽方式</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D9225E">
      <w:pPr>
        <w:pStyle w:val="LW"/>
        <w:ind w:firstLine="520"/>
      </w:pPr>
      <w:r>
        <w:rPr>
          <w:rFonts w:hint="eastAsia"/>
        </w:rPr>
        <w:t>纵</w:t>
      </w:r>
      <w:r>
        <w:t>一</w:t>
      </w:r>
      <w:r>
        <w:rPr>
          <w:rFonts w:hint="eastAsia"/>
        </w:rPr>
        <w:t>路全线为直线，无需进行加宽和超高。</w:t>
      </w:r>
    </w:p>
    <w:p w:rsidR="00D9225E">
      <w:pPr>
        <w:pStyle w:val="LW11"/>
      </w:pPr>
      <w:bookmarkStart w:id="216" w:name="_Toc88148494"/>
      <w:bookmarkStart w:id="217" w:name="_Toc88140209"/>
      <w:bookmarkStart w:id="218" w:name="_Toc88141373"/>
      <w:bookmarkStart w:id="219" w:name="_Toc88337516"/>
      <w:r>
        <w:rPr>
          <w:rFonts w:hint="eastAsia"/>
        </w:rPr>
        <w:t>交叉口</w:t>
      </w:r>
      <w:r>
        <w:t>设计</w:t>
      </w:r>
      <w:bookmarkEnd w:id="216"/>
      <w:bookmarkEnd w:id="217"/>
      <w:bookmarkEnd w:id="218"/>
      <w:bookmarkEnd w:id="219"/>
    </w:p>
    <w:p w:rsidR="00D9225E">
      <w:pPr>
        <w:pStyle w:val="LW"/>
        <w:ind w:firstLine="520"/>
      </w:pPr>
      <w:r>
        <w:rPr>
          <w:rFonts w:hint="eastAsia"/>
        </w:rPr>
        <w:t>纵一路起点顺接规划纵一路，</w:t>
      </w:r>
      <w:r>
        <w:t>与</w:t>
      </w:r>
      <w:r>
        <w:rPr>
          <w:rFonts w:hint="eastAsia"/>
        </w:rPr>
        <w:t>正在</w:t>
      </w:r>
      <w:r>
        <w:t>设计</w:t>
      </w:r>
      <w:r>
        <w:rPr>
          <w:rFonts w:hint="eastAsia"/>
        </w:rPr>
        <w:t>渝秀大道形成</w:t>
      </w:r>
      <w:r>
        <w:t>平交口，</w:t>
      </w:r>
      <w:r>
        <w:rPr>
          <w:rFonts w:hint="eastAsia"/>
        </w:rPr>
        <w:t>向南经过规划道路一、规划道路二和规划道路三，终点与</w:t>
      </w:r>
      <w:r>
        <w:rPr>
          <w:rFonts w:hint="eastAsia"/>
        </w:rPr>
        <w:t>现状学府大道</w:t>
      </w:r>
      <w:r>
        <w:t>形成平交</w:t>
      </w:r>
      <w:r>
        <w:rPr>
          <w:rFonts w:hint="eastAsia"/>
        </w:rPr>
        <w:t>，本次设计共</w:t>
      </w:r>
      <w:r>
        <w:t>形成</w:t>
      </w:r>
      <w:r>
        <w:t>5</w:t>
      </w:r>
      <w:r>
        <w:rPr>
          <w:rFonts w:hint="eastAsia"/>
        </w:rPr>
        <w:t>处平面交叉，其中</w:t>
      </w:r>
      <w:r>
        <w:t>起点平交</w:t>
      </w:r>
      <w:r>
        <w:rPr>
          <w:rFonts w:hint="eastAsia"/>
        </w:rPr>
        <w:t>口</w:t>
      </w:r>
      <w:r>
        <w:t>不在本次设计范围</w:t>
      </w:r>
      <w:r>
        <w:rPr>
          <w:rFonts w:hint="eastAsia"/>
        </w:rPr>
        <w:t>线内</w:t>
      </w:r>
      <w:r>
        <w:t>，纳入相交道路设计</w:t>
      </w:r>
      <w:r>
        <w:rPr>
          <w:rFonts w:hint="eastAsia"/>
        </w:rPr>
        <w:t>。</w:t>
      </w:r>
      <w:r>
        <w:rPr>
          <w:rFonts w:hint="eastAsia"/>
        </w:rPr>
        <w:t>因纵一路中线位置根据最新规划有所调整，故需对终点处交叉口进行局部改造。</w:t>
      </w:r>
    </w:p>
    <w:p w:rsidR="00D9225E">
      <w:pPr>
        <w:pStyle w:val="LW"/>
        <w:ind w:firstLine="520"/>
      </w:pPr>
      <w:r>
        <w:rPr>
          <w:rFonts w:hint="eastAsia"/>
        </w:rPr>
        <w:t>纵一路分别</w:t>
      </w:r>
      <w:r>
        <w:t>与</w:t>
      </w:r>
      <w:r>
        <w:rPr>
          <w:rFonts w:hint="eastAsia"/>
        </w:rPr>
        <w:t>规划道路一、</w:t>
      </w:r>
      <w:r>
        <w:t>规划道路三</w:t>
      </w:r>
      <w:r>
        <w:rPr>
          <w:rFonts w:hint="eastAsia"/>
        </w:rPr>
        <w:t>两个</w:t>
      </w:r>
      <w:r>
        <w:t>交叉口均为</w:t>
      </w:r>
      <w:r>
        <w:rPr>
          <w:rFonts w:hint="eastAsia"/>
        </w:rPr>
        <w:t>主干路</w:t>
      </w:r>
      <w:r>
        <w:t>与支路</w:t>
      </w:r>
      <w:r>
        <w:rPr>
          <w:rFonts w:hint="eastAsia"/>
        </w:rPr>
        <w:t>相交，</w:t>
      </w:r>
      <w:r>
        <w:t>考虑</w:t>
      </w:r>
      <w:r>
        <w:rPr>
          <w:rFonts w:hint="eastAsia"/>
        </w:rPr>
        <w:t>纵一路</w:t>
      </w:r>
      <w:r>
        <w:t>为主要通道，</w:t>
      </w:r>
      <w:r>
        <w:rPr>
          <w:rFonts w:hint="eastAsia"/>
        </w:rPr>
        <w:t>这两个交叉口</w:t>
      </w:r>
      <w:r>
        <w:t>考虑右进右出，</w:t>
      </w:r>
      <w:r>
        <w:rPr>
          <w:rFonts w:hint="eastAsia"/>
        </w:rPr>
        <w:t>禁止</w:t>
      </w:r>
      <w:r>
        <w:t>左转</w:t>
      </w:r>
      <w:r>
        <w:rPr>
          <w:rFonts w:hint="eastAsia"/>
        </w:rPr>
        <w:t>直行</w:t>
      </w:r>
      <w:r>
        <w:t>，</w:t>
      </w:r>
      <w:r>
        <w:rPr>
          <w:rFonts w:hint="eastAsia"/>
        </w:rPr>
        <w:t>与规划</w:t>
      </w:r>
      <w:r>
        <w:t>道路</w:t>
      </w:r>
      <w:r>
        <w:rPr>
          <w:rFonts w:hint="eastAsia"/>
        </w:rPr>
        <w:t>二</w:t>
      </w:r>
      <w:r>
        <w:t>，</w:t>
      </w:r>
      <w:r>
        <w:rPr>
          <w:rFonts w:hint="eastAsia"/>
        </w:rPr>
        <w:t>为主干路</w:t>
      </w:r>
      <w:r>
        <w:t>与次干路相交。</w:t>
      </w:r>
      <w:r>
        <w:rPr>
          <w:rFonts w:hint="eastAsia"/>
        </w:rPr>
        <w:t>按照</w:t>
      </w:r>
      <w:r>
        <w:t>规划，考虑公交停车港</w:t>
      </w:r>
      <w:r>
        <w:rPr>
          <w:rFonts w:hint="eastAsia"/>
        </w:rPr>
        <w:t>的</w:t>
      </w:r>
      <w:r>
        <w:t>前后距离</w:t>
      </w:r>
      <w:r>
        <w:rPr>
          <w:rFonts w:hint="eastAsia"/>
        </w:rPr>
        <w:t>，除</w:t>
      </w:r>
      <w:r>
        <w:t>支路外，其余交叉</w:t>
      </w:r>
      <w:r>
        <w:rPr>
          <w:rFonts w:hint="eastAsia"/>
        </w:rPr>
        <w:t>进口</w:t>
      </w:r>
      <w:r>
        <w:t>道</w:t>
      </w:r>
      <w:r>
        <w:rPr>
          <w:rFonts w:hint="eastAsia"/>
        </w:rPr>
        <w:t>进行</w:t>
      </w:r>
      <w:r>
        <w:t>展宽，部分路段道路全拓宽。</w:t>
      </w:r>
      <w:r>
        <w:rPr>
          <w:rFonts w:hint="eastAsia"/>
        </w:rPr>
        <w:t>并</w:t>
      </w:r>
      <w:r>
        <w:t>对</w:t>
      </w:r>
      <w:r>
        <w:rPr>
          <w:rFonts w:hint="eastAsia"/>
        </w:rPr>
        <w:t>该</w:t>
      </w:r>
      <w:r>
        <w:t>交叉口进行</w:t>
      </w:r>
      <w:r>
        <w:rPr>
          <w:rFonts w:hint="eastAsia"/>
        </w:rPr>
        <w:t>信号灯设计。</w:t>
      </w:r>
    </w:p>
    <w:p w:rsidR="00D9225E">
      <w:pPr>
        <w:pStyle w:val="LW"/>
        <w:ind w:firstLine="520"/>
      </w:pPr>
      <w:r>
        <w:rPr>
          <w:rFonts w:hint="eastAsia"/>
        </w:rPr>
        <w:t>本次设计根据相交道路的功能、性质、等级、设计速度等因素，依据《城市道路交叉口设计规范》（</w:t>
      </w:r>
      <w:r>
        <w:rPr>
          <w:rFonts w:hint="eastAsia"/>
        </w:rPr>
        <w:t>CJJ 152-2010</w:t>
      </w:r>
      <w:r>
        <w:rPr>
          <w:rFonts w:hint="eastAsia"/>
        </w:rPr>
        <w:t>）要求，本次设计平面交叉口为平</w:t>
      </w:r>
      <w:r>
        <w:rPr>
          <w:rFonts w:hint="eastAsia"/>
        </w:rPr>
        <w:t>A</w:t>
      </w:r>
      <w:r>
        <w:rPr>
          <w:rFonts w:hint="eastAsia"/>
          <w:vertAlign w:val="subscript"/>
        </w:rPr>
        <w:t>1</w:t>
      </w:r>
      <w:r>
        <w:t>、平</w:t>
      </w:r>
      <w:r>
        <w:t>B</w:t>
      </w:r>
      <w:r>
        <w:rPr>
          <w:rFonts w:hint="eastAsia"/>
          <w:vertAlign w:val="subscript"/>
        </w:rPr>
        <w:t>2</w:t>
      </w:r>
      <w:r>
        <w:rPr>
          <w:rFonts w:hint="eastAsia"/>
        </w:rPr>
        <w:t>类。</w:t>
      </w:r>
    </w:p>
    <w:p w:rsidR="00D9225E">
      <w:pPr>
        <w:pStyle w:val="LW6"/>
      </w:pPr>
      <w:r>
        <w:rPr>
          <w:rFonts w:hint="eastAsia"/>
        </w:rPr>
        <w:t>表</w:t>
      </w:r>
      <w:r>
        <w:rPr>
          <w:rFonts w:hint="eastAsia"/>
        </w:rPr>
        <w:t>7</w:t>
      </w:r>
      <w:r>
        <w:t xml:space="preserve">-1  </w:t>
      </w:r>
      <w:r>
        <w:rPr>
          <w:rFonts w:hint="eastAsia"/>
        </w:rPr>
        <w:t>平面交叉口布置一览表</w:t>
      </w:r>
    </w:p>
    <w:tbl>
      <w:tblPr>
        <w:tblStyle w:val="TableNormal"/>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Look w:val="04A0"/>
      </w:tblPr>
      <w:tblGrid>
        <w:gridCol w:w="1261"/>
        <w:gridCol w:w="1080"/>
        <w:gridCol w:w="1065"/>
        <w:gridCol w:w="5755"/>
        <w:gridCol w:w="477"/>
      </w:tblGrid>
      <w:tr>
        <w:tblPrEx>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Look w:val="04A0"/>
        </w:tblPrEx>
        <w:trPr>
          <w:trHeight w:val="360"/>
          <w:tblHeader/>
          <w:jc w:val="center"/>
        </w:trPr>
        <w:tc>
          <w:tcPr>
            <w:tcW w:w="0" w:type="auto"/>
            <w:shd w:val="clear" w:color="auto" w:fill="auto"/>
            <w:vAlign w:val="center"/>
          </w:tcPr>
          <w:p w:rsidR="00D9225E">
            <w:pPr>
              <w:pStyle w:val="LW15"/>
            </w:pPr>
            <w:r>
              <w:rPr>
                <w:rFonts w:hint="eastAsia"/>
              </w:rPr>
              <w:t>相交道路名称</w:t>
            </w:r>
          </w:p>
        </w:tc>
        <w:tc>
          <w:tcPr>
            <w:tcW w:w="0" w:type="auto"/>
            <w:shd w:val="clear" w:color="auto" w:fill="auto"/>
            <w:vAlign w:val="center"/>
          </w:tcPr>
          <w:p w:rsidR="00D9225E">
            <w:pPr>
              <w:pStyle w:val="LW15"/>
            </w:pPr>
            <w:r>
              <w:rPr>
                <w:rFonts w:hint="eastAsia"/>
              </w:rPr>
              <w:t>桩号</w:t>
            </w:r>
          </w:p>
        </w:tc>
        <w:tc>
          <w:tcPr>
            <w:tcW w:w="0" w:type="auto"/>
            <w:shd w:val="clear" w:color="auto" w:fill="auto"/>
            <w:vAlign w:val="center"/>
          </w:tcPr>
          <w:p w:rsidR="00D9225E">
            <w:pPr>
              <w:pStyle w:val="LW15"/>
            </w:pPr>
            <w:r>
              <w:rPr>
                <w:rFonts w:hint="eastAsia"/>
              </w:rPr>
              <w:t>交叉口类型</w:t>
            </w:r>
          </w:p>
        </w:tc>
        <w:tc>
          <w:tcPr>
            <w:tcW w:w="0" w:type="auto"/>
            <w:shd w:val="clear" w:color="auto" w:fill="auto"/>
            <w:vAlign w:val="center"/>
          </w:tcPr>
          <w:p w:rsidR="00D9225E">
            <w:pPr>
              <w:pStyle w:val="LW15"/>
            </w:pPr>
            <w:r>
              <w:rPr>
                <w:rFonts w:hint="eastAsia"/>
              </w:rPr>
              <w:t>相交道路情况</w:t>
            </w:r>
          </w:p>
        </w:tc>
        <w:tc>
          <w:tcPr>
            <w:tcW w:w="0" w:type="auto"/>
            <w:shd w:val="clear" w:color="auto" w:fill="auto"/>
            <w:vAlign w:val="center"/>
          </w:tcPr>
          <w:p w:rsidR="00D9225E">
            <w:pPr>
              <w:pStyle w:val="LW15"/>
            </w:pPr>
            <w:r>
              <w:rPr>
                <w:rFonts w:hint="eastAsia"/>
              </w:rPr>
              <w:t>备注</w:t>
            </w:r>
          </w:p>
        </w:tc>
      </w:tr>
      <w:tr>
        <w:tblPrEx>
          <w:tblW w:w="9638" w:type="dxa"/>
          <w:jc w:val="center"/>
          <w:tblCellMar>
            <w:left w:w="40" w:type="dxa"/>
            <w:right w:w="40" w:type="dxa"/>
          </w:tblCellMar>
          <w:tblLook w:val="04A0"/>
        </w:tblPrEx>
        <w:trPr>
          <w:trHeight w:val="360"/>
          <w:jc w:val="center"/>
        </w:trPr>
        <w:tc>
          <w:tcPr>
            <w:tcW w:w="0" w:type="auto"/>
            <w:shd w:val="clear" w:color="auto" w:fill="auto"/>
            <w:vAlign w:val="center"/>
          </w:tcPr>
          <w:p w:rsidR="00D9225E">
            <w:pPr>
              <w:pStyle w:val="LW13"/>
            </w:pPr>
            <w:r>
              <w:rPr>
                <w:rFonts w:hint="eastAsia"/>
              </w:rPr>
              <w:t>渝秀</w:t>
            </w:r>
            <w:r>
              <w:t>大道</w:t>
            </w:r>
          </w:p>
        </w:tc>
        <w:tc>
          <w:tcPr>
            <w:tcW w:w="0" w:type="auto"/>
            <w:shd w:val="clear" w:color="auto" w:fill="auto"/>
            <w:vAlign w:val="center"/>
          </w:tcPr>
          <w:p w:rsidR="00D9225E">
            <w:pPr>
              <w:pStyle w:val="LW13"/>
            </w:pPr>
            <w:r>
              <w:rPr>
                <w:rFonts w:hint="eastAsia"/>
              </w:rPr>
              <w:t>K0+000</w:t>
            </w:r>
          </w:p>
        </w:tc>
        <w:tc>
          <w:tcPr>
            <w:tcW w:w="0" w:type="auto"/>
            <w:shd w:val="clear" w:color="auto" w:fill="auto"/>
            <w:vAlign w:val="center"/>
          </w:tcPr>
          <w:p w:rsidR="00D9225E">
            <w:pPr>
              <w:pStyle w:val="LW13"/>
            </w:pPr>
            <w:r>
              <w:rPr>
                <w:rFonts w:hint="eastAsia"/>
              </w:rPr>
              <w:t>平</w:t>
            </w:r>
            <w:r>
              <w:rPr>
                <w:rFonts w:hint="eastAsia"/>
              </w:rPr>
              <w:t>A</w:t>
            </w:r>
            <w:r>
              <w:rPr>
                <w:vertAlign w:val="subscript"/>
              </w:rPr>
              <w:t>1</w:t>
            </w:r>
          </w:p>
        </w:tc>
        <w:tc>
          <w:tcPr>
            <w:tcW w:w="0" w:type="auto"/>
            <w:shd w:val="clear" w:color="auto" w:fill="auto"/>
            <w:vAlign w:val="center"/>
          </w:tcPr>
          <w:p w:rsidR="00D9225E">
            <w:pPr>
              <w:pStyle w:val="LW13"/>
            </w:pPr>
            <w:r>
              <w:rPr>
                <w:rFonts w:hint="eastAsia"/>
              </w:rPr>
              <w:t>与渝</w:t>
            </w:r>
            <w:r>
              <w:t>秀大道</w:t>
            </w:r>
            <w:r>
              <w:rPr>
                <w:rFonts w:hint="eastAsia"/>
              </w:rPr>
              <w:t>（城市主</w:t>
            </w:r>
            <w:r>
              <w:t>干路</w:t>
            </w:r>
            <w:r>
              <w:rPr>
                <w:rFonts w:hint="eastAsia"/>
              </w:rPr>
              <w:t>）</w:t>
            </w:r>
            <w:r>
              <w:t>、</w:t>
            </w:r>
            <w:r>
              <w:rPr>
                <w:rFonts w:hint="eastAsia"/>
              </w:rPr>
              <w:t>规划纵一路（城市主</w:t>
            </w:r>
            <w:r>
              <w:t>干路</w:t>
            </w:r>
            <w:r>
              <w:rPr>
                <w:rFonts w:hint="eastAsia"/>
              </w:rPr>
              <w:t>）十字交叉</w:t>
            </w:r>
          </w:p>
        </w:tc>
        <w:tc>
          <w:tcPr>
            <w:tcW w:w="0" w:type="auto"/>
            <w:shd w:val="clear" w:color="auto" w:fill="auto"/>
            <w:vAlign w:val="center"/>
          </w:tcPr>
          <w:p w:rsidR="00D9225E">
            <w:pPr>
              <w:pStyle w:val="LW13"/>
            </w:pPr>
          </w:p>
        </w:tc>
      </w:tr>
      <w:tr>
        <w:tblPrEx>
          <w:tblW w:w="9638" w:type="dxa"/>
          <w:jc w:val="center"/>
          <w:tblCellMar>
            <w:left w:w="40" w:type="dxa"/>
            <w:right w:w="40" w:type="dxa"/>
          </w:tblCellMar>
          <w:tblLook w:val="04A0"/>
        </w:tblPrEx>
        <w:trPr>
          <w:trHeight w:val="360"/>
          <w:jc w:val="center"/>
        </w:trPr>
        <w:tc>
          <w:tcPr>
            <w:tcW w:w="0" w:type="auto"/>
            <w:shd w:val="clear" w:color="auto" w:fill="auto"/>
            <w:vAlign w:val="center"/>
          </w:tcPr>
          <w:p w:rsidR="00D9225E">
            <w:pPr>
              <w:pStyle w:val="LW13"/>
            </w:pPr>
            <w:r>
              <w:rPr>
                <w:rFonts w:hint="eastAsia"/>
              </w:rPr>
              <w:t>规划道路</w:t>
            </w:r>
            <w:r>
              <w:t>一</w:t>
            </w:r>
          </w:p>
        </w:tc>
        <w:tc>
          <w:tcPr>
            <w:tcW w:w="0" w:type="auto"/>
            <w:shd w:val="clear" w:color="auto" w:fill="auto"/>
            <w:vAlign w:val="center"/>
          </w:tcPr>
          <w:p w:rsidR="00D9225E">
            <w:pPr>
              <w:pStyle w:val="LW13"/>
            </w:pPr>
            <w:r>
              <w:t>K0+</w:t>
            </w:r>
            <w:r>
              <w:rPr>
                <w:rFonts w:hint="eastAsia"/>
              </w:rPr>
              <w:t>184.837</w:t>
            </w:r>
          </w:p>
        </w:tc>
        <w:tc>
          <w:tcPr>
            <w:tcW w:w="0" w:type="auto"/>
            <w:shd w:val="clear" w:color="auto" w:fill="auto"/>
            <w:vAlign w:val="center"/>
          </w:tcPr>
          <w:p w:rsidR="00D9225E">
            <w:pPr>
              <w:pStyle w:val="LW13"/>
            </w:pPr>
            <w:r>
              <w:rPr>
                <w:rFonts w:hint="eastAsia"/>
              </w:rPr>
              <w:t>平</w:t>
            </w:r>
            <w:r>
              <w:rPr>
                <w:rFonts w:hint="eastAsia"/>
              </w:rPr>
              <w:t>B</w:t>
            </w:r>
            <w:r>
              <w:rPr>
                <w:rFonts w:hint="eastAsia"/>
                <w:vertAlign w:val="subscript"/>
              </w:rPr>
              <w:t>2</w:t>
            </w:r>
          </w:p>
        </w:tc>
        <w:tc>
          <w:tcPr>
            <w:tcW w:w="0" w:type="auto"/>
            <w:shd w:val="clear" w:color="auto" w:fill="auto"/>
            <w:vAlign w:val="center"/>
          </w:tcPr>
          <w:p w:rsidR="00D9225E">
            <w:pPr>
              <w:pStyle w:val="LW13"/>
            </w:pPr>
            <w:r>
              <w:rPr>
                <w:rFonts w:hint="eastAsia"/>
              </w:rPr>
              <w:t>与规划道路</w:t>
            </w:r>
            <w:r>
              <w:rPr>
                <w:rFonts w:hint="eastAsia"/>
              </w:rPr>
              <w:t>一</w:t>
            </w:r>
            <w:r>
              <w:rPr>
                <w:rFonts w:hint="eastAsia"/>
              </w:rPr>
              <w:t>（城市支路）十字交叉</w:t>
            </w:r>
          </w:p>
        </w:tc>
        <w:tc>
          <w:tcPr>
            <w:tcW w:w="0" w:type="auto"/>
            <w:shd w:val="clear" w:color="auto" w:fill="auto"/>
            <w:vAlign w:val="center"/>
          </w:tcPr>
          <w:p w:rsidR="00D9225E">
            <w:pPr>
              <w:pStyle w:val="LW13"/>
            </w:pPr>
          </w:p>
        </w:tc>
      </w:tr>
      <w:tr>
        <w:tblPrEx>
          <w:tblW w:w="9638" w:type="dxa"/>
          <w:jc w:val="center"/>
          <w:tblCellMar>
            <w:left w:w="40" w:type="dxa"/>
            <w:right w:w="40" w:type="dxa"/>
          </w:tblCellMar>
          <w:tblLook w:val="04A0"/>
        </w:tblPrEx>
        <w:trPr>
          <w:trHeight w:val="360"/>
          <w:jc w:val="center"/>
        </w:trPr>
        <w:tc>
          <w:tcPr>
            <w:tcW w:w="0" w:type="auto"/>
            <w:shd w:val="clear" w:color="auto" w:fill="auto"/>
            <w:vAlign w:val="center"/>
          </w:tcPr>
          <w:p w:rsidR="00D9225E">
            <w:pPr>
              <w:pStyle w:val="LW13"/>
            </w:pPr>
            <w:r>
              <w:rPr>
                <w:rFonts w:hint="eastAsia"/>
              </w:rPr>
              <w:t>规划道路二</w:t>
            </w:r>
          </w:p>
        </w:tc>
        <w:tc>
          <w:tcPr>
            <w:tcW w:w="0" w:type="auto"/>
            <w:shd w:val="clear" w:color="auto" w:fill="auto"/>
            <w:vAlign w:val="center"/>
          </w:tcPr>
          <w:p w:rsidR="00D9225E">
            <w:pPr>
              <w:pStyle w:val="LW13"/>
            </w:pPr>
            <w:r>
              <w:t>K0+</w:t>
            </w:r>
            <w:r>
              <w:rPr>
                <w:rFonts w:hint="eastAsia"/>
              </w:rPr>
              <w:t>370.404</w:t>
            </w:r>
          </w:p>
        </w:tc>
        <w:tc>
          <w:tcPr>
            <w:tcW w:w="0" w:type="auto"/>
            <w:shd w:val="clear" w:color="auto" w:fill="auto"/>
            <w:vAlign w:val="center"/>
          </w:tcPr>
          <w:p w:rsidR="00D9225E">
            <w:pPr>
              <w:pStyle w:val="LW13"/>
            </w:pPr>
            <w:r>
              <w:rPr>
                <w:rFonts w:hint="eastAsia"/>
              </w:rPr>
              <w:t>平</w:t>
            </w:r>
            <w:r>
              <w:rPr>
                <w:rFonts w:hint="eastAsia"/>
              </w:rPr>
              <w:t>A</w:t>
            </w:r>
            <w:r>
              <w:rPr>
                <w:vertAlign w:val="subscript"/>
              </w:rPr>
              <w:t>1</w:t>
            </w:r>
          </w:p>
        </w:tc>
        <w:tc>
          <w:tcPr>
            <w:tcW w:w="0" w:type="auto"/>
            <w:shd w:val="clear" w:color="auto" w:fill="auto"/>
            <w:vAlign w:val="center"/>
          </w:tcPr>
          <w:p w:rsidR="00D9225E">
            <w:pPr>
              <w:pStyle w:val="LW13"/>
            </w:pPr>
            <w:r>
              <w:rPr>
                <w:rFonts w:hint="eastAsia"/>
              </w:rPr>
              <w:t>与规划</w:t>
            </w:r>
            <w:r>
              <w:t>道路</w:t>
            </w:r>
            <w:r>
              <w:rPr>
                <w:rFonts w:hint="eastAsia"/>
              </w:rPr>
              <w:t>二（城市</w:t>
            </w:r>
            <w:r>
              <w:t>次干路</w:t>
            </w:r>
            <w:r>
              <w:rPr>
                <w:rFonts w:hint="eastAsia"/>
              </w:rPr>
              <w:t>）十字交叉</w:t>
            </w:r>
          </w:p>
        </w:tc>
        <w:tc>
          <w:tcPr>
            <w:tcW w:w="0" w:type="auto"/>
            <w:shd w:val="clear" w:color="auto" w:fill="auto"/>
            <w:vAlign w:val="center"/>
          </w:tcPr>
          <w:p w:rsidR="00D9225E">
            <w:pPr>
              <w:pStyle w:val="LW13"/>
            </w:pPr>
          </w:p>
        </w:tc>
      </w:tr>
      <w:tr>
        <w:tblPrEx>
          <w:tblW w:w="9638" w:type="dxa"/>
          <w:jc w:val="center"/>
          <w:tblCellMar>
            <w:left w:w="40" w:type="dxa"/>
            <w:right w:w="40" w:type="dxa"/>
          </w:tblCellMar>
          <w:tblLook w:val="04A0"/>
        </w:tblPrEx>
        <w:trPr>
          <w:trHeight w:val="360"/>
          <w:jc w:val="center"/>
        </w:trPr>
        <w:tc>
          <w:tcPr>
            <w:tcW w:w="0" w:type="auto"/>
            <w:tcBorders>
              <w:bottom w:val="single" w:sz="12" w:space="0" w:color="auto"/>
            </w:tcBorders>
            <w:shd w:val="clear" w:color="auto" w:fill="auto"/>
            <w:vAlign w:val="center"/>
          </w:tcPr>
          <w:p w:rsidR="00D9225E">
            <w:pPr>
              <w:pStyle w:val="LW13"/>
            </w:pPr>
            <w:r>
              <w:rPr>
                <w:rFonts w:hint="eastAsia"/>
              </w:rPr>
              <w:t>规划道路三</w:t>
            </w:r>
          </w:p>
        </w:tc>
        <w:tc>
          <w:tcPr>
            <w:tcW w:w="0" w:type="auto"/>
            <w:tcBorders>
              <w:bottom w:val="single" w:sz="12" w:space="0" w:color="auto"/>
            </w:tcBorders>
            <w:shd w:val="clear" w:color="auto" w:fill="auto"/>
            <w:vAlign w:val="center"/>
          </w:tcPr>
          <w:p w:rsidR="00D9225E">
            <w:pPr>
              <w:pStyle w:val="LW13"/>
            </w:pPr>
            <w:r>
              <w:t>K0+</w:t>
            </w:r>
            <w:r>
              <w:rPr>
                <w:rFonts w:hint="eastAsia"/>
              </w:rPr>
              <w:t>585.675</w:t>
            </w:r>
          </w:p>
        </w:tc>
        <w:tc>
          <w:tcPr>
            <w:tcW w:w="0" w:type="auto"/>
            <w:tcBorders>
              <w:bottom w:val="single" w:sz="12" w:space="0" w:color="auto"/>
            </w:tcBorders>
            <w:shd w:val="clear" w:color="auto" w:fill="auto"/>
            <w:vAlign w:val="center"/>
          </w:tcPr>
          <w:p w:rsidR="00D9225E">
            <w:pPr>
              <w:pStyle w:val="LW13"/>
            </w:pPr>
            <w:r>
              <w:rPr>
                <w:rFonts w:hint="eastAsia"/>
              </w:rPr>
              <w:t>平</w:t>
            </w:r>
            <w:r>
              <w:t>B</w:t>
            </w:r>
            <w:r>
              <w:rPr>
                <w:vertAlign w:val="subscript"/>
              </w:rPr>
              <w:t>2</w:t>
            </w:r>
          </w:p>
        </w:tc>
        <w:tc>
          <w:tcPr>
            <w:tcW w:w="0" w:type="auto"/>
            <w:tcBorders>
              <w:bottom w:val="single" w:sz="12" w:space="0" w:color="auto"/>
            </w:tcBorders>
            <w:shd w:val="clear" w:color="auto" w:fill="auto"/>
            <w:vAlign w:val="center"/>
          </w:tcPr>
          <w:p w:rsidR="00D9225E">
            <w:pPr>
              <w:pStyle w:val="LW13"/>
            </w:pPr>
            <w:r>
              <w:rPr>
                <w:rFonts w:hint="eastAsia"/>
              </w:rPr>
              <w:t>与规划道路</w:t>
            </w:r>
            <w:r>
              <w:t>三</w:t>
            </w:r>
            <w:r>
              <w:rPr>
                <w:rFonts w:hint="eastAsia"/>
              </w:rPr>
              <w:t>（城市支</w:t>
            </w:r>
            <w:r>
              <w:t>路</w:t>
            </w:r>
            <w:r>
              <w:rPr>
                <w:rFonts w:hint="eastAsia"/>
              </w:rPr>
              <w:t>）十字交叉</w:t>
            </w:r>
          </w:p>
        </w:tc>
        <w:tc>
          <w:tcPr>
            <w:tcW w:w="0" w:type="auto"/>
            <w:tcBorders>
              <w:bottom w:val="single" w:sz="12" w:space="0" w:color="auto"/>
            </w:tcBorders>
            <w:shd w:val="clear" w:color="auto" w:fill="auto"/>
            <w:vAlign w:val="center"/>
          </w:tcPr>
          <w:p w:rsidR="00D9225E">
            <w:pPr>
              <w:pStyle w:val="LW13"/>
            </w:pPr>
          </w:p>
        </w:tc>
      </w:tr>
      <w:tr>
        <w:tblPrEx>
          <w:tblW w:w="9638" w:type="dxa"/>
          <w:jc w:val="center"/>
          <w:tblCellMar>
            <w:left w:w="40" w:type="dxa"/>
            <w:right w:w="40" w:type="dxa"/>
          </w:tblCellMar>
          <w:tblLook w:val="04A0"/>
        </w:tblPrEx>
        <w:trPr>
          <w:trHeight w:val="360"/>
          <w:jc w:val="center"/>
        </w:trPr>
        <w:tc>
          <w:tcPr>
            <w:tcW w:w="0" w:type="auto"/>
            <w:tcBorders>
              <w:bottom w:val="single" w:sz="12" w:space="0" w:color="auto"/>
            </w:tcBorders>
            <w:shd w:val="clear" w:color="auto" w:fill="auto"/>
            <w:vAlign w:val="center"/>
          </w:tcPr>
          <w:p w:rsidR="00D9225E">
            <w:pPr>
              <w:pStyle w:val="LW13"/>
            </w:pPr>
            <w:r>
              <w:rPr>
                <w:rFonts w:hint="eastAsia"/>
              </w:rPr>
              <w:t>学府</w:t>
            </w:r>
            <w:r>
              <w:t>大道</w:t>
            </w:r>
          </w:p>
        </w:tc>
        <w:tc>
          <w:tcPr>
            <w:tcW w:w="0" w:type="auto"/>
            <w:tcBorders>
              <w:bottom w:val="single" w:sz="12" w:space="0" w:color="auto"/>
            </w:tcBorders>
            <w:shd w:val="clear" w:color="auto" w:fill="auto"/>
            <w:vAlign w:val="center"/>
          </w:tcPr>
          <w:p w:rsidR="00D9225E">
            <w:pPr>
              <w:pStyle w:val="LW13"/>
            </w:pPr>
            <w:r>
              <w:t>K0+</w:t>
            </w:r>
            <w:r>
              <w:rPr>
                <w:rFonts w:hint="eastAsia"/>
              </w:rPr>
              <w:t>807.847</w:t>
            </w:r>
          </w:p>
        </w:tc>
        <w:tc>
          <w:tcPr>
            <w:tcW w:w="0" w:type="auto"/>
            <w:tcBorders>
              <w:bottom w:val="single" w:sz="12" w:space="0" w:color="auto"/>
            </w:tcBorders>
            <w:shd w:val="clear" w:color="auto" w:fill="auto"/>
            <w:vAlign w:val="center"/>
          </w:tcPr>
          <w:p w:rsidR="00D9225E">
            <w:pPr>
              <w:pStyle w:val="LW13"/>
            </w:pPr>
            <w:r>
              <w:rPr>
                <w:rFonts w:hint="eastAsia"/>
              </w:rPr>
              <w:t>平</w:t>
            </w:r>
            <w:r>
              <w:rPr>
                <w:rFonts w:hint="eastAsia"/>
              </w:rPr>
              <w:t>A</w:t>
            </w:r>
            <w:r>
              <w:rPr>
                <w:vertAlign w:val="subscript"/>
              </w:rPr>
              <w:t>1</w:t>
            </w:r>
          </w:p>
        </w:tc>
        <w:tc>
          <w:tcPr>
            <w:tcW w:w="0" w:type="auto"/>
            <w:tcBorders>
              <w:bottom w:val="single" w:sz="12" w:space="0" w:color="auto"/>
            </w:tcBorders>
            <w:shd w:val="clear" w:color="auto" w:fill="auto"/>
            <w:vAlign w:val="center"/>
          </w:tcPr>
          <w:p w:rsidR="00D9225E">
            <w:pPr>
              <w:pStyle w:val="LW13"/>
            </w:pPr>
            <w:r>
              <w:rPr>
                <w:rFonts w:hint="eastAsia"/>
              </w:rPr>
              <w:t>与</w:t>
            </w:r>
            <w:r>
              <w:rPr>
                <w:rFonts w:hint="eastAsia"/>
              </w:rPr>
              <w:t>现状学府</w:t>
            </w:r>
            <w:r>
              <w:t>大道</w:t>
            </w:r>
            <w:r>
              <w:rPr>
                <w:rFonts w:hint="eastAsia"/>
              </w:rPr>
              <w:t>（城市主</w:t>
            </w:r>
            <w:r>
              <w:t>干路</w:t>
            </w:r>
            <w:r>
              <w:rPr>
                <w:rFonts w:hint="eastAsia"/>
              </w:rPr>
              <w:t>）</w:t>
            </w:r>
            <w:r>
              <w:rPr>
                <w:rFonts w:hint="eastAsia"/>
              </w:rPr>
              <w:t>T</w:t>
            </w:r>
            <w:r>
              <w:rPr>
                <w:rFonts w:hint="eastAsia"/>
              </w:rPr>
              <w:t>字交叉</w:t>
            </w:r>
          </w:p>
        </w:tc>
        <w:tc>
          <w:tcPr>
            <w:tcW w:w="0" w:type="auto"/>
            <w:tcBorders>
              <w:bottom w:val="single" w:sz="12" w:space="0" w:color="auto"/>
            </w:tcBorders>
            <w:shd w:val="clear" w:color="auto" w:fill="auto"/>
            <w:vAlign w:val="center"/>
          </w:tcPr>
          <w:p w:rsidR="00D9225E">
            <w:pPr>
              <w:pStyle w:val="LW13"/>
            </w:pPr>
          </w:p>
        </w:tc>
      </w:tr>
      <w:tr>
        <w:tblPrEx>
          <w:tblW w:w="9638" w:type="dxa"/>
          <w:jc w:val="center"/>
          <w:tblCellMar>
            <w:left w:w="40" w:type="dxa"/>
            <w:right w:w="40" w:type="dxa"/>
          </w:tblCellMar>
          <w:tblLook w:val="04A0"/>
        </w:tblPrEx>
        <w:trPr>
          <w:trHeight w:val="360"/>
          <w:jc w:val="center"/>
        </w:trPr>
        <w:tc>
          <w:tcPr>
            <w:tcW w:w="0" w:type="auto"/>
            <w:gridSpan w:val="5"/>
            <w:tcBorders>
              <w:top w:val="single" w:sz="12" w:space="0" w:color="auto"/>
              <w:left w:val="nil"/>
              <w:bottom w:val="nil"/>
              <w:right w:val="nil"/>
            </w:tcBorders>
            <w:shd w:val="clear" w:color="auto" w:fill="auto"/>
            <w:vAlign w:val="center"/>
          </w:tcPr>
          <w:p w:rsidR="00D9225E">
            <w:pPr>
              <w:pStyle w:val="LW19"/>
            </w:pPr>
            <w:r>
              <w:rPr>
                <w:rFonts w:hint="eastAsia"/>
              </w:rPr>
              <w:t>注：①平</w:t>
            </w:r>
            <w:r>
              <w:t>A1</w:t>
            </w:r>
            <w:r>
              <w:t>类</w:t>
            </w:r>
            <w:r>
              <w:t>—</w:t>
            </w:r>
            <w:r>
              <w:t>交通信号控制，进口道展宽交叉口；</w:t>
            </w:r>
            <w:r>
              <w:rPr>
                <w:rFonts w:hint="eastAsia"/>
              </w:rPr>
              <w:t>②</w:t>
            </w:r>
            <w:r>
              <w:t>平</w:t>
            </w:r>
            <w:r>
              <w:t>B2</w:t>
            </w:r>
            <w:r>
              <w:t>类</w:t>
            </w:r>
            <w:r>
              <w:t>—</w:t>
            </w:r>
            <w:r>
              <w:t>无交通信号控制，减速让行或停车让行标志</w:t>
            </w:r>
            <w:r>
              <w:rPr>
                <w:rFonts w:hint="eastAsia"/>
              </w:rPr>
              <w:t>。</w:t>
            </w:r>
          </w:p>
        </w:tc>
      </w:tr>
    </w:tbl>
    <w:p w:rsidR="00D9225E">
      <w:pPr>
        <w:pStyle w:val="LW"/>
        <w:ind w:firstLine="520"/>
      </w:pPr>
      <w:r>
        <w:rPr>
          <w:rFonts w:hint="eastAsia"/>
        </w:rPr>
        <w:t>本次平交口设计时确保交叉口范围内纵坡小于</w:t>
      </w:r>
      <w:r>
        <w:rPr>
          <w:rFonts w:hint="eastAsia"/>
        </w:rPr>
        <w:t>3%</w:t>
      </w:r>
      <w:r>
        <w:rPr>
          <w:rFonts w:hint="eastAsia"/>
        </w:rPr>
        <w:t>。确保道路与相交道路在高程上平顺衔接，并做好交叉口排水，防止雨天积水。</w:t>
      </w:r>
    </w:p>
    <w:p w:rsidR="00D9225E">
      <w:pPr>
        <w:pStyle w:val="LW"/>
        <w:ind w:firstLine="520"/>
      </w:pPr>
      <w:r>
        <w:rPr>
          <w:rFonts w:hint="eastAsia"/>
        </w:rPr>
        <w:t>本次平交口对本项目道路进行渠化设计，具体渠化路段及方式详见平面图及下表。</w:t>
      </w:r>
    </w:p>
    <w:p w:rsidR="00D9225E">
      <w:pPr>
        <w:pStyle w:val="LW6"/>
      </w:pPr>
      <w:r>
        <w:rPr>
          <w:rFonts w:hint="eastAsia"/>
        </w:rPr>
        <w:t>表</w:t>
      </w:r>
      <w:r>
        <w:rPr>
          <w:rFonts w:hint="eastAsia"/>
        </w:rPr>
        <w:t>7</w:t>
      </w:r>
      <w:r>
        <w:t>-</w:t>
      </w:r>
      <w:r>
        <w:rPr>
          <w:rFonts w:hint="eastAsia"/>
        </w:rPr>
        <w:t>2</w:t>
      </w:r>
      <w:r>
        <w:t xml:space="preserve">  </w:t>
      </w:r>
      <w:r>
        <w:rPr>
          <w:rFonts w:hint="eastAsia"/>
        </w:rPr>
        <w:t>平面交叉口</w:t>
      </w:r>
      <w:r>
        <w:rPr>
          <w:rFonts w:hint="eastAsia"/>
        </w:rPr>
        <w:t>渠化设计一</w:t>
      </w:r>
      <w:r>
        <w:rPr>
          <w:rFonts w:hint="eastAsia"/>
        </w:rPr>
        <w:t>览表</w:t>
      </w:r>
    </w:p>
    <w:tbl>
      <w:tblPr>
        <w:tblStyle w:val="TableNormal"/>
        <w:tblW w:w="9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4A0"/>
      </w:tblPr>
      <w:tblGrid>
        <w:gridCol w:w="837"/>
        <w:gridCol w:w="962"/>
        <w:gridCol w:w="976"/>
        <w:gridCol w:w="1143"/>
        <w:gridCol w:w="1546"/>
        <w:gridCol w:w="1810"/>
        <w:gridCol w:w="1928"/>
        <w:gridCol w:w="512"/>
      </w:tblGrid>
      <w:tr>
        <w:tblPrEx>
          <w:tblW w:w="9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4A0"/>
        </w:tblPrEx>
        <w:trPr>
          <w:trHeight w:val="360"/>
          <w:tblHeader/>
          <w:jc w:val="center"/>
        </w:trPr>
        <w:tc>
          <w:tcPr>
            <w:tcW w:w="837" w:type="dxa"/>
            <w:shd w:val="clear" w:color="auto" w:fill="auto"/>
            <w:vAlign w:val="center"/>
          </w:tcPr>
          <w:p w:rsidR="00D9225E">
            <w:pPr>
              <w:pStyle w:val="LW15"/>
              <w:rPr>
                <w:rFonts w:cs="宋体"/>
              </w:rPr>
            </w:pPr>
            <w:r>
              <w:rPr>
                <w:rFonts w:cs="宋体" w:hint="eastAsia"/>
              </w:rPr>
              <w:t>相交道路名称</w:t>
            </w:r>
          </w:p>
        </w:tc>
        <w:tc>
          <w:tcPr>
            <w:tcW w:w="962" w:type="dxa"/>
            <w:shd w:val="clear" w:color="auto" w:fill="auto"/>
            <w:vAlign w:val="center"/>
          </w:tcPr>
          <w:p w:rsidR="00D9225E">
            <w:pPr>
              <w:pStyle w:val="LW15"/>
              <w:rPr>
                <w:rFonts w:cs="宋体"/>
              </w:rPr>
            </w:pPr>
            <w:r>
              <w:rPr>
                <w:rFonts w:cs="宋体" w:hint="eastAsia"/>
              </w:rPr>
              <w:t>桩号</w:t>
            </w:r>
          </w:p>
        </w:tc>
        <w:tc>
          <w:tcPr>
            <w:tcW w:w="976" w:type="dxa"/>
            <w:shd w:val="clear" w:color="auto" w:fill="auto"/>
            <w:vAlign w:val="center"/>
          </w:tcPr>
          <w:p w:rsidR="00D9225E">
            <w:pPr>
              <w:pStyle w:val="LW15"/>
              <w:rPr>
                <w:rFonts w:cs="宋体"/>
              </w:rPr>
            </w:pPr>
            <w:r>
              <w:rPr>
                <w:rFonts w:cs="宋体" w:hint="eastAsia"/>
              </w:rPr>
              <w:t>交叉口类型</w:t>
            </w:r>
          </w:p>
        </w:tc>
        <w:tc>
          <w:tcPr>
            <w:tcW w:w="1143" w:type="dxa"/>
            <w:shd w:val="clear" w:color="auto" w:fill="auto"/>
            <w:vAlign w:val="center"/>
          </w:tcPr>
          <w:p w:rsidR="00D9225E">
            <w:pPr>
              <w:pStyle w:val="LW15"/>
              <w:rPr>
                <w:rFonts w:cs="宋体"/>
              </w:rPr>
            </w:pPr>
            <w:r>
              <w:rPr>
                <w:rFonts w:cs="宋体" w:hint="eastAsia"/>
                <w:szCs w:val="21"/>
              </w:rPr>
              <w:t>本项目</w:t>
            </w:r>
            <w:r>
              <w:rPr>
                <w:rFonts w:cs="宋体" w:hint="eastAsia"/>
                <w:szCs w:val="21"/>
              </w:rPr>
              <w:t>渠化展宽段</w:t>
            </w:r>
            <w:r>
              <w:rPr>
                <w:rFonts w:cs="宋体" w:hint="eastAsia"/>
                <w:szCs w:val="21"/>
              </w:rPr>
              <w:t>长度</w:t>
            </w:r>
          </w:p>
        </w:tc>
        <w:tc>
          <w:tcPr>
            <w:tcW w:w="1546" w:type="dxa"/>
            <w:shd w:val="clear" w:color="auto" w:fill="auto"/>
            <w:vAlign w:val="center"/>
          </w:tcPr>
          <w:p w:rsidR="00D9225E">
            <w:pPr>
              <w:pStyle w:val="LW15"/>
              <w:rPr>
                <w:rFonts w:cs="宋体"/>
              </w:rPr>
            </w:pPr>
            <w:r>
              <w:rPr>
                <w:rFonts w:cs="宋体" w:hint="eastAsia"/>
                <w:szCs w:val="21"/>
              </w:rPr>
              <w:t>本项目</w:t>
            </w:r>
            <w:r>
              <w:rPr>
                <w:rFonts w:cs="宋体" w:hint="eastAsia"/>
                <w:szCs w:val="21"/>
              </w:rPr>
              <w:t>渠化展宽段</w:t>
            </w:r>
            <w:r>
              <w:rPr>
                <w:rFonts w:cs="宋体" w:hint="eastAsia"/>
                <w:szCs w:val="21"/>
              </w:rPr>
              <w:t>宽度</w:t>
            </w:r>
          </w:p>
        </w:tc>
        <w:tc>
          <w:tcPr>
            <w:tcW w:w="1810" w:type="dxa"/>
            <w:shd w:val="clear" w:color="auto" w:fill="auto"/>
            <w:vAlign w:val="center"/>
          </w:tcPr>
          <w:p w:rsidR="00D9225E">
            <w:pPr>
              <w:pStyle w:val="LW15"/>
              <w:rPr>
                <w:rFonts w:cs="宋体"/>
                <w:szCs w:val="21"/>
              </w:rPr>
            </w:pPr>
            <w:r>
              <w:rPr>
                <w:rFonts w:cs="宋体" w:hint="eastAsia"/>
                <w:szCs w:val="21"/>
              </w:rPr>
              <w:t>本项目渐变段长度</w:t>
            </w:r>
          </w:p>
        </w:tc>
        <w:tc>
          <w:tcPr>
            <w:tcW w:w="1928" w:type="dxa"/>
            <w:shd w:val="clear" w:color="auto" w:fill="auto"/>
            <w:vAlign w:val="center"/>
          </w:tcPr>
          <w:p w:rsidR="00D9225E">
            <w:pPr>
              <w:pStyle w:val="LW15"/>
              <w:rPr>
                <w:rFonts w:cs="宋体"/>
              </w:rPr>
            </w:pPr>
            <w:r>
              <w:rPr>
                <w:rFonts w:cs="宋体" w:hint="eastAsia"/>
                <w:szCs w:val="21"/>
              </w:rPr>
              <w:t>本项目渠化</w:t>
            </w:r>
            <w:r>
              <w:rPr>
                <w:rFonts w:cs="宋体" w:hint="eastAsia"/>
              </w:rPr>
              <w:t>渐变方式</w:t>
            </w:r>
          </w:p>
        </w:tc>
        <w:tc>
          <w:tcPr>
            <w:tcW w:w="512" w:type="dxa"/>
            <w:shd w:val="clear" w:color="auto" w:fill="auto"/>
            <w:vAlign w:val="center"/>
          </w:tcPr>
          <w:p w:rsidR="00D9225E">
            <w:pPr>
              <w:pStyle w:val="LW15"/>
              <w:rPr>
                <w:rFonts w:cs="宋体"/>
              </w:rPr>
            </w:pPr>
            <w:r>
              <w:rPr>
                <w:rFonts w:cs="宋体" w:hint="eastAsia"/>
              </w:rPr>
              <w:t>备注</w:t>
            </w:r>
          </w:p>
        </w:tc>
      </w:tr>
      <w:tr>
        <w:tblPrEx>
          <w:tblW w:w="9714" w:type="dxa"/>
          <w:jc w:val="center"/>
          <w:tblLayout w:type="fixed"/>
          <w:tblCellMar>
            <w:left w:w="40" w:type="dxa"/>
            <w:right w:w="40" w:type="dxa"/>
          </w:tblCellMar>
          <w:tblLook w:val="04A0"/>
        </w:tblPrEx>
        <w:trPr>
          <w:trHeight w:val="360"/>
          <w:jc w:val="center"/>
        </w:trPr>
        <w:tc>
          <w:tcPr>
            <w:tcW w:w="837" w:type="dxa"/>
            <w:shd w:val="clear" w:color="auto" w:fill="auto"/>
            <w:vAlign w:val="center"/>
          </w:tcPr>
          <w:p w:rsidR="00D9225E">
            <w:pPr>
              <w:pStyle w:val="LW13"/>
              <w:rPr>
                <w:rFonts w:cs="宋体"/>
              </w:rPr>
            </w:pPr>
            <w:r>
              <w:rPr>
                <w:rFonts w:cs="宋体" w:hint="eastAsia"/>
              </w:rPr>
              <w:t>渝秀大道</w:t>
            </w:r>
          </w:p>
        </w:tc>
        <w:tc>
          <w:tcPr>
            <w:tcW w:w="962" w:type="dxa"/>
            <w:shd w:val="clear" w:color="auto" w:fill="auto"/>
            <w:vAlign w:val="center"/>
          </w:tcPr>
          <w:p w:rsidR="00D9225E">
            <w:pPr>
              <w:pStyle w:val="LW13"/>
              <w:rPr>
                <w:rFonts w:cs="宋体"/>
              </w:rPr>
            </w:pPr>
            <w:r>
              <w:rPr>
                <w:rFonts w:cs="宋体" w:hint="eastAsia"/>
              </w:rPr>
              <w:t>K0+000</w:t>
            </w:r>
          </w:p>
        </w:tc>
        <w:tc>
          <w:tcPr>
            <w:tcW w:w="976" w:type="dxa"/>
            <w:shd w:val="clear" w:color="auto" w:fill="auto"/>
            <w:vAlign w:val="center"/>
          </w:tcPr>
          <w:p w:rsidR="00D9225E">
            <w:pPr>
              <w:pStyle w:val="LW13"/>
              <w:rPr>
                <w:rFonts w:cs="宋体"/>
              </w:rPr>
            </w:pPr>
            <w:r>
              <w:rPr>
                <w:rFonts w:cs="宋体" w:hint="eastAsia"/>
              </w:rPr>
              <w:t>平</w:t>
            </w:r>
            <w:r>
              <w:rPr>
                <w:rFonts w:cs="宋体" w:hint="eastAsia"/>
              </w:rPr>
              <w:t>A</w:t>
            </w:r>
            <w:r>
              <w:rPr>
                <w:rFonts w:cs="宋体" w:hint="eastAsia"/>
                <w:vertAlign w:val="subscript"/>
              </w:rPr>
              <w:t>1</w:t>
            </w:r>
          </w:p>
        </w:tc>
        <w:tc>
          <w:tcPr>
            <w:tcW w:w="1143" w:type="dxa"/>
            <w:shd w:val="clear" w:color="auto" w:fill="auto"/>
            <w:vAlign w:val="center"/>
          </w:tcPr>
          <w:p w:rsidR="00D9225E">
            <w:pPr>
              <w:pStyle w:val="LW13"/>
              <w:rPr>
                <w:rFonts w:cs="宋体"/>
              </w:rPr>
            </w:pPr>
            <w:r>
              <w:rPr>
                <w:rFonts w:cs="宋体" w:hint="eastAsia"/>
              </w:rPr>
              <w:t>50m</w:t>
            </w:r>
          </w:p>
        </w:tc>
        <w:tc>
          <w:tcPr>
            <w:tcW w:w="1546" w:type="dxa"/>
            <w:shd w:val="clear" w:color="auto" w:fill="auto"/>
            <w:vAlign w:val="center"/>
          </w:tcPr>
          <w:p w:rsidR="00D9225E">
            <w:pPr>
              <w:pStyle w:val="LW13"/>
              <w:rPr>
                <w:rFonts w:cs="宋体"/>
              </w:rPr>
            </w:pPr>
            <w:r>
              <w:rPr>
                <w:rFonts w:cs="宋体" w:hint="eastAsia"/>
              </w:rPr>
              <w:t>7m</w:t>
            </w:r>
            <w:r>
              <w:rPr>
                <w:rFonts w:cs="宋体" w:hint="eastAsia"/>
              </w:rPr>
              <w:t>（进口道）</w:t>
            </w:r>
            <w:r>
              <w:rPr>
                <w:rFonts w:cs="宋体" w:hint="eastAsia"/>
              </w:rPr>
              <w:t>/3.5m</w:t>
            </w:r>
            <w:r>
              <w:rPr>
                <w:rFonts w:cs="宋体" w:hint="eastAsia"/>
              </w:rPr>
              <w:t>（出口道）</w:t>
            </w:r>
          </w:p>
        </w:tc>
        <w:tc>
          <w:tcPr>
            <w:tcW w:w="1810" w:type="dxa"/>
            <w:shd w:val="clear" w:color="auto" w:fill="auto"/>
            <w:vAlign w:val="center"/>
          </w:tcPr>
          <w:p w:rsidR="00D9225E">
            <w:pPr>
              <w:pStyle w:val="LW13"/>
              <w:rPr>
                <w:rFonts w:cs="宋体"/>
              </w:rPr>
            </w:pPr>
            <w:r>
              <w:rPr>
                <w:rFonts w:cs="宋体" w:hint="eastAsia"/>
              </w:rPr>
              <w:t>-</w:t>
            </w:r>
          </w:p>
        </w:tc>
        <w:tc>
          <w:tcPr>
            <w:tcW w:w="1928" w:type="dxa"/>
            <w:shd w:val="clear" w:color="auto" w:fill="auto"/>
            <w:vAlign w:val="center"/>
          </w:tcPr>
          <w:p w:rsidR="00D9225E">
            <w:pPr>
              <w:pStyle w:val="LW13"/>
              <w:rPr>
                <w:rFonts w:cs="宋体"/>
              </w:rPr>
            </w:pPr>
            <w:r>
              <w:rPr>
                <w:rFonts w:cs="宋体" w:hint="eastAsia"/>
              </w:rPr>
              <w:t>一体式拓宽</w:t>
            </w:r>
          </w:p>
        </w:tc>
        <w:tc>
          <w:tcPr>
            <w:tcW w:w="512" w:type="dxa"/>
            <w:shd w:val="clear" w:color="auto" w:fill="auto"/>
            <w:vAlign w:val="center"/>
          </w:tcPr>
          <w:p w:rsidR="00D9225E">
            <w:pPr>
              <w:pStyle w:val="LW13"/>
              <w:rPr>
                <w:rFonts w:cs="宋体"/>
              </w:rPr>
            </w:pPr>
          </w:p>
        </w:tc>
      </w:tr>
      <w:tr>
        <w:tblPrEx>
          <w:tblW w:w="9714" w:type="dxa"/>
          <w:jc w:val="center"/>
          <w:tblLayout w:type="fixed"/>
          <w:tblCellMar>
            <w:left w:w="40" w:type="dxa"/>
            <w:right w:w="40" w:type="dxa"/>
          </w:tblCellMar>
          <w:tblLook w:val="04A0"/>
        </w:tblPrEx>
        <w:trPr>
          <w:trHeight w:val="360"/>
          <w:jc w:val="center"/>
        </w:trPr>
        <w:tc>
          <w:tcPr>
            <w:tcW w:w="837" w:type="dxa"/>
            <w:shd w:val="clear" w:color="auto" w:fill="auto"/>
            <w:vAlign w:val="center"/>
          </w:tcPr>
          <w:p w:rsidR="00D9225E">
            <w:pPr>
              <w:pStyle w:val="LW13"/>
              <w:rPr>
                <w:rFonts w:cs="宋体"/>
              </w:rPr>
            </w:pPr>
            <w:r>
              <w:rPr>
                <w:rFonts w:cs="宋体" w:hint="eastAsia"/>
              </w:rPr>
              <w:t>规划道路一</w:t>
            </w:r>
          </w:p>
        </w:tc>
        <w:tc>
          <w:tcPr>
            <w:tcW w:w="962" w:type="dxa"/>
            <w:shd w:val="clear" w:color="auto" w:fill="auto"/>
            <w:vAlign w:val="center"/>
          </w:tcPr>
          <w:p w:rsidR="00D9225E">
            <w:pPr>
              <w:pStyle w:val="LW13"/>
              <w:rPr>
                <w:rFonts w:cs="宋体"/>
              </w:rPr>
            </w:pPr>
            <w:r>
              <w:rPr>
                <w:rFonts w:cs="宋体" w:hint="eastAsia"/>
              </w:rPr>
              <w:t>K0+184.837</w:t>
            </w:r>
          </w:p>
        </w:tc>
        <w:tc>
          <w:tcPr>
            <w:tcW w:w="976" w:type="dxa"/>
            <w:shd w:val="clear" w:color="auto" w:fill="auto"/>
            <w:vAlign w:val="center"/>
          </w:tcPr>
          <w:p w:rsidR="00D9225E">
            <w:pPr>
              <w:pStyle w:val="LW13"/>
              <w:rPr>
                <w:rFonts w:cs="宋体"/>
              </w:rPr>
            </w:pPr>
            <w:r>
              <w:rPr>
                <w:rFonts w:cs="宋体" w:hint="eastAsia"/>
              </w:rPr>
              <w:t>平</w:t>
            </w:r>
            <w:r>
              <w:rPr>
                <w:rFonts w:cs="宋体" w:hint="eastAsia"/>
              </w:rPr>
              <w:t>B</w:t>
            </w:r>
            <w:r>
              <w:rPr>
                <w:rFonts w:cs="宋体" w:hint="eastAsia"/>
                <w:vertAlign w:val="subscript"/>
              </w:rPr>
              <w:t>2</w:t>
            </w:r>
          </w:p>
        </w:tc>
        <w:tc>
          <w:tcPr>
            <w:tcW w:w="1143" w:type="dxa"/>
            <w:shd w:val="clear" w:color="auto" w:fill="auto"/>
            <w:vAlign w:val="center"/>
          </w:tcPr>
          <w:p w:rsidR="00D9225E">
            <w:pPr>
              <w:pStyle w:val="LW13"/>
              <w:rPr>
                <w:rFonts w:cs="宋体"/>
              </w:rPr>
            </w:pPr>
            <w:r>
              <w:rPr>
                <w:rFonts w:cs="宋体" w:hint="eastAsia"/>
              </w:rPr>
              <w:t>-</w:t>
            </w:r>
          </w:p>
        </w:tc>
        <w:tc>
          <w:tcPr>
            <w:tcW w:w="1546" w:type="dxa"/>
            <w:shd w:val="clear" w:color="auto" w:fill="auto"/>
            <w:vAlign w:val="center"/>
          </w:tcPr>
          <w:p w:rsidR="00D9225E">
            <w:pPr>
              <w:pStyle w:val="LW13"/>
              <w:rPr>
                <w:rFonts w:cs="宋体"/>
              </w:rPr>
            </w:pPr>
            <w:r>
              <w:rPr>
                <w:rFonts w:cs="宋体" w:hint="eastAsia"/>
              </w:rPr>
              <w:t>-</w:t>
            </w:r>
          </w:p>
        </w:tc>
        <w:tc>
          <w:tcPr>
            <w:tcW w:w="1810" w:type="dxa"/>
            <w:shd w:val="clear" w:color="auto" w:fill="auto"/>
            <w:vAlign w:val="center"/>
          </w:tcPr>
          <w:p w:rsidR="00D9225E">
            <w:pPr>
              <w:pStyle w:val="LW13"/>
              <w:rPr>
                <w:rFonts w:cs="宋体"/>
              </w:rPr>
            </w:pPr>
            <w:r>
              <w:rPr>
                <w:rFonts w:cs="宋体" w:hint="eastAsia"/>
              </w:rPr>
              <w:t>-</w:t>
            </w:r>
          </w:p>
        </w:tc>
        <w:tc>
          <w:tcPr>
            <w:tcW w:w="1928" w:type="dxa"/>
            <w:shd w:val="clear" w:color="auto" w:fill="auto"/>
            <w:vAlign w:val="center"/>
          </w:tcPr>
          <w:p w:rsidR="00D9225E">
            <w:pPr>
              <w:pStyle w:val="LW13"/>
              <w:rPr>
                <w:rFonts w:cs="宋体"/>
              </w:rPr>
            </w:pPr>
            <w:r>
              <w:rPr>
                <w:rFonts w:cs="宋体" w:hint="eastAsia"/>
              </w:rPr>
              <w:t>-</w:t>
            </w:r>
          </w:p>
        </w:tc>
        <w:tc>
          <w:tcPr>
            <w:tcW w:w="512" w:type="dxa"/>
            <w:shd w:val="clear" w:color="auto" w:fill="auto"/>
            <w:vAlign w:val="center"/>
          </w:tcPr>
          <w:p w:rsidR="00D9225E">
            <w:pPr>
              <w:pStyle w:val="LW13"/>
              <w:rPr>
                <w:rFonts w:cs="宋体"/>
              </w:rPr>
            </w:pPr>
          </w:p>
        </w:tc>
      </w:tr>
      <w:tr>
        <w:tblPrEx>
          <w:tblW w:w="9714" w:type="dxa"/>
          <w:jc w:val="center"/>
          <w:tblLayout w:type="fixed"/>
          <w:tblCellMar>
            <w:left w:w="40" w:type="dxa"/>
            <w:right w:w="40" w:type="dxa"/>
          </w:tblCellMar>
          <w:tblLook w:val="04A0"/>
        </w:tblPrEx>
        <w:trPr>
          <w:trHeight w:val="360"/>
          <w:jc w:val="center"/>
        </w:trPr>
        <w:tc>
          <w:tcPr>
            <w:tcW w:w="837" w:type="dxa"/>
            <w:shd w:val="clear" w:color="auto" w:fill="auto"/>
            <w:vAlign w:val="center"/>
          </w:tcPr>
          <w:p w:rsidR="00D9225E">
            <w:pPr>
              <w:pStyle w:val="LW13"/>
              <w:rPr>
                <w:rFonts w:cs="宋体"/>
              </w:rPr>
            </w:pPr>
            <w:r>
              <w:rPr>
                <w:rFonts w:cs="宋体" w:hint="eastAsia"/>
              </w:rPr>
              <w:t>规划道路二</w:t>
            </w:r>
          </w:p>
        </w:tc>
        <w:tc>
          <w:tcPr>
            <w:tcW w:w="962" w:type="dxa"/>
            <w:shd w:val="clear" w:color="auto" w:fill="auto"/>
            <w:vAlign w:val="center"/>
          </w:tcPr>
          <w:p w:rsidR="00D9225E">
            <w:pPr>
              <w:pStyle w:val="LW13"/>
              <w:rPr>
                <w:rFonts w:cs="宋体"/>
              </w:rPr>
            </w:pPr>
            <w:r>
              <w:rPr>
                <w:rFonts w:cs="宋体" w:hint="eastAsia"/>
              </w:rPr>
              <w:t>K0+370.404</w:t>
            </w:r>
          </w:p>
        </w:tc>
        <w:tc>
          <w:tcPr>
            <w:tcW w:w="976" w:type="dxa"/>
            <w:shd w:val="clear" w:color="auto" w:fill="auto"/>
            <w:vAlign w:val="center"/>
          </w:tcPr>
          <w:p w:rsidR="00D9225E">
            <w:pPr>
              <w:pStyle w:val="LW13"/>
              <w:rPr>
                <w:rFonts w:cs="宋体"/>
              </w:rPr>
            </w:pPr>
            <w:r>
              <w:rPr>
                <w:rFonts w:cs="宋体" w:hint="eastAsia"/>
              </w:rPr>
              <w:t>平</w:t>
            </w:r>
            <w:r>
              <w:rPr>
                <w:rFonts w:cs="宋体" w:hint="eastAsia"/>
              </w:rPr>
              <w:t>A</w:t>
            </w:r>
            <w:r>
              <w:rPr>
                <w:rFonts w:cs="宋体" w:hint="eastAsia"/>
                <w:vertAlign w:val="subscript"/>
              </w:rPr>
              <w:t>1</w:t>
            </w:r>
          </w:p>
        </w:tc>
        <w:tc>
          <w:tcPr>
            <w:tcW w:w="1143" w:type="dxa"/>
            <w:shd w:val="clear" w:color="auto" w:fill="auto"/>
            <w:vAlign w:val="center"/>
          </w:tcPr>
          <w:p w:rsidR="00D9225E">
            <w:pPr>
              <w:pStyle w:val="LW13"/>
              <w:rPr>
                <w:rFonts w:cs="宋体"/>
              </w:rPr>
            </w:pPr>
            <w:r>
              <w:rPr>
                <w:rFonts w:cs="宋体" w:hint="eastAsia"/>
              </w:rPr>
              <w:t>50m</w:t>
            </w:r>
          </w:p>
        </w:tc>
        <w:tc>
          <w:tcPr>
            <w:tcW w:w="1546" w:type="dxa"/>
            <w:shd w:val="clear" w:color="auto" w:fill="auto"/>
            <w:vAlign w:val="center"/>
          </w:tcPr>
          <w:p w:rsidR="00D9225E">
            <w:pPr>
              <w:pStyle w:val="LW13"/>
              <w:rPr>
                <w:rFonts w:cs="宋体"/>
              </w:rPr>
            </w:pPr>
            <w:r>
              <w:rPr>
                <w:rFonts w:cs="宋体" w:hint="eastAsia"/>
              </w:rPr>
              <w:t>3.5m</w:t>
            </w:r>
          </w:p>
        </w:tc>
        <w:tc>
          <w:tcPr>
            <w:tcW w:w="1810" w:type="dxa"/>
            <w:shd w:val="clear" w:color="auto" w:fill="auto"/>
            <w:vAlign w:val="center"/>
          </w:tcPr>
          <w:p w:rsidR="00D9225E">
            <w:pPr>
              <w:pStyle w:val="LW13"/>
              <w:rPr>
                <w:rFonts w:cs="宋体"/>
              </w:rPr>
            </w:pPr>
            <w:r>
              <w:rPr>
                <w:rFonts w:cs="宋体" w:hint="eastAsia"/>
              </w:rPr>
              <w:t>30m</w:t>
            </w:r>
          </w:p>
        </w:tc>
        <w:tc>
          <w:tcPr>
            <w:tcW w:w="1928" w:type="dxa"/>
            <w:shd w:val="clear" w:color="auto" w:fill="auto"/>
            <w:vAlign w:val="center"/>
          </w:tcPr>
          <w:p w:rsidR="00D9225E">
            <w:pPr>
              <w:pStyle w:val="LW13"/>
              <w:rPr>
                <w:rFonts w:cs="宋体"/>
              </w:rPr>
            </w:pPr>
            <w:r>
              <w:rPr>
                <w:rFonts w:cs="宋体" w:hint="eastAsia"/>
              </w:rPr>
              <w:t>一体式拓宽、</w:t>
            </w:r>
            <w:r>
              <w:rPr>
                <w:rFonts w:cs="宋体" w:hint="eastAsia"/>
              </w:rPr>
              <w:t>三次抛物线渐变</w:t>
            </w:r>
          </w:p>
        </w:tc>
        <w:tc>
          <w:tcPr>
            <w:tcW w:w="512" w:type="dxa"/>
            <w:shd w:val="clear" w:color="auto" w:fill="auto"/>
            <w:vAlign w:val="center"/>
          </w:tcPr>
          <w:p w:rsidR="00D9225E">
            <w:pPr>
              <w:pStyle w:val="LW13"/>
              <w:rPr>
                <w:rFonts w:cs="宋体"/>
              </w:rPr>
            </w:pPr>
          </w:p>
        </w:tc>
      </w:tr>
      <w:tr>
        <w:tblPrEx>
          <w:tblW w:w="9714" w:type="dxa"/>
          <w:jc w:val="center"/>
          <w:tblLayout w:type="fixed"/>
          <w:tblCellMar>
            <w:left w:w="40" w:type="dxa"/>
            <w:right w:w="40" w:type="dxa"/>
          </w:tblCellMar>
          <w:tblLook w:val="04A0"/>
        </w:tblPrEx>
        <w:trPr>
          <w:trHeight w:val="360"/>
          <w:jc w:val="center"/>
        </w:trPr>
        <w:tc>
          <w:tcPr>
            <w:tcW w:w="837" w:type="dxa"/>
            <w:tcBorders>
              <w:bottom w:val="single" w:sz="12" w:space="0" w:color="auto"/>
            </w:tcBorders>
            <w:shd w:val="clear" w:color="auto" w:fill="auto"/>
            <w:vAlign w:val="center"/>
          </w:tcPr>
          <w:p w:rsidR="00D9225E">
            <w:pPr>
              <w:pStyle w:val="LW13"/>
              <w:rPr>
                <w:rFonts w:cs="宋体"/>
              </w:rPr>
            </w:pPr>
            <w:r>
              <w:rPr>
                <w:rFonts w:cs="宋体" w:hint="eastAsia"/>
              </w:rPr>
              <w:t>规划道路三</w:t>
            </w:r>
          </w:p>
        </w:tc>
        <w:tc>
          <w:tcPr>
            <w:tcW w:w="962" w:type="dxa"/>
            <w:tcBorders>
              <w:bottom w:val="single" w:sz="12" w:space="0" w:color="auto"/>
            </w:tcBorders>
            <w:shd w:val="clear" w:color="auto" w:fill="auto"/>
            <w:vAlign w:val="center"/>
          </w:tcPr>
          <w:p w:rsidR="00D9225E">
            <w:pPr>
              <w:pStyle w:val="LW13"/>
              <w:rPr>
                <w:rFonts w:cs="宋体"/>
              </w:rPr>
            </w:pPr>
            <w:r>
              <w:rPr>
                <w:rFonts w:cs="宋体" w:hint="eastAsia"/>
              </w:rPr>
              <w:t>K0+585.675</w:t>
            </w:r>
          </w:p>
        </w:tc>
        <w:tc>
          <w:tcPr>
            <w:tcW w:w="976" w:type="dxa"/>
            <w:tcBorders>
              <w:bottom w:val="single" w:sz="12" w:space="0" w:color="auto"/>
            </w:tcBorders>
            <w:shd w:val="clear" w:color="auto" w:fill="auto"/>
            <w:vAlign w:val="center"/>
          </w:tcPr>
          <w:p w:rsidR="00D9225E">
            <w:pPr>
              <w:pStyle w:val="LW13"/>
              <w:rPr>
                <w:rFonts w:cs="宋体"/>
              </w:rPr>
            </w:pPr>
            <w:r>
              <w:rPr>
                <w:rFonts w:cs="宋体" w:hint="eastAsia"/>
              </w:rPr>
              <w:t>平</w:t>
            </w:r>
            <w:r>
              <w:rPr>
                <w:rFonts w:cs="宋体" w:hint="eastAsia"/>
              </w:rPr>
              <w:t>B</w:t>
            </w:r>
            <w:r>
              <w:rPr>
                <w:rFonts w:cs="宋体" w:hint="eastAsia"/>
                <w:vertAlign w:val="subscript"/>
              </w:rPr>
              <w:t>2</w:t>
            </w:r>
          </w:p>
        </w:tc>
        <w:tc>
          <w:tcPr>
            <w:tcW w:w="1143" w:type="dxa"/>
            <w:tcBorders>
              <w:bottom w:val="single" w:sz="12" w:space="0" w:color="auto"/>
            </w:tcBorders>
            <w:shd w:val="clear" w:color="auto" w:fill="auto"/>
            <w:vAlign w:val="center"/>
          </w:tcPr>
          <w:p w:rsidR="00D9225E">
            <w:pPr>
              <w:pStyle w:val="LW13"/>
              <w:rPr>
                <w:rFonts w:cs="宋体"/>
              </w:rPr>
            </w:pPr>
            <w:r>
              <w:rPr>
                <w:rFonts w:cs="宋体" w:hint="eastAsia"/>
              </w:rPr>
              <w:t>-</w:t>
            </w:r>
          </w:p>
        </w:tc>
        <w:tc>
          <w:tcPr>
            <w:tcW w:w="1546" w:type="dxa"/>
            <w:tcBorders>
              <w:bottom w:val="single" w:sz="12" w:space="0" w:color="auto"/>
            </w:tcBorders>
            <w:shd w:val="clear" w:color="auto" w:fill="auto"/>
            <w:vAlign w:val="center"/>
          </w:tcPr>
          <w:p w:rsidR="00D9225E">
            <w:pPr>
              <w:pStyle w:val="LW13"/>
              <w:rPr>
                <w:rFonts w:cs="宋体"/>
              </w:rPr>
            </w:pPr>
            <w:r>
              <w:rPr>
                <w:rFonts w:cs="宋体" w:hint="eastAsia"/>
              </w:rPr>
              <w:t>-</w:t>
            </w:r>
          </w:p>
        </w:tc>
        <w:tc>
          <w:tcPr>
            <w:tcW w:w="1810" w:type="dxa"/>
            <w:tcBorders>
              <w:bottom w:val="single" w:sz="12" w:space="0" w:color="auto"/>
            </w:tcBorders>
            <w:shd w:val="clear" w:color="auto" w:fill="auto"/>
            <w:vAlign w:val="center"/>
          </w:tcPr>
          <w:p w:rsidR="00D9225E">
            <w:pPr>
              <w:pStyle w:val="LW13"/>
              <w:rPr>
                <w:rFonts w:cs="宋体"/>
              </w:rPr>
            </w:pPr>
            <w:r>
              <w:rPr>
                <w:rFonts w:cs="宋体" w:hint="eastAsia"/>
              </w:rPr>
              <w:t>-</w:t>
            </w:r>
          </w:p>
        </w:tc>
        <w:tc>
          <w:tcPr>
            <w:tcW w:w="1928" w:type="dxa"/>
            <w:tcBorders>
              <w:bottom w:val="single" w:sz="12" w:space="0" w:color="auto"/>
            </w:tcBorders>
            <w:shd w:val="clear" w:color="auto" w:fill="auto"/>
            <w:vAlign w:val="center"/>
          </w:tcPr>
          <w:p w:rsidR="00D9225E">
            <w:pPr>
              <w:pStyle w:val="LW13"/>
              <w:rPr>
                <w:rFonts w:cs="宋体"/>
              </w:rPr>
            </w:pPr>
            <w:r>
              <w:rPr>
                <w:rFonts w:cs="宋体" w:hint="eastAsia"/>
              </w:rPr>
              <w:t>-</w:t>
            </w:r>
          </w:p>
        </w:tc>
        <w:tc>
          <w:tcPr>
            <w:tcW w:w="512" w:type="dxa"/>
            <w:tcBorders>
              <w:bottom w:val="single" w:sz="12" w:space="0" w:color="auto"/>
            </w:tcBorders>
            <w:shd w:val="clear" w:color="auto" w:fill="auto"/>
            <w:vAlign w:val="center"/>
          </w:tcPr>
          <w:p w:rsidR="00D9225E">
            <w:pPr>
              <w:pStyle w:val="LW13"/>
              <w:rPr>
                <w:rFonts w:cs="宋体"/>
              </w:rPr>
            </w:pPr>
          </w:p>
        </w:tc>
      </w:tr>
      <w:tr>
        <w:tblPrEx>
          <w:tblW w:w="9714" w:type="dxa"/>
          <w:jc w:val="center"/>
          <w:tblLayout w:type="fixed"/>
          <w:tblCellMar>
            <w:left w:w="40" w:type="dxa"/>
            <w:right w:w="40" w:type="dxa"/>
          </w:tblCellMar>
          <w:tblLook w:val="04A0"/>
        </w:tblPrEx>
        <w:trPr>
          <w:trHeight w:val="360"/>
          <w:jc w:val="center"/>
        </w:trPr>
        <w:tc>
          <w:tcPr>
            <w:tcW w:w="837" w:type="dxa"/>
            <w:tcBorders>
              <w:bottom w:val="single" w:sz="12" w:space="0" w:color="auto"/>
            </w:tcBorders>
            <w:shd w:val="clear" w:color="auto" w:fill="auto"/>
            <w:vAlign w:val="center"/>
          </w:tcPr>
          <w:p w:rsidR="00D9225E">
            <w:pPr>
              <w:pStyle w:val="LW13"/>
              <w:rPr>
                <w:rFonts w:cs="宋体"/>
              </w:rPr>
            </w:pPr>
            <w:r>
              <w:rPr>
                <w:rFonts w:cs="宋体" w:hint="eastAsia"/>
              </w:rPr>
              <w:t>学府</w:t>
            </w:r>
            <w:r>
              <w:rPr>
                <w:rFonts w:cs="宋体" w:hint="eastAsia"/>
              </w:rPr>
              <w:t>大道</w:t>
            </w:r>
          </w:p>
        </w:tc>
        <w:tc>
          <w:tcPr>
            <w:tcW w:w="962" w:type="dxa"/>
            <w:tcBorders>
              <w:bottom w:val="single" w:sz="12" w:space="0" w:color="auto"/>
            </w:tcBorders>
            <w:shd w:val="clear" w:color="auto" w:fill="auto"/>
            <w:vAlign w:val="center"/>
          </w:tcPr>
          <w:p w:rsidR="00D9225E">
            <w:pPr>
              <w:pStyle w:val="LW13"/>
              <w:rPr>
                <w:rFonts w:cs="宋体"/>
              </w:rPr>
            </w:pPr>
            <w:r>
              <w:rPr>
                <w:rFonts w:cs="宋体" w:hint="eastAsia"/>
              </w:rPr>
              <w:t>K0+807.847</w:t>
            </w:r>
          </w:p>
        </w:tc>
        <w:tc>
          <w:tcPr>
            <w:tcW w:w="976" w:type="dxa"/>
            <w:tcBorders>
              <w:bottom w:val="single" w:sz="12" w:space="0" w:color="auto"/>
            </w:tcBorders>
            <w:shd w:val="clear" w:color="auto" w:fill="auto"/>
            <w:vAlign w:val="center"/>
          </w:tcPr>
          <w:p w:rsidR="00D9225E">
            <w:pPr>
              <w:pStyle w:val="LW13"/>
              <w:rPr>
                <w:rFonts w:cs="宋体"/>
              </w:rPr>
            </w:pPr>
            <w:r>
              <w:rPr>
                <w:rFonts w:cs="宋体" w:hint="eastAsia"/>
              </w:rPr>
              <w:t>平</w:t>
            </w:r>
            <w:r>
              <w:rPr>
                <w:rFonts w:cs="宋体" w:hint="eastAsia"/>
              </w:rPr>
              <w:t>A</w:t>
            </w:r>
            <w:r>
              <w:rPr>
                <w:rFonts w:cs="宋体" w:hint="eastAsia"/>
                <w:vertAlign w:val="subscript"/>
              </w:rPr>
              <w:t>1</w:t>
            </w:r>
          </w:p>
        </w:tc>
        <w:tc>
          <w:tcPr>
            <w:tcW w:w="1143" w:type="dxa"/>
            <w:tcBorders>
              <w:bottom w:val="single" w:sz="12" w:space="0" w:color="auto"/>
            </w:tcBorders>
            <w:shd w:val="clear" w:color="auto" w:fill="auto"/>
            <w:vAlign w:val="center"/>
          </w:tcPr>
          <w:p w:rsidR="00D9225E">
            <w:pPr>
              <w:pStyle w:val="LW13"/>
              <w:rPr>
                <w:rFonts w:cs="宋体"/>
              </w:rPr>
            </w:pPr>
            <w:r>
              <w:rPr>
                <w:rFonts w:cs="宋体" w:hint="eastAsia"/>
              </w:rPr>
              <w:t>-</w:t>
            </w:r>
          </w:p>
        </w:tc>
        <w:tc>
          <w:tcPr>
            <w:tcW w:w="1546" w:type="dxa"/>
            <w:tcBorders>
              <w:bottom w:val="single" w:sz="12" w:space="0" w:color="auto"/>
            </w:tcBorders>
            <w:shd w:val="clear" w:color="auto" w:fill="auto"/>
            <w:vAlign w:val="center"/>
          </w:tcPr>
          <w:p w:rsidR="00D9225E">
            <w:pPr>
              <w:pStyle w:val="LW13"/>
              <w:rPr>
                <w:rFonts w:cs="宋体"/>
              </w:rPr>
            </w:pPr>
            <w:r>
              <w:rPr>
                <w:rFonts w:cs="宋体" w:hint="eastAsia"/>
              </w:rPr>
              <w:t>-</w:t>
            </w:r>
          </w:p>
        </w:tc>
        <w:tc>
          <w:tcPr>
            <w:tcW w:w="1810" w:type="dxa"/>
            <w:tcBorders>
              <w:bottom w:val="single" w:sz="12" w:space="0" w:color="auto"/>
            </w:tcBorders>
            <w:shd w:val="clear" w:color="auto" w:fill="auto"/>
            <w:vAlign w:val="center"/>
          </w:tcPr>
          <w:p w:rsidR="00D9225E">
            <w:pPr>
              <w:pStyle w:val="LW13"/>
              <w:rPr>
                <w:rFonts w:cs="宋体"/>
              </w:rPr>
            </w:pPr>
            <w:r>
              <w:rPr>
                <w:rFonts w:cs="宋体" w:hint="eastAsia"/>
              </w:rPr>
              <w:t>-</w:t>
            </w:r>
          </w:p>
        </w:tc>
        <w:tc>
          <w:tcPr>
            <w:tcW w:w="1928" w:type="dxa"/>
            <w:tcBorders>
              <w:bottom w:val="single" w:sz="12" w:space="0" w:color="auto"/>
            </w:tcBorders>
            <w:shd w:val="clear" w:color="auto" w:fill="auto"/>
            <w:vAlign w:val="center"/>
          </w:tcPr>
          <w:p w:rsidR="00D9225E">
            <w:pPr>
              <w:pStyle w:val="LW13"/>
              <w:rPr>
                <w:rFonts w:cs="宋体"/>
              </w:rPr>
            </w:pPr>
            <w:r>
              <w:rPr>
                <w:rFonts w:cs="宋体" w:hint="eastAsia"/>
              </w:rPr>
              <w:t>-</w:t>
            </w:r>
          </w:p>
        </w:tc>
        <w:tc>
          <w:tcPr>
            <w:tcW w:w="512" w:type="dxa"/>
            <w:tcBorders>
              <w:bottom w:val="single" w:sz="12" w:space="0" w:color="auto"/>
            </w:tcBorders>
            <w:shd w:val="clear" w:color="auto" w:fill="auto"/>
            <w:vAlign w:val="center"/>
          </w:tcPr>
          <w:p w:rsidR="00D9225E">
            <w:pPr>
              <w:pStyle w:val="LW13"/>
              <w:rPr>
                <w:rFonts w:cs="宋体"/>
              </w:rPr>
            </w:pPr>
          </w:p>
        </w:tc>
      </w:tr>
    </w:tbl>
    <w:p w:rsidR="00D9225E">
      <w:pPr>
        <w:pStyle w:val="LW11"/>
      </w:pPr>
      <w:bookmarkStart w:id="220" w:name="_Toc88337517"/>
      <w:bookmarkStart w:id="221" w:name="_Toc88141374"/>
      <w:bookmarkStart w:id="222" w:name="_Toc88148495"/>
      <w:bookmarkStart w:id="223" w:name="_Toc88140210"/>
      <w:r>
        <w:rPr>
          <w:rFonts w:hint="eastAsia"/>
        </w:rPr>
        <w:t>路基</w:t>
      </w:r>
      <w:r>
        <w:t>设计</w:t>
      </w:r>
      <w:bookmarkEnd w:id="220"/>
      <w:bookmarkEnd w:id="221"/>
      <w:bookmarkEnd w:id="222"/>
      <w:bookmarkEnd w:id="223"/>
    </w:p>
    <w:p w:rsidR="00D9225E">
      <w:pPr>
        <w:pStyle w:val="LW21"/>
      </w:pPr>
      <w:bookmarkStart w:id="224" w:name="_Toc88337518"/>
      <w:bookmarkStart w:id="225" w:name="_Toc88141375"/>
      <w:bookmarkStart w:id="226" w:name="_Toc88148496"/>
      <w:bookmarkStart w:id="227" w:name="_Toc88140211"/>
      <w:r>
        <w:rPr>
          <w:rFonts w:hint="eastAsia"/>
        </w:rPr>
        <w:t>路基</w:t>
      </w:r>
      <w:r>
        <w:t>概况</w:t>
      </w:r>
      <w:bookmarkEnd w:id="224"/>
      <w:bookmarkEnd w:id="225"/>
      <w:bookmarkEnd w:id="226"/>
      <w:bookmarkEnd w:id="227"/>
    </w:p>
    <w:p w:rsidR="00D9225E">
      <w:pPr>
        <w:pStyle w:val="LW"/>
        <w:ind w:firstLine="520"/>
      </w:pPr>
      <w:r>
        <w:rPr>
          <w:rFonts w:hint="eastAsia"/>
        </w:rPr>
        <w:t>纵一路，道路全长</w:t>
      </w:r>
      <w:r>
        <w:rPr>
          <w:rFonts w:hint="eastAsia"/>
        </w:rPr>
        <w:t>773.987m</w:t>
      </w:r>
      <w:r>
        <w:rPr>
          <w:rFonts w:hint="eastAsia"/>
        </w:rPr>
        <w:t>（设计范围</w:t>
      </w:r>
      <w:r>
        <w:rPr>
          <w:rFonts w:hint="eastAsia"/>
        </w:rPr>
        <w:t>K0+017.306</w:t>
      </w:r>
      <w:r>
        <w:rPr>
          <w:rFonts w:hint="eastAsia"/>
        </w:rPr>
        <w:t>～</w:t>
      </w:r>
      <w:r>
        <w:rPr>
          <w:rFonts w:hint="eastAsia"/>
        </w:rPr>
        <w:t>K0+791.293</w:t>
      </w:r>
      <w:r>
        <w:rPr>
          <w:rFonts w:hint="eastAsia"/>
        </w:rPr>
        <w:t>段）</w:t>
      </w:r>
      <w:r>
        <w:rPr>
          <w:rFonts w:hint="eastAsia"/>
        </w:rPr>
        <w:t>，</w:t>
      </w:r>
      <w:r>
        <w:rPr>
          <w:rFonts w:hint="eastAsia"/>
        </w:rPr>
        <w:t>无桥梁。</w:t>
      </w:r>
    </w:p>
    <w:p w:rsidR="00D9225E">
      <w:pPr>
        <w:pStyle w:val="LW"/>
        <w:ind w:firstLine="520"/>
      </w:pPr>
      <w:r>
        <w:rPr>
          <w:rFonts w:hint="eastAsia"/>
        </w:rPr>
        <w:t>K0+017.306</w:t>
      </w:r>
      <w:r>
        <w:rPr>
          <w:rFonts w:hint="eastAsia"/>
        </w:rPr>
        <w:t>～</w:t>
      </w:r>
      <w:r>
        <w:rPr>
          <w:rFonts w:hint="eastAsia"/>
        </w:rPr>
        <w:t>K0+791.293</w:t>
      </w:r>
      <w:r>
        <w:rPr>
          <w:rFonts w:hint="eastAsia"/>
        </w:rPr>
        <w:t>段为挖方（路堑）段，占全线路基</w:t>
      </w:r>
      <w:r>
        <w:rPr>
          <w:rFonts w:hint="eastAsia"/>
        </w:rPr>
        <w:t>100%</w:t>
      </w:r>
      <w:r>
        <w:rPr>
          <w:rFonts w:hint="eastAsia"/>
        </w:rPr>
        <w:t>，挖方边坡最大高度约</w:t>
      </w:r>
      <w:r>
        <w:rPr>
          <w:rFonts w:hint="eastAsia"/>
        </w:rPr>
        <w:t>13.6m</w:t>
      </w:r>
      <w:r>
        <w:rPr>
          <w:rFonts w:hint="eastAsia"/>
        </w:rPr>
        <w:t>。</w:t>
      </w:r>
    </w:p>
    <w:p w:rsidR="00D9225E">
      <w:pPr>
        <w:pStyle w:val="LW21"/>
      </w:pPr>
      <w:bookmarkStart w:id="228" w:name="_Toc88141377"/>
      <w:bookmarkStart w:id="229" w:name="_Toc88148498"/>
      <w:bookmarkStart w:id="230" w:name="_Toc88140213"/>
      <w:bookmarkStart w:id="231" w:name="_Toc88337520"/>
      <w:r>
        <w:rPr>
          <w:rFonts w:hint="eastAsia"/>
        </w:rPr>
        <w:t>一般路基</w:t>
      </w:r>
      <w:r>
        <w:t>设计原则</w:t>
      </w:r>
      <w:bookmarkEnd w:id="228"/>
      <w:bookmarkEnd w:id="229"/>
      <w:bookmarkEnd w:id="230"/>
      <w:bookmarkEnd w:id="231"/>
    </w:p>
    <w:p w:rsidR="00D9225E">
      <w:pPr>
        <w:pStyle w:val="LW1"/>
        <w:ind w:firstLine="520"/>
      </w:pPr>
      <w:r>
        <w:t>路床</w:t>
      </w:r>
    </w:p>
    <w:p w:rsidR="00D9225E">
      <w:pPr>
        <w:pStyle w:val="LW"/>
        <w:ind w:firstLine="520"/>
      </w:pPr>
      <w:r>
        <w:rPr>
          <w:rFonts w:hint="eastAsia"/>
        </w:rPr>
        <w:t>路床：路面结构层以下</w:t>
      </w:r>
      <w:r>
        <w:t>0.8m</w:t>
      </w:r>
      <w:r>
        <w:t>范围内的路基部分，在结构上分为上路床（</w:t>
      </w:r>
      <w:r>
        <w:t>0</w:t>
      </w:r>
      <w:r>
        <w:t>～</w:t>
      </w:r>
      <w:r>
        <w:t>0.30m</w:t>
      </w:r>
      <w:r>
        <w:t>）和下路床（</w:t>
      </w:r>
      <w:r>
        <w:t>0.30m</w:t>
      </w:r>
      <w:r>
        <w:t>～</w:t>
      </w:r>
      <w:r>
        <w:t>0.80m</w:t>
      </w:r>
      <w:r>
        <w:t>）。</w:t>
      </w:r>
    </w:p>
    <w:p w:rsidR="00D9225E">
      <w:pPr>
        <w:pStyle w:val="LW"/>
        <w:ind w:firstLine="520"/>
      </w:pPr>
      <w:r>
        <w:rPr>
          <w:rFonts w:hint="eastAsia"/>
        </w:rPr>
        <w:t>草皮、生活垃圾、树根、腐殖土严禁作为路床填料。路床填料应选用级配较好的砾类土、砂类土等粗粒土，填料最大粒径应小于</w:t>
      </w:r>
      <w:r>
        <w:t>100mm</w:t>
      </w:r>
      <w:r>
        <w:t>，且在最佳含水量时压实。</w:t>
      </w:r>
    </w:p>
    <w:p w:rsidR="00D9225E">
      <w:pPr>
        <w:pStyle w:val="LW1"/>
        <w:ind w:firstLine="520"/>
      </w:pPr>
      <w:r>
        <w:t>路基过渡段设计</w:t>
      </w:r>
    </w:p>
    <w:p w:rsidR="00D9225E">
      <w:pPr>
        <w:pStyle w:val="LW"/>
        <w:ind w:firstLine="520"/>
      </w:pPr>
      <w:r>
        <w:rPr>
          <w:rFonts w:hint="eastAsia"/>
        </w:rPr>
        <w:t>为避免在填挖交界处因沉降不均导致路基、路面开裂现象，纵向填挖交界处一般应设置过渡段，其填方区长度应不小于</w:t>
      </w:r>
      <w:r>
        <w:rPr>
          <w:rFonts w:hint="eastAsia"/>
        </w:rPr>
        <w:t>10m</w:t>
      </w:r>
      <w:r>
        <w:rPr>
          <w:rFonts w:hint="eastAsia"/>
        </w:rPr>
        <w:t>，且应采用级配较好的砾类土、砂类土或硬质岩片碎屑填筑，并视地面陡度及高差酌情于路床附近位置增设土工格栅以消减路肩填挖间的差异沉降变形。当挖方区为强度较高的石质时，也可酌情采用填石路堤。</w:t>
      </w:r>
    </w:p>
    <w:p w:rsidR="00D9225E">
      <w:pPr>
        <w:pStyle w:val="LW"/>
        <w:ind w:firstLine="520"/>
      </w:pPr>
      <w:r>
        <w:rPr>
          <w:rFonts w:hint="eastAsia"/>
        </w:rPr>
        <w:t>当纵向填挖交界处挖方为土质时，挖方区路床范围土质应挖</w:t>
      </w:r>
      <w:r>
        <w:rPr>
          <w:rFonts w:hint="eastAsia"/>
        </w:rPr>
        <w:t>除做换填处理。</w:t>
      </w:r>
    </w:p>
    <w:p w:rsidR="00D9225E">
      <w:pPr>
        <w:pStyle w:val="LW"/>
        <w:ind w:firstLine="520"/>
        <w:sectPr>
          <w:headerReference w:type="even" r:id="rId46"/>
          <w:footerReference w:type="even" r:id="rId47"/>
          <w:type w:val="nextPage"/>
          <w:pgSz w:w="23811" w:h="16838" w:orient="landscape"/>
          <w:pgMar w:top="851" w:right="851" w:bottom="3119" w:left="1985" w:header="879" w:footer="765" w:gutter="0"/>
          <w:pgNumType w:start="15"/>
          <w:cols w:num="2" w:space="425"/>
          <w:titlePg w:val="0"/>
          <w:docGrid w:type="lines" w:linePitch="312"/>
        </w:sectPr>
      </w:pPr>
      <w:r>
        <w:rPr>
          <w:rFonts w:hint="eastAsia"/>
        </w:rPr>
        <w:t>为避免孔隙水或基岩裂隙水渗入填方区软化路堤，纵向填挖交界处应酌情设置横向排水渗沟，并于适当位置引出。</w:t>
      </w:r>
    </w:p>
    <w:p w:rsidR="00D9225E">
      <w:pPr>
        <w:pStyle w:val="LW21"/>
      </w:pPr>
      <w:r>
        <w:t>填方路基设计</w:t>
      </w:r>
    </w:p>
    <w:p w:rsidR="00D9225E">
      <w:pPr>
        <w:pStyle w:val="LW1"/>
        <w:ind w:firstLine="520"/>
      </w:pPr>
      <w:r>
        <w:t>路基内的树根、草根、生活垃圾和建筑垃圾等必须清除，路基不得用腐殖土、垃圾土或淤泥填筑。填土不得有杂草、树根等杂质。</w:t>
      </w:r>
    </w:p>
    <w:p w:rsidR="00D9225E">
      <w:pPr>
        <w:pStyle w:val="LW1"/>
        <w:ind w:firstLine="520"/>
      </w:pPr>
      <w:r>
        <w:t>道路经过需要填埋的河道、水塘等的时候，路基施工须挖尽淤泥后，在底部铺</w:t>
      </w:r>
      <w:r>
        <w:t>30cm</w:t>
      </w:r>
      <w:r>
        <w:t>厚的砾石砂，然后分层回填至路基顶面。</w:t>
      </w:r>
    </w:p>
    <w:p w:rsidR="00D9225E">
      <w:pPr>
        <w:pStyle w:val="LW1"/>
        <w:ind w:firstLine="520"/>
      </w:pPr>
      <w:r>
        <w:t>填土地段的表面不得有积水，并应保持适当干燥，填土层应分层夯实。每层填土厚度不应超过</w:t>
      </w:r>
      <w:r>
        <w:t>30cm</w:t>
      </w:r>
      <w:r>
        <w:t>（压实厚度约为</w:t>
      </w:r>
      <w:r>
        <w:t>20cm</w:t>
      </w:r>
      <w:r>
        <w:t>）。</w:t>
      </w:r>
    </w:p>
    <w:p w:rsidR="00D9225E">
      <w:pPr>
        <w:pStyle w:val="LW1"/>
        <w:ind w:firstLine="520"/>
      </w:pPr>
      <w:r>
        <w:t>路基压实符合规范要求的击实标准。</w:t>
      </w:r>
    </w:p>
    <w:p w:rsidR="00D9225E">
      <w:pPr>
        <w:pStyle w:val="LW1"/>
        <w:ind w:firstLine="520"/>
      </w:pPr>
      <w:r>
        <w:t>填方边坡</w:t>
      </w:r>
    </w:p>
    <w:p w:rsidR="00D9225E">
      <w:pPr>
        <w:pStyle w:val="LW2"/>
        <w:ind w:firstLine="520"/>
      </w:pPr>
      <w:r>
        <w:rPr>
          <w:rFonts w:hint="eastAsia"/>
        </w:rPr>
        <w:t>填料要求</w:t>
      </w:r>
    </w:p>
    <w:p w:rsidR="00D9225E">
      <w:pPr>
        <w:pStyle w:val="LW"/>
        <w:ind w:firstLine="520"/>
      </w:pPr>
      <w:r>
        <w:rPr>
          <w:rFonts w:hint="eastAsia"/>
        </w:rPr>
        <w:t>路基填料不得使用腐殖土，生活垃圾土、淤泥，不得含杂草、树根等杂物，粒径超过</w:t>
      </w:r>
      <w:r>
        <w:rPr>
          <w:rFonts w:hint="eastAsia"/>
        </w:rPr>
        <w:t>10cm</w:t>
      </w:r>
      <w:r>
        <w:rPr>
          <w:rFonts w:hint="eastAsia"/>
        </w:rPr>
        <w:t>以上土块应打碎。应选用级配较好的粗粒土为填料，且应优先选用砾类土、砂类土，且宜在最佳含水量时压实。路基填方若为土石混和料，且石料强度大于</w:t>
      </w:r>
      <w:r>
        <w:rPr>
          <w:rFonts w:hint="eastAsia"/>
        </w:rPr>
        <w:t>20Mpa</w:t>
      </w:r>
      <w:r>
        <w:rPr>
          <w:rFonts w:hint="eastAsia"/>
        </w:rPr>
        <w:t>时，石块的最大粒径不得超过压实层厚</w:t>
      </w:r>
      <w:r>
        <w:rPr>
          <w:rFonts w:hint="eastAsia"/>
        </w:rPr>
        <w:t>2/3</w:t>
      </w:r>
      <w:r>
        <w:rPr>
          <w:rFonts w:hint="eastAsia"/>
        </w:rPr>
        <w:t>，当石料强度小于</w:t>
      </w:r>
      <w:r>
        <w:rPr>
          <w:rFonts w:hint="eastAsia"/>
        </w:rPr>
        <w:t>15Mpa</w:t>
      </w:r>
      <w:r>
        <w:rPr>
          <w:rFonts w:hint="eastAsia"/>
        </w:rPr>
        <w:t>，石料最大粒径不得超过压实层厚度。</w:t>
      </w:r>
    </w:p>
    <w:p w:rsidR="00D9225E">
      <w:pPr>
        <w:pStyle w:val="LW"/>
        <w:ind w:firstLine="520"/>
      </w:pPr>
      <w:r>
        <w:rPr>
          <w:rFonts w:hint="eastAsia"/>
        </w:rPr>
        <w:t>路基填料最小强度和填粒最大粒径应符合下表：</w:t>
      </w:r>
    </w:p>
    <w:p w:rsidR="00D9225E">
      <w:pPr>
        <w:pStyle w:val="LW6"/>
        <w:ind w:firstLine="520"/>
      </w:pPr>
      <w:r>
        <w:rPr>
          <w:rFonts w:hint="eastAsia"/>
        </w:rPr>
        <w:t>表</w:t>
      </w:r>
      <w:r>
        <w:t xml:space="preserve">8.3-1  </w:t>
      </w:r>
      <w:r>
        <w:rPr>
          <w:rFonts w:hint="eastAsia"/>
        </w:rPr>
        <w:t>路基填料最小强度和填粒最大粒径</w:t>
      </w:r>
    </w:p>
    <w:tbl>
      <w:tblPr>
        <w:tblStyle w:val="TableNormal"/>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Look w:val="04A0"/>
      </w:tblPr>
      <w:tblGrid>
        <w:gridCol w:w="959"/>
        <w:gridCol w:w="741"/>
        <w:gridCol w:w="2494"/>
        <w:gridCol w:w="1603"/>
        <w:gridCol w:w="1861"/>
        <w:gridCol w:w="2057"/>
      </w:tblGrid>
      <w:tr>
        <w:tblPrEx>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Look w:val="04A0"/>
        </w:tblPrEx>
        <w:trPr>
          <w:trHeight w:val="360"/>
          <w:tblHeader/>
          <w:jc w:val="center"/>
        </w:trPr>
        <w:tc>
          <w:tcPr>
            <w:tcW w:w="0" w:type="auto"/>
            <w:gridSpan w:val="2"/>
            <w:shd w:val="clear" w:color="auto" w:fill="auto"/>
            <w:vAlign w:val="center"/>
          </w:tcPr>
          <w:p w:rsidR="00D9225E">
            <w:pPr>
              <w:pStyle w:val="LW15"/>
              <w:rPr>
                <w:rFonts w:cs="宋体"/>
                <w:szCs w:val="18"/>
              </w:rPr>
            </w:pPr>
            <w:r>
              <w:rPr>
                <w:rFonts w:cs="宋体" w:hint="eastAsia"/>
                <w:szCs w:val="18"/>
              </w:rPr>
              <w:t>项目分类</w:t>
            </w:r>
          </w:p>
        </w:tc>
        <w:tc>
          <w:tcPr>
            <w:tcW w:w="0" w:type="auto"/>
            <w:shd w:val="clear" w:color="auto" w:fill="auto"/>
            <w:vAlign w:val="center"/>
          </w:tcPr>
          <w:p w:rsidR="00D9225E">
            <w:pPr>
              <w:pStyle w:val="LW15"/>
              <w:rPr>
                <w:rFonts w:cs="宋体"/>
                <w:szCs w:val="18"/>
              </w:rPr>
            </w:pPr>
            <w:r>
              <w:rPr>
                <w:rFonts w:cs="宋体" w:hint="eastAsia"/>
                <w:szCs w:val="18"/>
              </w:rPr>
              <w:t>路面底面以下深度（</w:t>
            </w:r>
            <w:r>
              <w:rPr>
                <w:rFonts w:cs="宋体" w:hint="eastAsia"/>
                <w:szCs w:val="18"/>
              </w:rPr>
              <w:t>cm</w:t>
            </w:r>
            <w:r>
              <w:rPr>
                <w:rFonts w:cs="宋体" w:hint="eastAsia"/>
                <w:szCs w:val="18"/>
              </w:rPr>
              <w:t>）</w:t>
            </w:r>
          </w:p>
        </w:tc>
        <w:tc>
          <w:tcPr>
            <w:tcW w:w="1603" w:type="dxa"/>
            <w:shd w:val="clear" w:color="auto" w:fill="auto"/>
            <w:vAlign w:val="center"/>
          </w:tcPr>
          <w:p w:rsidR="00D9225E">
            <w:pPr>
              <w:pStyle w:val="LW15"/>
              <w:rPr>
                <w:rFonts w:cs="宋体"/>
                <w:szCs w:val="18"/>
              </w:rPr>
            </w:pPr>
            <w:r>
              <w:rPr>
                <w:rFonts w:cs="宋体" w:hint="eastAsia"/>
                <w:szCs w:val="18"/>
              </w:rPr>
              <w:t>主干道</w:t>
            </w:r>
            <w:r>
              <w:rPr>
                <w:rFonts w:cs="宋体" w:hint="eastAsia"/>
                <w:szCs w:val="18"/>
              </w:rPr>
              <w:t>填料最小强度（</w:t>
            </w:r>
            <w:r>
              <w:rPr>
                <w:rFonts w:cs="宋体" w:hint="eastAsia"/>
                <w:szCs w:val="18"/>
              </w:rPr>
              <w:t>CBR</w:t>
            </w:r>
            <w:r>
              <w:rPr>
                <w:rFonts w:cs="宋体" w:hint="eastAsia"/>
                <w:szCs w:val="18"/>
              </w:rPr>
              <w:t>）（</w:t>
            </w:r>
            <w:r>
              <w:rPr>
                <w:rFonts w:cs="宋体" w:hint="eastAsia"/>
                <w:szCs w:val="18"/>
              </w:rPr>
              <w:t>%</w:t>
            </w:r>
            <w:r>
              <w:rPr>
                <w:rFonts w:cs="宋体" w:hint="eastAsia"/>
                <w:szCs w:val="18"/>
              </w:rPr>
              <w:t>）</w:t>
            </w:r>
          </w:p>
        </w:tc>
        <w:tc>
          <w:tcPr>
            <w:tcW w:w="1861" w:type="dxa"/>
            <w:shd w:val="clear" w:color="auto" w:fill="auto"/>
            <w:vAlign w:val="center"/>
          </w:tcPr>
          <w:p w:rsidR="00D9225E">
            <w:pPr>
              <w:pStyle w:val="LW15"/>
              <w:rPr>
                <w:rFonts w:cs="宋体"/>
                <w:szCs w:val="18"/>
              </w:rPr>
            </w:pPr>
            <w:r>
              <w:rPr>
                <w:rFonts w:cs="宋体" w:hint="eastAsia"/>
                <w:szCs w:val="18"/>
              </w:rPr>
              <w:t>次干道</w:t>
            </w:r>
            <w:r>
              <w:rPr>
                <w:rFonts w:cs="宋体" w:hint="eastAsia"/>
                <w:szCs w:val="18"/>
              </w:rPr>
              <w:t>填料最小强度（</w:t>
            </w:r>
            <w:r>
              <w:rPr>
                <w:rFonts w:cs="宋体" w:hint="eastAsia"/>
                <w:szCs w:val="18"/>
              </w:rPr>
              <w:t>CBR</w:t>
            </w:r>
            <w:r>
              <w:rPr>
                <w:rFonts w:cs="宋体" w:hint="eastAsia"/>
                <w:szCs w:val="18"/>
              </w:rPr>
              <w:t>）（</w:t>
            </w:r>
            <w:r>
              <w:rPr>
                <w:rFonts w:cs="宋体" w:hint="eastAsia"/>
                <w:szCs w:val="18"/>
              </w:rPr>
              <w:t>%</w:t>
            </w:r>
            <w:r>
              <w:rPr>
                <w:rFonts w:cs="宋体" w:hint="eastAsia"/>
                <w:szCs w:val="18"/>
              </w:rPr>
              <w:t>）</w:t>
            </w:r>
          </w:p>
        </w:tc>
        <w:tc>
          <w:tcPr>
            <w:tcW w:w="0" w:type="auto"/>
            <w:shd w:val="clear" w:color="auto" w:fill="auto"/>
            <w:vAlign w:val="center"/>
          </w:tcPr>
          <w:p w:rsidR="00D9225E">
            <w:pPr>
              <w:pStyle w:val="LW15"/>
              <w:rPr>
                <w:rFonts w:cs="宋体"/>
                <w:szCs w:val="18"/>
              </w:rPr>
            </w:pPr>
            <w:r>
              <w:rPr>
                <w:rFonts w:cs="宋体" w:hint="eastAsia"/>
                <w:szCs w:val="18"/>
              </w:rPr>
              <w:t>填料最大粒径（</w:t>
            </w:r>
            <w:r>
              <w:rPr>
                <w:rFonts w:cs="宋体" w:hint="eastAsia"/>
                <w:szCs w:val="18"/>
              </w:rPr>
              <w:t>cm</w:t>
            </w:r>
            <w:r>
              <w:rPr>
                <w:rFonts w:cs="宋体" w:hint="eastAsia"/>
                <w:szCs w:val="18"/>
              </w:rPr>
              <w:t>）</w:t>
            </w:r>
          </w:p>
        </w:tc>
      </w:tr>
      <w:tr>
        <w:tblPrEx>
          <w:tblW w:w="9715" w:type="dxa"/>
          <w:jc w:val="center"/>
          <w:tblCellMar>
            <w:left w:w="40" w:type="dxa"/>
            <w:right w:w="40" w:type="dxa"/>
          </w:tblCellMar>
          <w:tblLook w:val="04A0"/>
        </w:tblPrEx>
        <w:trPr>
          <w:trHeight w:val="360"/>
          <w:jc w:val="center"/>
        </w:trPr>
        <w:tc>
          <w:tcPr>
            <w:tcW w:w="0" w:type="auto"/>
            <w:shd w:val="clear" w:color="auto" w:fill="auto"/>
            <w:vAlign w:val="center"/>
          </w:tcPr>
          <w:p w:rsidR="00D9225E">
            <w:pPr>
              <w:pStyle w:val="LW13"/>
              <w:rPr>
                <w:rFonts w:cs="宋体"/>
                <w:szCs w:val="18"/>
              </w:rPr>
            </w:pPr>
            <w:r>
              <w:rPr>
                <w:rFonts w:cs="宋体" w:hint="eastAsia"/>
                <w:szCs w:val="18"/>
              </w:rPr>
              <w:t>填方路基</w:t>
            </w:r>
          </w:p>
        </w:tc>
        <w:tc>
          <w:tcPr>
            <w:tcW w:w="0" w:type="auto"/>
            <w:shd w:val="clear" w:color="auto" w:fill="auto"/>
            <w:vAlign w:val="center"/>
          </w:tcPr>
          <w:p w:rsidR="00D9225E">
            <w:pPr>
              <w:pStyle w:val="LW13"/>
              <w:rPr>
                <w:rFonts w:cs="宋体"/>
                <w:szCs w:val="18"/>
              </w:rPr>
            </w:pPr>
            <w:r>
              <w:rPr>
                <w:rFonts w:cs="宋体" w:hint="eastAsia"/>
                <w:szCs w:val="18"/>
              </w:rPr>
              <w:t>上路床</w:t>
            </w:r>
          </w:p>
          <w:p w:rsidR="00D9225E">
            <w:pPr>
              <w:pStyle w:val="LW13"/>
              <w:rPr>
                <w:rFonts w:cs="宋体"/>
                <w:szCs w:val="18"/>
              </w:rPr>
            </w:pPr>
            <w:r>
              <w:rPr>
                <w:rFonts w:cs="宋体" w:hint="eastAsia"/>
                <w:szCs w:val="18"/>
              </w:rPr>
              <w:t>下路床</w:t>
            </w:r>
          </w:p>
          <w:p w:rsidR="00D9225E">
            <w:pPr>
              <w:pStyle w:val="LW13"/>
              <w:rPr>
                <w:rFonts w:cs="宋体"/>
                <w:szCs w:val="18"/>
              </w:rPr>
            </w:pPr>
            <w:r>
              <w:rPr>
                <w:rFonts w:cs="宋体" w:hint="eastAsia"/>
                <w:szCs w:val="18"/>
              </w:rPr>
              <w:t>上路堤</w:t>
            </w:r>
          </w:p>
          <w:p w:rsidR="00D9225E">
            <w:pPr>
              <w:pStyle w:val="LW13"/>
              <w:rPr>
                <w:rFonts w:cs="宋体"/>
                <w:szCs w:val="18"/>
              </w:rPr>
            </w:pPr>
            <w:r>
              <w:rPr>
                <w:rFonts w:cs="宋体" w:hint="eastAsia"/>
                <w:szCs w:val="18"/>
              </w:rPr>
              <w:t>下路堤</w:t>
            </w:r>
          </w:p>
        </w:tc>
        <w:tc>
          <w:tcPr>
            <w:tcW w:w="0" w:type="auto"/>
            <w:shd w:val="clear" w:color="auto" w:fill="auto"/>
            <w:vAlign w:val="center"/>
          </w:tcPr>
          <w:p w:rsidR="00D9225E">
            <w:pPr>
              <w:pStyle w:val="LW13"/>
              <w:rPr>
                <w:rFonts w:cs="宋体"/>
                <w:szCs w:val="18"/>
              </w:rPr>
            </w:pPr>
            <w:r>
              <w:rPr>
                <w:rFonts w:cs="宋体" w:hint="eastAsia"/>
                <w:szCs w:val="18"/>
              </w:rPr>
              <w:t>0</w:t>
            </w:r>
            <w:r>
              <w:rPr>
                <w:rFonts w:cs="宋体" w:hint="eastAsia"/>
                <w:szCs w:val="18"/>
              </w:rPr>
              <w:t>～</w:t>
            </w:r>
            <w:r>
              <w:rPr>
                <w:rFonts w:cs="宋体" w:hint="eastAsia"/>
                <w:szCs w:val="18"/>
              </w:rPr>
              <w:t>30</w:t>
            </w:r>
          </w:p>
          <w:p w:rsidR="00D9225E">
            <w:pPr>
              <w:pStyle w:val="LW13"/>
              <w:rPr>
                <w:rFonts w:cs="宋体"/>
                <w:szCs w:val="18"/>
              </w:rPr>
            </w:pPr>
            <w:r>
              <w:rPr>
                <w:rFonts w:cs="宋体" w:hint="eastAsia"/>
                <w:szCs w:val="18"/>
              </w:rPr>
              <w:t>30</w:t>
            </w:r>
            <w:r>
              <w:rPr>
                <w:rFonts w:cs="宋体" w:hint="eastAsia"/>
                <w:szCs w:val="18"/>
              </w:rPr>
              <w:t>～</w:t>
            </w:r>
            <w:r>
              <w:rPr>
                <w:rFonts w:cs="宋体" w:hint="eastAsia"/>
                <w:szCs w:val="18"/>
              </w:rPr>
              <w:t>80</w:t>
            </w:r>
          </w:p>
          <w:p w:rsidR="00D9225E">
            <w:pPr>
              <w:pStyle w:val="LW13"/>
              <w:rPr>
                <w:rFonts w:cs="宋体"/>
                <w:szCs w:val="18"/>
              </w:rPr>
            </w:pPr>
            <w:r>
              <w:rPr>
                <w:rFonts w:cs="宋体" w:hint="eastAsia"/>
                <w:szCs w:val="18"/>
              </w:rPr>
              <w:t>80</w:t>
            </w:r>
            <w:r>
              <w:rPr>
                <w:rFonts w:cs="宋体" w:hint="eastAsia"/>
                <w:szCs w:val="18"/>
              </w:rPr>
              <w:t>～</w:t>
            </w:r>
            <w:r>
              <w:rPr>
                <w:rFonts w:cs="宋体" w:hint="eastAsia"/>
                <w:szCs w:val="18"/>
              </w:rPr>
              <w:t>150</w:t>
            </w:r>
          </w:p>
          <w:p w:rsidR="00D9225E">
            <w:pPr>
              <w:pStyle w:val="LW13"/>
              <w:rPr>
                <w:rFonts w:cs="宋体"/>
                <w:szCs w:val="18"/>
              </w:rPr>
            </w:pPr>
            <w:r>
              <w:rPr>
                <w:rFonts w:cs="宋体" w:hint="eastAsia"/>
                <w:szCs w:val="18"/>
              </w:rPr>
              <w:t>150</w:t>
            </w:r>
            <w:r>
              <w:rPr>
                <w:rFonts w:cs="宋体" w:hint="eastAsia"/>
                <w:szCs w:val="18"/>
              </w:rPr>
              <w:t>以下</w:t>
            </w:r>
          </w:p>
        </w:tc>
        <w:tc>
          <w:tcPr>
            <w:tcW w:w="1603" w:type="dxa"/>
            <w:shd w:val="clear" w:color="auto" w:fill="auto"/>
            <w:vAlign w:val="center"/>
          </w:tcPr>
          <w:p w:rsidR="00D9225E">
            <w:pPr>
              <w:pStyle w:val="LW13"/>
              <w:rPr>
                <w:rFonts w:cs="宋体"/>
                <w:szCs w:val="18"/>
              </w:rPr>
            </w:pPr>
            <w:r>
              <w:rPr>
                <w:rFonts w:cs="宋体" w:hint="eastAsia"/>
                <w:szCs w:val="18"/>
              </w:rPr>
              <w:t>8</w:t>
            </w:r>
          </w:p>
          <w:p w:rsidR="00D9225E">
            <w:pPr>
              <w:pStyle w:val="LW13"/>
              <w:rPr>
                <w:rFonts w:cs="宋体"/>
                <w:szCs w:val="18"/>
              </w:rPr>
            </w:pPr>
            <w:r>
              <w:rPr>
                <w:rFonts w:cs="宋体" w:hint="eastAsia"/>
                <w:szCs w:val="18"/>
              </w:rPr>
              <w:t>5</w:t>
            </w:r>
          </w:p>
          <w:p w:rsidR="00D9225E">
            <w:pPr>
              <w:pStyle w:val="LW13"/>
              <w:rPr>
                <w:rFonts w:cs="宋体"/>
                <w:szCs w:val="18"/>
              </w:rPr>
            </w:pPr>
            <w:r>
              <w:rPr>
                <w:rFonts w:cs="宋体" w:hint="eastAsia"/>
                <w:szCs w:val="18"/>
              </w:rPr>
              <w:t>4</w:t>
            </w:r>
          </w:p>
          <w:p w:rsidR="00D9225E">
            <w:pPr>
              <w:pStyle w:val="LW13"/>
              <w:rPr>
                <w:rFonts w:cs="宋体"/>
                <w:szCs w:val="18"/>
              </w:rPr>
            </w:pPr>
            <w:r>
              <w:rPr>
                <w:rFonts w:cs="宋体" w:hint="eastAsia"/>
                <w:szCs w:val="18"/>
              </w:rPr>
              <w:t>3</w:t>
            </w:r>
          </w:p>
        </w:tc>
        <w:tc>
          <w:tcPr>
            <w:tcW w:w="1861" w:type="dxa"/>
            <w:shd w:val="clear" w:color="auto" w:fill="auto"/>
            <w:vAlign w:val="center"/>
          </w:tcPr>
          <w:p w:rsidR="00D9225E">
            <w:pPr>
              <w:pStyle w:val="LW13"/>
              <w:rPr>
                <w:rFonts w:cs="宋体"/>
                <w:szCs w:val="18"/>
              </w:rPr>
            </w:pPr>
            <w:r>
              <w:rPr>
                <w:rFonts w:cs="宋体" w:hint="eastAsia"/>
                <w:szCs w:val="18"/>
              </w:rPr>
              <w:t>6</w:t>
            </w:r>
          </w:p>
          <w:p w:rsidR="00D9225E">
            <w:pPr>
              <w:pStyle w:val="LW13"/>
              <w:shd w:val="clear" w:color="auto" w:fill="FF0000"/>
              <w:rPr>
                <w:rFonts w:cs="宋体"/>
                <w:szCs w:val="18"/>
              </w:rPr>
            </w:pPr>
            <w:r>
              <w:rPr>
                <w:rFonts w:cs="宋体" w:hint="eastAsia"/>
                <w:szCs w:val="18"/>
              </w:rPr>
              <w:t>4</w:t>
            </w:r>
          </w:p>
          <w:p w:rsidR="00D9225E">
            <w:pPr>
              <w:pStyle w:val="LW13"/>
              <w:rPr>
                <w:rFonts w:cs="宋体"/>
                <w:szCs w:val="18"/>
              </w:rPr>
            </w:pPr>
            <w:r>
              <w:rPr>
                <w:rFonts w:cs="宋体" w:hint="eastAsia"/>
                <w:szCs w:val="18"/>
              </w:rPr>
              <w:t>3</w:t>
            </w:r>
          </w:p>
          <w:p w:rsidR="00D9225E">
            <w:pPr>
              <w:pStyle w:val="LW13"/>
              <w:rPr>
                <w:rFonts w:cs="宋体"/>
                <w:szCs w:val="18"/>
              </w:rPr>
            </w:pPr>
            <w:r>
              <w:rPr>
                <w:rFonts w:cs="宋体" w:hint="eastAsia"/>
                <w:szCs w:val="18"/>
              </w:rPr>
              <w:t>2</w:t>
            </w:r>
          </w:p>
        </w:tc>
        <w:tc>
          <w:tcPr>
            <w:tcW w:w="0" w:type="auto"/>
            <w:shd w:val="clear" w:color="auto" w:fill="auto"/>
            <w:vAlign w:val="center"/>
          </w:tcPr>
          <w:p w:rsidR="00D9225E">
            <w:pPr>
              <w:pStyle w:val="LW13"/>
              <w:rPr>
                <w:rFonts w:cs="宋体"/>
                <w:szCs w:val="18"/>
              </w:rPr>
            </w:pPr>
            <w:r>
              <w:rPr>
                <w:rFonts w:cs="宋体" w:hint="eastAsia"/>
                <w:szCs w:val="18"/>
              </w:rPr>
              <w:t>10</w:t>
            </w:r>
          </w:p>
          <w:p w:rsidR="00D9225E">
            <w:pPr>
              <w:pStyle w:val="LW13"/>
              <w:rPr>
                <w:rFonts w:cs="宋体"/>
                <w:szCs w:val="18"/>
              </w:rPr>
            </w:pPr>
            <w:r>
              <w:rPr>
                <w:rFonts w:cs="宋体" w:hint="eastAsia"/>
                <w:szCs w:val="18"/>
              </w:rPr>
              <w:t>10</w:t>
            </w:r>
          </w:p>
          <w:p w:rsidR="00D9225E">
            <w:pPr>
              <w:pStyle w:val="LW13"/>
              <w:rPr>
                <w:rFonts w:cs="宋体"/>
                <w:szCs w:val="18"/>
              </w:rPr>
            </w:pPr>
            <w:r>
              <w:rPr>
                <w:rFonts w:cs="宋体" w:hint="eastAsia"/>
                <w:szCs w:val="18"/>
              </w:rPr>
              <w:t>15</w:t>
            </w:r>
          </w:p>
          <w:p w:rsidR="00D9225E">
            <w:pPr>
              <w:pStyle w:val="LW13"/>
              <w:rPr>
                <w:rFonts w:cs="宋体"/>
                <w:szCs w:val="18"/>
              </w:rPr>
            </w:pPr>
            <w:r>
              <w:rPr>
                <w:rFonts w:cs="宋体" w:hint="eastAsia"/>
                <w:szCs w:val="18"/>
              </w:rPr>
              <w:t>25</w:t>
            </w:r>
          </w:p>
        </w:tc>
      </w:tr>
      <w:tr>
        <w:tblPrEx>
          <w:tblW w:w="9715" w:type="dxa"/>
          <w:jc w:val="center"/>
          <w:tblCellMar>
            <w:left w:w="40" w:type="dxa"/>
            <w:right w:w="40" w:type="dxa"/>
          </w:tblCellMar>
          <w:tblLook w:val="04A0"/>
        </w:tblPrEx>
        <w:trPr>
          <w:trHeight w:val="360"/>
          <w:jc w:val="center"/>
        </w:trPr>
        <w:tc>
          <w:tcPr>
            <w:tcW w:w="0" w:type="auto"/>
            <w:gridSpan w:val="2"/>
            <w:shd w:val="clear" w:color="auto" w:fill="auto"/>
            <w:vAlign w:val="center"/>
          </w:tcPr>
          <w:p w:rsidR="00D9225E">
            <w:pPr>
              <w:pStyle w:val="LW13"/>
              <w:rPr>
                <w:rFonts w:cs="宋体"/>
                <w:szCs w:val="18"/>
              </w:rPr>
            </w:pPr>
            <w:r>
              <w:rPr>
                <w:rFonts w:cs="宋体" w:hint="eastAsia"/>
                <w:szCs w:val="18"/>
              </w:rPr>
              <w:t>零填及路堑路床</w:t>
            </w:r>
          </w:p>
        </w:tc>
        <w:tc>
          <w:tcPr>
            <w:tcW w:w="0" w:type="auto"/>
            <w:shd w:val="clear" w:color="auto" w:fill="auto"/>
            <w:vAlign w:val="center"/>
          </w:tcPr>
          <w:p w:rsidR="00D9225E">
            <w:pPr>
              <w:pStyle w:val="LW13"/>
              <w:rPr>
                <w:rFonts w:cs="宋体"/>
                <w:szCs w:val="18"/>
              </w:rPr>
            </w:pPr>
            <w:r>
              <w:rPr>
                <w:rFonts w:cs="宋体" w:hint="eastAsia"/>
                <w:szCs w:val="18"/>
              </w:rPr>
              <w:t>0</w:t>
            </w:r>
            <w:r>
              <w:rPr>
                <w:rFonts w:cs="宋体" w:hint="eastAsia"/>
                <w:szCs w:val="18"/>
              </w:rPr>
              <w:t>～</w:t>
            </w:r>
            <w:r>
              <w:rPr>
                <w:rFonts w:cs="宋体" w:hint="eastAsia"/>
                <w:szCs w:val="18"/>
              </w:rPr>
              <w:t>30</w:t>
            </w:r>
          </w:p>
        </w:tc>
        <w:tc>
          <w:tcPr>
            <w:tcW w:w="1603" w:type="dxa"/>
            <w:shd w:val="clear" w:color="auto" w:fill="auto"/>
            <w:vAlign w:val="center"/>
          </w:tcPr>
          <w:p w:rsidR="00D9225E">
            <w:pPr>
              <w:pStyle w:val="LW13"/>
              <w:rPr>
                <w:rFonts w:cs="宋体"/>
                <w:szCs w:val="18"/>
              </w:rPr>
            </w:pPr>
            <w:r>
              <w:rPr>
                <w:rFonts w:cs="宋体" w:hint="eastAsia"/>
                <w:szCs w:val="18"/>
              </w:rPr>
              <w:t>8</w:t>
            </w:r>
          </w:p>
        </w:tc>
        <w:tc>
          <w:tcPr>
            <w:tcW w:w="1861" w:type="dxa"/>
            <w:shd w:val="clear" w:color="auto" w:fill="auto"/>
            <w:vAlign w:val="center"/>
          </w:tcPr>
          <w:p w:rsidR="00D9225E">
            <w:pPr>
              <w:pStyle w:val="LW13"/>
              <w:rPr>
                <w:rFonts w:cs="宋体"/>
                <w:szCs w:val="18"/>
              </w:rPr>
            </w:pPr>
            <w:r>
              <w:rPr>
                <w:rFonts w:cs="宋体" w:hint="eastAsia"/>
                <w:szCs w:val="18"/>
              </w:rPr>
              <w:t>6</w:t>
            </w:r>
          </w:p>
        </w:tc>
        <w:tc>
          <w:tcPr>
            <w:tcW w:w="0" w:type="auto"/>
            <w:shd w:val="clear" w:color="auto" w:fill="auto"/>
            <w:vAlign w:val="center"/>
          </w:tcPr>
          <w:p w:rsidR="00D9225E">
            <w:pPr>
              <w:pStyle w:val="LW13"/>
              <w:rPr>
                <w:rFonts w:cs="宋体"/>
                <w:szCs w:val="18"/>
              </w:rPr>
            </w:pPr>
            <w:r>
              <w:rPr>
                <w:rFonts w:cs="宋体" w:hint="eastAsia"/>
                <w:szCs w:val="18"/>
              </w:rPr>
              <w:t>10</w:t>
            </w:r>
          </w:p>
        </w:tc>
      </w:tr>
    </w:tbl>
    <w:p w:rsidR="00D9225E">
      <w:pPr>
        <w:pStyle w:val="LW"/>
        <w:ind w:firstLine="400"/>
        <w:rPr>
          <w:sz w:val="18"/>
        </w:rPr>
      </w:pPr>
      <w:r>
        <w:rPr>
          <w:rFonts w:hint="eastAsia"/>
          <w:sz w:val="18"/>
        </w:rPr>
        <w:t>注：①本路床填料最小强度标准表选自《城市道路路基设计规范》</w:t>
      </w:r>
      <w:r>
        <w:rPr>
          <w:rFonts w:hint="eastAsia"/>
          <w:sz w:val="18"/>
        </w:rPr>
        <w:t>(CJJ 194-2013)</w:t>
      </w:r>
      <w:r>
        <w:rPr>
          <w:rFonts w:hint="eastAsia"/>
          <w:sz w:val="18"/>
        </w:rPr>
        <w:t>；②本次设计道路为城市主干路，路床路床填料最小强度选用主干路标准。③非机动车道路床填料最小强度选用次干路标准</w:t>
      </w:r>
    </w:p>
    <w:p w:rsidR="00D9225E">
      <w:pPr>
        <w:pStyle w:val="LW"/>
        <w:ind w:firstLine="520"/>
      </w:pPr>
      <w:r>
        <w:rPr>
          <w:rFonts w:hint="eastAsia"/>
        </w:rPr>
        <w:t>路床土质应均匀、密实、强度高。</w:t>
      </w:r>
    </w:p>
    <w:p w:rsidR="00D9225E">
      <w:pPr>
        <w:pStyle w:val="LW2"/>
        <w:ind w:firstLine="520"/>
      </w:pPr>
      <w:r>
        <w:rPr>
          <w:rFonts w:hint="eastAsia"/>
        </w:rPr>
        <w:t>填方边坡坡率</w:t>
      </w:r>
    </w:p>
    <w:p w:rsidR="00D9225E">
      <w:pPr>
        <w:pStyle w:val="LW"/>
        <w:ind w:firstLine="520"/>
      </w:pPr>
      <w:r>
        <w:rPr>
          <w:rFonts w:hint="eastAsia"/>
        </w:rPr>
        <w:t>填方边坡采用坡率法放坡，</w:t>
      </w:r>
      <w:r>
        <w:rPr>
          <w:rFonts w:hint="eastAsia"/>
        </w:rPr>
        <w:t>本项目填方高度小于</w:t>
      </w:r>
      <w:r>
        <w:rPr>
          <w:rFonts w:hint="eastAsia"/>
        </w:rPr>
        <w:t>8m</w:t>
      </w:r>
      <w:r>
        <w:rPr>
          <w:rFonts w:hint="eastAsia"/>
        </w:rPr>
        <w:t>，</w:t>
      </w:r>
      <w:r>
        <w:rPr>
          <w:rFonts w:hint="eastAsia"/>
        </w:rPr>
        <w:t>按</w:t>
      </w:r>
      <w:r>
        <w:rPr>
          <w:rFonts w:hint="eastAsia"/>
        </w:rPr>
        <w:t>边坡坡率</w:t>
      </w:r>
      <w:r>
        <w:rPr>
          <w:rFonts w:hint="eastAsia"/>
        </w:rPr>
        <w:t>1:1.5</w:t>
      </w:r>
      <w:r>
        <w:rPr>
          <w:rFonts w:hint="eastAsia"/>
        </w:rPr>
        <w:t>放坡。</w:t>
      </w:r>
    </w:p>
    <w:p w:rsidR="00D9225E">
      <w:pPr>
        <w:pStyle w:val="LW2"/>
        <w:ind w:firstLine="520"/>
      </w:pPr>
      <w:r>
        <w:rPr>
          <w:rFonts w:hint="eastAsia"/>
        </w:rPr>
        <w:t>基底处理</w:t>
      </w:r>
    </w:p>
    <w:p w:rsidR="00D9225E">
      <w:pPr>
        <w:pStyle w:val="LW"/>
        <w:ind w:firstLine="520"/>
      </w:pPr>
      <w:r>
        <w:rPr>
          <w:rFonts w:hint="eastAsia"/>
        </w:rPr>
        <w:t>路堤修筑时，原地面的坑、洞、墓穴等应用原地的土或砂性土回填，并进行压实，路堤基底为耕地或松土时，应先清除有机土、种植土、树根、杂草后，再压实。其压实度不应小于路基压实标准。当路基穿过水塘或水田时，必须抽干积水，清除淤泥和腐殖土，压实基底后方可填筑；当地下水位较高或土质湿软地段的路基压实度达不到要求时，必须采用有效措施进行处理；当填方路段的地面自然纵坡大于</w:t>
      </w:r>
      <w:r>
        <w:rPr>
          <w:rFonts w:hint="eastAsia"/>
        </w:rPr>
        <w:t>12%</w:t>
      </w:r>
      <w:r>
        <w:rPr>
          <w:rFonts w:hint="eastAsia"/>
        </w:rPr>
        <w:t>、横坡大于</w:t>
      </w:r>
      <w:r>
        <w:rPr>
          <w:rFonts w:hint="eastAsia"/>
        </w:rPr>
        <w:t>1</w:t>
      </w:r>
      <w:r>
        <w:rPr>
          <w:rFonts w:hint="eastAsia"/>
        </w:rPr>
        <w:t>：</w:t>
      </w:r>
      <w:r>
        <w:rPr>
          <w:rFonts w:hint="eastAsia"/>
        </w:rPr>
        <w:t>5</w:t>
      </w:r>
      <w:r>
        <w:rPr>
          <w:rFonts w:hint="eastAsia"/>
        </w:rPr>
        <w:t>时，应在斜坡上分级挖成宽度不小于</w:t>
      </w:r>
      <w:r>
        <w:rPr>
          <w:rFonts w:hint="eastAsia"/>
        </w:rPr>
        <w:t>2</w:t>
      </w:r>
      <w:r>
        <w:rPr>
          <w:rFonts w:hint="eastAsia"/>
        </w:rPr>
        <w:t>.0m</w:t>
      </w:r>
      <w:r>
        <w:rPr>
          <w:rFonts w:hint="eastAsia"/>
        </w:rPr>
        <w:t>，并向内倾斜坡度</w:t>
      </w:r>
      <w:r>
        <w:rPr>
          <w:rFonts w:hint="eastAsia"/>
        </w:rPr>
        <w:t>2%</w:t>
      </w:r>
      <w:r>
        <w:rPr>
          <w:rFonts w:hint="eastAsia"/>
        </w:rPr>
        <w:t>～</w:t>
      </w:r>
      <w:r>
        <w:rPr>
          <w:rFonts w:hint="eastAsia"/>
        </w:rPr>
        <w:t>4%</w:t>
      </w:r>
      <w:r>
        <w:rPr>
          <w:rFonts w:hint="eastAsia"/>
        </w:rPr>
        <w:t>的台阶，并用小型夯实机加以夯实后方可进行分层碾压。</w:t>
      </w:r>
    </w:p>
    <w:p w:rsidR="00D9225E">
      <w:pPr>
        <w:pStyle w:val="LW"/>
        <w:ind w:firstLine="520"/>
      </w:pPr>
      <w:r>
        <w:rPr>
          <w:rFonts w:hint="eastAsia"/>
        </w:rPr>
        <w:t>路基填土高度小于</w:t>
      </w:r>
      <w:r>
        <w:rPr>
          <w:rFonts w:hint="eastAsia"/>
        </w:rPr>
        <w:t>80</w:t>
      </w:r>
      <w:r>
        <w:t>cm</w:t>
      </w:r>
      <w:r>
        <w:rPr>
          <w:rFonts w:hint="eastAsia"/>
        </w:rPr>
        <w:t>时，基底的压实度不宜小于路床的压实度标准，基底松散土层厚度大于</w:t>
      </w:r>
      <w:r>
        <w:rPr>
          <w:rFonts w:hint="eastAsia"/>
        </w:rPr>
        <w:t>30</w:t>
      </w:r>
      <w:r>
        <w:t>cm</w:t>
      </w:r>
      <w:r>
        <w:rPr>
          <w:rFonts w:hint="eastAsia"/>
        </w:rPr>
        <w:t>时，应翻挖后再回填分层压实。</w:t>
      </w:r>
    </w:p>
    <w:p w:rsidR="00D9225E">
      <w:pPr>
        <w:pStyle w:val="LW2"/>
        <w:ind w:firstLine="520"/>
      </w:pPr>
      <w:r>
        <w:rPr>
          <w:rFonts w:hint="eastAsia"/>
        </w:rPr>
        <w:t>填筑要求</w:t>
      </w:r>
    </w:p>
    <w:p w:rsidR="00D9225E">
      <w:pPr>
        <w:pStyle w:val="LW"/>
        <w:ind w:firstLine="520"/>
      </w:pPr>
      <w:r>
        <w:rPr>
          <w:rFonts w:hint="eastAsia"/>
        </w:rPr>
        <w:t>路基应采用重型振动压路机分层碾压，分层的最大松铺厚度，土方路堤不大于</w:t>
      </w:r>
      <w:r>
        <w:rPr>
          <w:rFonts w:hint="eastAsia"/>
        </w:rPr>
        <w:t>30cm</w:t>
      </w:r>
      <w:r>
        <w:rPr>
          <w:rFonts w:hint="eastAsia"/>
        </w:rPr>
        <w:t>，土石路堤不大于</w:t>
      </w:r>
      <w:r>
        <w:rPr>
          <w:rFonts w:hint="eastAsia"/>
        </w:rPr>
        <w:t>40cm</w:t>
      </w:r>
      <w:r>
        <w:rPr>
          <w:rFonts w:hint="eastAsia"/>
        </w:rPr>
        <w:t>，填筑至路床顶面最后一层的最小压实厚度，不应小于</w:t>
      </w:r>
      <w:r>
        <w:rPr>
          <w:rFonts w:hint="eastAsia"/>
        </w:rPr>
        <w:t>8cm</w:t>
      </w:r>
      <w:r>
        <w:rPr>
          <w:rFonts w:hint="eastAsia"/>
        </w:rPr>
        <w:t>。不同种类的土必须分段分层填筑，不应混杂，且用不同土填筑的层数宜少。管径顶面填土厚度必须大于</w:t>
      </w:r>
      <w:r>
        <w:rPr>
          <w:rFonts w:hint="eastAsia"/>
        </w:rPr>
        <w:t>30cm</w:t>
      </w:r>
      <w:r>
        <w:rPr>
          <w:rFonts w:hint="eastAsia"/>
        </w:rPr>
        <w:t>，方能上压路机辗压。</w:t>
      </w:r>
    </w:p>
    <w:p w:rsidR="00D9225E">
      <w:pPr>
        <w:pStyle w:val="LW"/>
        <w:ind w:firstLine="520"/>
      </w:pPr>
      <w:r>
        <w:rPr>
          <w:rFonts w:hint="eastAsia"/>
        </w:rPr>
        <w:t>桥涵、管道沟槽、检</w:t>
      </w:r>
      <w:r>
        <w:rPr>
          <w:rFonts w:hint="eastAsia"/>
        </w:rPr>
        <w:t>查井、雨水口等周围的回填土在对称的两侧或四周同时均匀分层回填压夯实，填土材料采用砂砾等透水性材料（填料的最大粒径不超过</w:t>
      </w:r>
      <w:r>
        <w:rPr>
          <w:rFonts w:hint="eastAsia"/>
        </w:rPr>
        <w:t>50 mm</w:t>
      </w:r>
      <w:r>
        <w:rPr>
          <w:rFonts w:hint="eastAsia"/>
        </w:rPr>
        <w:t>）或石灰土，未采用含有泥草、腐殖物或冻土块的土。</w:t>
      </w:r>
    </w:p>
    <w:p w:rsidR="00D9225E">
      <w:pPr>
        <w:pStyle w:val="LW"/>
        <w:ind w:firstLine="520"/>
      </w:pPr>
      <w:r>
        <w:rPr>
          <w:rFonts w:hint="eastAsia"/>
        </w:rPr>
        <w:t>采用振动压路机碾压时，应遵循先轻后重，先稳后振，先低后高，先慢后快以及轮迹重叠等原则，至少碾压三遍直到达到规定的压实度为准，施工过程中严格执行最新道路路基规范。</w:t>
      </w:r>
    </w:p>
    <w:p w:rsidR="00D9225E">
      <w:pPr>
        <w:pStyle w:val="LW21"/>
      </w:pPr>
      <w:r>
        <w:t>挖方路基设计</w:t>
      </w:r>
    </w:p>
    <w:p w:rsidR="00D9225E">
      <w:pPr>
        <w:pStyle w:val="LW"/>
        <w:ind w:firstLine="520"/>
      </w:pPr>
      <w:r>
        <w:rPr>
          <w:rFonts w:hint="eastAsia"/>
        </w:rPr>
        <w:t>挖方边坡根据边坡类型分别考虑</w:t>
      </w:r>
      <w:r>
        <w:t>8</w:t>
      </w:r>
      <w:r>
        <w:rPr>
          <w:rFonts w:hint="eastAsia"/>
        </w:rPr>
        <w:t>m</w:t>
      </w:r>
      <w:r>
        <w:rPr>
          <w:rFonts w:hint="eastAsia"/>
        </w:rPr>
        <w:t>一级，每两级边坡间留</w:t>
      </w:r>
      <w:r>
        <w:rPr>
          <w:rFonts w:hint="eastAsia"/>
        </w:rPr>
        <w:t>3</w:t>
      </w:r>
      <w:r>
        <w:rPr>
          <w:rFonts w:hint="eastAsia"/>
        </w:rPr>
        <w:t>.0m</w:t>
      </w:r>
      <w:r>
        <w:rPr>
          <w:rFonts w:hint="eastAsia"/>
        </w:rPr>
        <w:t>宽护坡道。挖方边坡根据</w:t>
      </w:r>
      <w:r>
        <w:rPr>
          <w:rFonts w:hint="eastAsia"/>
        </w:rPr>
        <w:t>地勘资料进行放坡设计，按照</w:t>
      </w:r>
      <w:r>
        <w:rPr>
          <w:rFonts w:hint="eastAsia"/>
        </w:rPr>
        <w:t>1:1.</w:t>
      </w:r>
      <w:r>
        <w:rPr>
          <w:rFonts w:hint="eastAsia"/>
        </w:rPr>
        <w:t>7</w:t>
      </w:r>
      <w:r>
        <w:rPr>
          <w:rFonts w:hint="eastAsia"/>
        </w:rPr>
        <w:t>5</w:t>
      </w:r>
      <w:r>
        <w:rPr>
          <w:rFonts w:hint="eastAsia"/>
        </w:rPr>
        <w:t>进行放坡</w:t>
      </w:r>
      <w:r>
        <w:t>，</w:t>
      </w:r>
      <w:r>
        <w:rPr>
          <w:rFonts w:hint="eastAsia"/>
        </w:rPr>
        <w:t>详见</w:t>
      </w:r>
      <w:r>
        <w:t>《</w:t>
      </w:r>
      <w:r>
        <w:rPr>
          <w:rFonts w:hint="eastAsia"/>
        </w:rPr>
        <w:t>道路路基逐桩横断面</w:t>
      </w:r>
      <w:r>
        <w:t>》</w:t>
      </w:r>
      <w:r>
        <w:rPr>
          <w:rFonts w:hint="eastAsia"/>
        </w:rPr>
        <w:t>。</w:t>
      </w:r>
      <w:r>
        <w:rPr>
          <w:rFonts w:hint="eastAsia"/>
        </w:rPr>
        <w:t>挖方边坡坡顶外</w:t>
      </w:r>
      <w:r>
        <w:t>5</w:t>
      </w:r>
      <w:r>
        <w:rPr>
          <w:rFonts w:hint="eastAsia"/>
        </w:rPr>
        <w:t>m</w:t>
      </w:r>
      <w:r>
        <w:rPr>
          <w:rFonts w:hint="eastAsia"/>
        </w:rPr>
        <w:t>设截水沟，顺地势通过截水沟</w:t>
      </w:r>
      <w:r>
        <w:t>、</w:t>
      </w:r>
      <w:r>
        <w:rPr>
          <w:rFonts w:hint="eastAsia"/>
        </w:rPr>
        <w:t>跌水或急流槽接入涵洞或者</w:t>
      </w:r>
      <w:r>
        <w:t>市政管网雨水</w:t>
      </w:r>
      <w:r>
        <w:rPr>
          <w:rFonts w:hint="eastAsia"/>
        </w:rPr>
        <w:t>井，排出路基范围。</w:t>
      </w:r>
    </w:p>
    <w:p w:rsidR="00D9225E">
      <w:pPr>
        <w:pStyle w:val="LW"/>
        <w:ind w:firstLine="520"/>
      </w:pPr>
      <w:r>
        <w:rPr>
          <w:rFonts w:hint="eastAsia"/>
        </w:rPr>
        <w:t>开挖前应将适用于种植草皮和其他用途的表面土储存起来，用于绿化填土。</w:t>
      </w:r>
    </w:p>
    <w:p w:rsidR="00D9225E">
      <w:pPr>
        <w:pStyle w:val="LW"/>
        <w:ind w:firstLine="520"/>
      </w:pPr>
      <w:r>
        <w:rPr>
          <w:rFonts w:hint="eastAsia"/>
        </w:rPr>
        <w:t>路基开挖必须按设计断面自上而下开挖，不得乱挖、超挖，开挖至路基顶面时应注意预留碾压沉降高度。</w:t>
      </w:r>
    </w:p>
    <w:p w:rsidR="00D9225E">
      <w:pPr>
        <w:pStyle w:val="LW"/>
        <w:ind w:firstLine="520"/>
        <w:sectPr>
          <w:headerReference w:type="even" r:id="rId48"/>
          <w:footerReference w:type="even" r:id="rId49"/>
          <w:type w:val="nextPage"/>
          <w:pgSz w:w="23811" w:h="16838" w:orient="landscape"/>
          <w:pgMar w:top="851" w:right="851" w:bottom="3119" w:left="1985" w:header="879" w:footer="765" w:gutter="0"/>
          <w:pgNumType w:start="16"/>
          <w:cols w:num="2" w:space="425"/>
          <w:titlePg w:val="0"/>
          <w:docGrid w:type="lines" w:linePitch="312"/>
        </w:sectPr>
      </w:pPr>
      <w:r>
        <w:rPr>
          <w:rFonts w:hint="eastAsia"/>
        </w:rPr>
        <w:t>本项目根据实际情况，边坡为临时边坡，坡面</w:t>
      </w:r>
      <w:r>
        <w:rPr>
          <w:rFonts w:hint="eastAsia"/>
        </w:rPr>
        <w:t>采用喷播植草防护</w:t>
      </w:r>
      <w:r>
        <w:rPr>
          <w:rFonts w:hint="eastAsia"/>
        </w:rPr>
        <w:t>。</w:t>
      </w:r>
    </w:p>
    <w:p w:rsidR="00D9225E">
      <w:pPr>
        <w:pStyle w:val="LW21"/>
      </w:pPr>
      <w:bookmarkStart w:id="232" w:name="_Toc88337521"/>
      <w:bookmarkStart w:id="233" w:name="_Toc88141378"/>
      <w:bookmarkStart w:id="234" w:name="_Toc88148499"/>
      <w:bookmarkStart w:id="235" w:name="_Toc68246965"/>
      <w:bookmarkStart w:id="236" w:name="_Toc88140214"/>
      <w:bookmarkStart w:id="237" w:name="_Toc68246639"/>
      <w:bookmarkStart w:id="238" w:name="_Toc68246803"/>
      <w:bookmarkStart w:id="239" w:name="_Toc57148296"/>
      <w:bookmarkStart w:id="240" w:name="_Toc57148447"/>
      <w:bookmarkStart w:id="241" w:name="_Toc529402187"/>
      <w:r>
        <w:rPr>
          <w:rFonts w:hint="eastAsia"/>
        </w:rPr>
        <w:t>路基排水设计</w:t>
      </w:r>
      <w:bookmarkEnd w:id="232"/>
      <w:bookmarkEnd w:id="233"/>
      <w:bookmarkEnd w:id="234"/>
      <w:bookmarkEnd w:id="235"/>
      <w:bookmarkEnd w:id="236"/>
      <w:bookmarkEnd w:id="237"/>
      <w:bookmarkEnd w:id="238"/>
      <w:bookmarkEnd w:id="239"/>
      <w:bookmarkEnd w:id="240"/>
      <w:bookmarkEnd w:id="241"/>
    </w:p>
    <w:p w:rsidR="00D9225E">
      <w:pPr>
        <w:pStyle w:val="LW"/>
        <w:ind w:firstLine="520"/>
      </w:pPr>
      <w:r>
        <w:rPr>
          <w:rFonts w:hint="eastAsia"/>
        </w:rPr>
        <w:t>路基、路面设计时应注意排水，应充分考虑现状排水系统、合理安排排水路线，充分利用沿线已建和新建的永久性排水设施。所有临时排水管、排水沟和盲沟的水流，均应引至沿线出水口中。</w:t>
      </w:r>
    </w:p>
    <w:p w:rsidR="00D9225E">
      <w:pPr>
        <w:pStyle w:val="LW"/>
        <w:ind w:firstLine="520"/>
      </w:pPr>
      <w:r>
        <w:rPr>
          <w:rFonts w:hint="eastAsia"/>
        </w:rPr>
        <w:t>路基分层挖填时应根据土的透水性能将表面筑成</w:t>
      </w:r>
      <w:r>
        <w:rPr>
          <w:rFonts w:hint="eastAsia"/>
        </w:rPr>
        <w:t>2</w:t>
      </w:r>
      <w:r>
        <w:rPr>
          <w:rFonts w:hint="eastAsia"/>
        </w:rPr>
        <w:t>～</w:t>
      </w:r>
      <w:r>
        <w:rPr>
          <w:rFonts w:hint="eastAsia"/>
        </w:rPr>
        <w:t>4%</w:t>
      </w:r>
      <w:r>
        <w:rPr>
          <w:rFonts w:hint="eastAsia"/>
        </w:rPr>
        <w:t>的横坡度，并注意纵向排水，经常平整现场，清理散落的土，以利地面排水。当地面水排除困难而无永久性管道收集可利用时，应设置临时排水设施。计量暂按现状地形统计，施工时可根据实际情况设置临时排水设施。</w:t>
      </w:r>
    </w:p>
    <w:p w:rsidR="00D9225E">
      <w:pPr>
        <w:pStyle w:val="LW"/>
        <w:ind w:firstLine="520"/>
      </w:pPr>
      <w:r>
        <w:rPr>
          <w:rFonts w:hint="eastAsia"/>
        </w:rPr>
        <w:t>本项目路基、路面排水采用填方边坡坡脚设置排水沟、道路排水沟及自然沟渠共同形成完整的排水体系，路面及挖方边坡坡面排水采用城市道路的雨、污水排水系统进行排水。</w:t>
      </w:r>
    </w:p>
    <w:p w:rsidR="00D9225E">
      <w:pPr>
        <w:pStyle w:val="LW1"/>
        <w:ind w:firstLine="520"/>
      </w:pPr>
      <w:r>
        <w:t>排、截水沟：</w:t>
      </w:r>
      <w:r>
        <w:t>本项目道路采用排、截水沟作为临时排水系统，边沟材料为</w:t>
      </w:r>
      <w:r>
        <w:rPr>
          <w:rFonts w:hint="eastAsia"/>
        </w:rPr>
        <w:t>MU20</w:t>
      </w:r>
      <w:r>
        <w:rPr>
          <w:rFonts w:hint="eastAsia"/>
        </w:rPr>
        <w:t>块片石截水沟</w:t>
      </w:r>
      <w:r>
        <w:t>，沿道路两侧设置，</w:t>
      </w:r>
      <w:r>
        <w:rPr>
          <w:rFonts w:hint="eastAsia"/>
        </w:rPr>
        <w:t>可根据现场</w:t>
      </w:r>
      <w:r>
        <w:rPr>
          <w:rFonts w:hint="eastAsia"/>
        </w:rPr>
        <w:t>实际情况增设或减少截、排水沟的设置（特别是周边建设条件发生变化）。</w:t>
      </w:r>
      <w:r>
        <w:t>边沟、排水沟纵坡应不小于</w:t>
      </w:r>
      <w:r>
        <w:t>0.3%</w:t>
      </w:r>
      <w:r>
        <w:t>。排、截水沟采用梯形边沟，</w:t>
      </w:r>
      <w:r>
        <w:rPr>
          <w:rFonts w:hint="eastAsia"/>
        </w:rPr>
        <w:t>尺寸为</w:t>
      </w:r>
      <w:r>
        <w:rPr>
          <w:rFonts w:hint="eastAsia"/>
        </w:rPr>
        <w:t>B</w:t>
      </w:r>
      <w:r>
        <w:rPr>
          <w:rFonts w:hint="eastAsia"/>
        </w:rPr>
        <w:t>×</w:t>
      </w:r>
      <w:r>
        <w:rPr>
          <w:rFonts w:hint="eastAsia"/>
        </w:rPr>
        <w:t>H=0.5</w:t>
      </w:r>
      <w:r>
        <w:rPr>
          <w:rFonts w:hint="eastAsia"/>
        </w:rPr>
        <w:t>×</w:t>
      </w:r>
      <w:r>
        <w:rPr>
          <w:rFonts w:hint="eastAsia"/>
        </w:rPr>
        <w:t>0.5</w:t>
      </w:r>
      <w:r>
        <w:rPr>
          <w:rFonts w:hint="eastAsia"/>
        </w:rPr>
        <w:t>m</w:t>
      </w:r>
      <w:r>
        <w:rPr>
          <w:rFonts w:hint="eastAsia"/>
        </w:rPr>
        <w:t>，并在适当位置设置沉砂井，</w:t>
      </w:r>
      <w:r>
        <w:t>具体规格详见</w:t>
      </w:r>
      <w:r>
        <w:rPr>
          <w:rFonts w:hint="eastAsia"/>
        </w:rPr>
        <w:t>排水专业</w:t>
      </w:r>
      <w:r>
        <w:t>图纸。</w:t>
      </w:r>
      <w:r>
        <w:rPr>
          <w:rFonts w:hint="eastAsia"/>
        </w:rPr>
        <w:t>截水沟距离坡顶</w:t>
      </w:r>
      <w:r>
        <w:rPr>
          <w:rFonts w:hint="eastAsia"/>
        </w:rPr>
        <w:t>5m</w:t>
      </w:r>
      <w:r>
        <w:t>。</w:t>
      </w:r>
    </w:p>
    <w:p w:rsidR="00D9225E">
      <w:pPr>
        <w:pStyle w:val="LW6"/>
      </w:pPr>
      <w:r>
        <w:rPr>
          <w:rFonts w:hint="eastAsia"/>
        </w:rPr>
        <w:t>表</w:t>
      </w:r>
      <w:r>
        <w:rPr>
          <w:rFonts w:hint="eastAsia"/>
        </w:rPr>
        <w:t>8.5</w:t>
      </w:r>
      <w:r>
        <w:t xml:space="preserve">-1  </w:t>
      </w:r>
      <w:r>
        <w:rPr>
          <w:rFonts w:hint="eastAsia"/>
        </w:rPr>
        <w:t>截排水沟设置段落表</w:t>
      </w:r>
    </w:p>
    <w:tbl>
      <w:tblPr>
        <w:tblStyle w:val="TableGrid0"/>
        <w:tblW w:w="4997" w:type="pct"/>
        <w:jc w:val="center"/>
        <w:tblBorders>
          <w:top w:val="single" w:sz="12" w:space="0" w:color="auto"/>
          <w:left w:val="single" w:sz="12" w:space="0" w:color="auto"/>
          <w:bottom w:val="single" w:sz="12" w:space="0" w:color="auto"/>
          <w:right w:val="single" w:sz="12" w:space="0" w:color="auto"/>
        </w:tblBorders>
        <w:tblLook w:val="04A0"/>
      </w:tblPr>
      <w:tblGrid>
        <w:gridCol w:w="1318"/>
        <w:gridCol w:w="3123"/>
        <w:gridCol w:w="1094"/>
        <w:gridCol w:w="3287"/>
        <w:gridCol w:w="1417"/>
      </w:tblGrid>
      <w:tr>
        <w:tblPrEx>
          <w:tblW w:w="4997" w:type="pct"/>
          <w:jc w:val="center"/>
          <w:tblBorders>
            <w:top w:val="single" w:sz="12" w:space="0" w:color="auto"/>
            <w:left w:val="single" w:sz="12" w:space="0" w:color="auto"/>
            <w:bottom w:val="single" w:sz="12" w:space="0" w:color="auto"/>
            <w:right w:val="single" w:sz="12" w:space="0" w:color="auto"/>
          </w:tblBorders>
          <w:tblLook w:val="04A0"/>
        </w:tblPrEx>
        <w:trPr>
          <w:trHeight w:val="369"/>
          <w:jc w:val="center"/>
        </w:trPr>
        <w:tc>
          <w:tcPr>
            <w:tcW w:w="644"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序</w:t>
            </w:r>
            <w:r>
              <w:rPr>
                <w:rFonts w:ascii="宋体" w:hAnsi="宋体" w:hint="eastAsia"/>
                <w:b/>
                <w:bCs/>
                <w:color w:val="auto"/>
                <w:spacing w:val="10"/>
                <w:sz w:val="21"/>
                <w:szCs w:val="21"/>
              </w:rPr>
              <w:t xml:space="preserve">  </w:t>
            </w:r>
            <w:r>
              <w:rPr>
                <w:rFonts w:ascii="宋体" w:hAnsi="宋体" w:hint="eastAsia"/>
                <w:b/>
                <w:bCs/>
                <w:color w:val="auto"/>
                <w:spacing w:val="10"/>
                <w:sz w:val="21"/>
                <w:szCs w:val="21"/>
              </w:rPr>
              <w:t>号</w:t>
            </w:r>
          </w:p>
        </w:tc>
        <w:tc>
          <w:tcPr>
            <w:tcW w:w="1524"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起讫桩号</w:t>
            </w:r>
          </w:p>
        </w:tc>
        <w:tc>
          <w:tcPr>
            <w:tcW w:w="534"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位</w:t>
            </w:r>
            <w:r>
              <w:rPr>
                <w:rFonts w:ascii="宋体" w:hAnsi="宋体" w:hint="eastAsia"/>
                <w:b/>
                <w:bCs/>
                <w:color w:val="auto"/>
                <w:spacing w:val="10"/>
                <w:sz w:val="21"/>
                <w:szCs w:val="21"/>
              </w:rPr>
              <w:t xml:space="preserve">  </w:t>
            </w:r>
            <w:r>
              <w:rPr>
                <w:rFonts w:ascii="宋体" w:hAnsi="宋体" w:hint="eastAsia"/>
                <w:b/>
                <w:bCs/>
                <w:color w:val="auto"/>
                <w:spacing w:val="10"/>
                <w:sz w:val="21"/>
                <w:szCs w:val="21"/>
              </w:rPr>
              <w:t>置</w:t>
            </w:r>
          </w:p>
        </w:tc>
        <w:tc>
          <w:tcPr>
            <w:tcW w:w="1604"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临时截水沟长度</w:t>
            </w:r>
            <w:r>
              <w:rPr>
                <w:rFonts w:ascii="宋体" w:hAnsi="宋体" w:hint="eastAsia"/>
                <w:b/>
                <w:bCs/>
                <w:color w:val="auto"/>
                <w:spacing w:val="10"/>
                <w:sz w:val="21"/>
                <w:szCs w:val="21"/>
              </w:rPr>
              <w:t>(m)</w:t>
            </w:r>
          </w:p>
        </w:tc>
        <w:tc>
          <w:tcPr>
            <w:tcW w:w="692"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备注</w:t>
            </w:r>
          </w:p>
        </w:tc>
      </w:tr>
      <w:tr>
        <w:tblPrEx>
          <w:tblW w:w="4997" w:type="pct"/>
          <w:jc w:val="center"/>
          <w:tblLook w:val="04A0"/>
        </w:tblPrEx>
        <w:trPr>
          <w:trHeight w:val="369"/>
          <w:jc w:val="center"/>
        </w:trPr>
        <w:tc>
          <w:tcPr>
            <w:tcW w:w="64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1</w:t>
            </w:r>
          </w:p>
        </w:tc>
        <w:tc>
          <w:tcPr>
            <w:tcW w:w="152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K0+120~K0+3</w:t>
            </w:r>
            <w:r>
              <w:rPr>
                <w:rFonts w:ascii="宋体" w:hAnsi="宋体" w:hint="eastAsia"/>
                <w:color w:val="auto"/>
                <w:spacing w:val="10"/>
                <w:sz w:val="21"/>
                <w:szCs w:val="21"/>
              </w:rPr>
              <w:t>60</w:t>
            </w:r>
          </w:p>
        </w:tc>
        <w:tc>
          <w:tcPr>
            <w:tcW w:w="53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左侧</w:t>
            </w:r>
          </w:p>
        </w:tc>
        <w:tc>
          <w:tcPr>
            <w:tcW w:w="160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258</w:t>
            </w:r>
          </w:p>
        </w:tc>
        <w:tc>
          <w:tcPr>
            <w:tcW w:w="69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r>
      <w:tr>
        <w:tblPrEx>
          <w:tblW w:w="4997" w:type="pct"/>
          <w:jc w:val="center"/>
          <w:tblLook w:val="04A0"/>
        </w:tblPrEx>
        <w:trPr>
          <w:trHeight w:val="369"/>
          <w:jc w:val="center"/>
        </w:trPr>
        <w:tc>
          <w:tcPr>
            <w:tcW w:w="64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2</w:t>
            </w:r>
          </w:p>
        </w:tc>
        <w:tc>
          <w:tcPr>
            <w:tcW w:w="152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K0+400~K0+560</w:t>
            </w:r>
          </w:p>
        </w:tc>
        <w:tc>
          <w:tcPr>
            <w:tcW w:w="53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右侧</w:t>
            </w:r>
          </w:p>
        </w:tc>
        <w:tc>
          <w:tcPr>
            <w:tcW w:w="160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176</w:t>
            </w:r>
          </w:p>
        </w:tc>
        <w:tc>
          <w:tcPr>
            <w:tcW w:w="69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r>
      <w:tr>
        <w:tblPrEx>
          <w:tblW w:w="4997" w:type="pct"/>
          <w:jc w:val="center"/>
          <w:tblLook w:val="04A0"/>
        </w:tblPrEx>
        <w:trPr>
          <w:trHeight w:val="369"/>
          <w:jc w:val="center"/>
        </w:trPr>
        <w:tc>
          <w:tcPr>
            <w:tcW w:w="64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合计</w:t>
            </w:r>
          </w:p>
        </w:tc>
        <w:tc>
          <w:tcPr>
            <w:tcW w:w="152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c>
          <w:tcPr>
            <w:tcW w:w="53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c>
          <w:tcPr>
            <w:tcW w:w="1604"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434</w:t>
            </w:r>
          </w:p>
        </w:tc>
        <w:tc>
          <w:tcPr>
            <w:tcW w:w="69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r>
    </w:tbl>
    <w:p w:rsidR="00D9225E">
      <w:pPr>
        <w:pStyle w:val="LW21"/>
      </w:pPr>
      <w:bookmarkStart w:id="242" w:name="_Toc88141379"/>
      <w:bookmarkStart w:id="243" w:name="_Toc143607295"/>
      <w:bookmarkStart w:id="244" w:name="_Toc57148448"/>
      <w:bookmarkStart w:id="245" w:name="_Toc57148297"/>
      <w:bookmarkStart w:id="246" w:name="_Toc68246640"/>
      <w:bookmarkStart w:id="247" w:name="_Toc88148500"/>
      <w:bookmarkStart w:id="248" w:name="_Toc529402186"/>
      <w:bookmarkStart w:id="249" w:name="_Toc88140215"/>
      <w:bookmarkStart w:id="250" w:name="_Toc68246966"/>
      <w:bookmarkStart w:id="251" w:name="_Toc68246804"/>
      <w:bookmarkStart w:id="252" w:name="_Toc88148501"/>
      <w:bookmarkStart w:id="253" w:name="_Toc88337523"/>
      <w:bookmarkStart w:id="254" w:name="_Toc88140216"/>
      <w:bookmarkStart w:id="255" w:name="_Toc88141380"/>
      <w:bookmarkStart w:id="256" w:name="_Toc68246805"/>
      <w:bookmarkStart w:id="257" w:name="_Toc68246967"/>
      <w:bookmarkStart w:id="258" w:name="_Toc57148449"/>
      <w:bookmarkStart w:id="259" w:name="_Toc68246641"/>
      <w:bookmarkStart w:id="260" w:name="_Toc529402188"/>
      <w:bookmarkStart w:id="261" w:name="_Toc57148298"/>
      <w:r>
        <w:rPr>
          <w:rFonts w:hint="eastAsia"/>
        </w:rPr>
        <w:t>特殊路基设计</w:t>
      </w:r>
      <w:bookmarkEnd w:id="242"/>
      <w:bookmarkEnd w:id="243"/>
      <w:bookmarkEnd w:id="244"/>
      <w:bookmarkEnd w:id="245"/>
      <w:bookmarkEnd w:id="246"/>
      <w:bookmarkEnd w:id="247"/>
      <w:bookmarkEnd w:id="248"/>
      <w:bookmarkEnd w:id="249"/>
      <w:bookmarkEnd w:id="250"/>
      <w:bookmarkEnd w:id="251"/>
    </w:p>
    <w:p w:rsidR="00D9225E">
      <w:pPr>
        <w:pStyle w:val="LW1"/>
        <w:ind w:firstLine="520"/>
      </w:pPr>
      <w:r>
        <w:rPr>
          <w:rFonts w:hint="eastAsia"/>
        </w:rPr>
        <w:t>挖方路段换填设计</w:t>
      </w:r>
    </w:p>
    <w:p w:rsidR="00D9225E">
      <w:pPr>
        <w:pStyle w:val="LW"/>
        <w:ind w:firstLine="520"/>
      </w:pPr>
      <w:r>
        <w:rPr>
          <w:rFonts w:hint="eastAsia"/>
        </w:rPr>
        <w:t>根据本项目地勘报告可知，工程建筑场地红粘土呈褐红色、黄褐色，可塑状，由于红粘土液限高如直接作为路基基础，路基可能出现沉降等工程地质问题，秀山区域内红粘土土质较为普遍，现对挖方基层为红粘土部分处置如下：</w:t>
      </w:r>
    </w:p>
    <w:p w:rsidR="00D9225E">
      <w:pPr>
        <w:pStyle w:val="LW"/>
        <w:ind w:firstLine="520"/>
      </w:pPr>
      <w:r>
        <w:rPr>
          <w:rFonts w:hint="eastAsia"/>
        </w:rPr>
        <w:t>挖方路段段在路床</w:t>
      </w:r>
      <w:r>
        <w:rPr>
          <w:rFonts w:hint="eastAsia"/>
        </w:rPr>
        <w:t>1.2m</w:t>
      </w:r>
      <w:r>
        <w:rPr>
          <w:rFonts w:hint="eastAsia"/>
        </w:rPr>
        <w:t>之内进行超挖换填，对该部分路基超挖后，选择放炮砂作为换填填料</w:t>
      </w:r>
      <w:r>
        <w:rPr>
          <w:rFonts w:hint="eastAsia"/>
        </w:rPr>
        <w:t>,</w:t>
      </w:r>
      <w:r>
        <w:rPr>
          <w:rFonts w:hint="eastAsia"/>
        </w:rPr>
        <w:t>并建议取样实验符合回填土要求后方可作为换填填料，填土密实度应满足规范及设计要求。</w:t>
      </w:r>
    </w:p>
    <w:p w:rsidR="00D9225E">
      <w:pPr>
        <w:pStyle w:val="LW6"/>
      </w:pPr>
      <w:r>
        <w:rPr>
          <w:rFonts w:hint="eastAsia"/>
        </w:rPr>
        <w:t>表</w:t>
      </w:r>
      <w:r>
        <w:rPr>
          <w:rFonts w:hint="eastAsia"/>
        </w:rPr>
        <w:t>8.6</w:t>
      </w:r>
      <w:r>
        <w:t xml:space="preserve">-1  </w:t>
      </w:r>
      <w:r>
        <w:rPr>
          <w:rFonts w:hint="eastAsia"/>
        </w:rPr>
        <w:t>红黏土特殊路基处理段落表</w:t>
      </w:r>
    </w:p>
    <w:tbl>
      <w:tblPr>
        <w:tblStyle w:val="TableGrid0"/>
        <w:tblW w:w="4985" w:type="pct"/>
        <w:jc w:val="center"/>
        <w:tblBorders>
          <w:top w:val="single" w:sz="12" w:space="0" w:color="auto"/>
          <w:left w:val="single" w:sz="12" w:space="0" w:color="auto"/>
          <w:bottom w:val="single" w:sz="12" w:space="0" w:color="auto"/>
          <w:right w:val="single" w:sz="12" w:space="0" w:color="auto"/>
        </w:tblBorders>
        <w:tblLook w:val="04A0"/>
      </w:tblPr>
      <w:tblGrid>
        <w:gridCol w:w="1153"/>
        <w:gridCol w:w="2376"/>
        <w:gridCol w:w="2351"/>
        <w:gridCol w:w="1649"/>
        <w:gridCol w:w="1988"/>
        <w:gridCol w:w="697"/>
      </w:tblGrid>
      <w:tr>
        <w:tblPrEx>
          <w:tblW w:w="4985" w:type="pct"/>
          <w:jc w:val="center"/>
          <w:tblBorders>
            <w:top w:val="single" w:sz="12" w:space="0" w:color="auto"/>
            <w:left w:val="single" w:sz="12" w:space="0" w:color="auto"/>
            <w:bottom w:val="single" w:sz="12" w:space="0" w:color="auto"/>
            <w:right w:val="single" w:sz="12" w:space="0" w:color="auto"/>
          </w:tblBorders>
          <w:tblLook w:val="04A0"/>
        </w:tblPrEx>
        <w:trPr>
          <w:trHeight w:val="369"/>
          <w:jc w:val="center"/>
        </w:trPr>
        <w:tc>
          <w:tcPr>
            <w:tcW w:w="565"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序</w:t>
            </w:r>
            <w:r>
              <w:rPr>
                <w:rFonts w:ascii="宋体" w:hAnsi="宋体" w:hint="eastAsia"/>
                <w:b/>
                <w:bCs/>
                <w:color w:val="auto"/>
                <w:spacing w:val="10"/>
                <w:sz w:val="21"/>
                <w:szCs w:val="21"/>
              </w:rPr>
              <w:t xml:space="preserve">  </w:t>
            </w:r>
            <w:r>
              <w:rPr>
                <w:rFonts w:ascii="宋体" w:hAnsi="宋体" w:hint="eastAsia"/>
                <w:b/>
                <w:bCs/>
                <w:color w:val="auto"/>
                <w:spacing w:val="10"/>
                <w:sz w:val="21"/>
                <w:szCs w:val="21"/>
              </w:rPr>
              <w:t>号</w:t>
            </w:r>
          </w:p>
        </w:tc>
        <w:tc>
          <w:tcPr>
            <w:tcW w:w="1162"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起讫桩号</w:t>
            </w:r>
          </w:p>
        </w:tc>
        <w:tc>
          <w:tcPr>
            <w:tcW w:w="1150"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处置措施</w:t>
            </w:r>
          </w:p>
        </w:tc>
        <w:tc>
          <w:tcPr>
            <w:tcW w:w="807"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超挖土方</w:t>
            </w:r>
            <w:r>
              <w:rPr>
                <w:rFonts w:ascii="宋体" w:hAnsi="宋体" w:hint="eastAsia"/>
                <w:b/>
                <w:bCs/>
                <w:color w:val="auto"/>
                <w:spacing w:val="10"/>
                <w:sz w:val="21"/>
                <w:szCs w:val="21"/>
              </w:rPr>
              <w:t>(m</w:t>
            </w:r>
            <w:r>
              <w:rPr>
                <w:rFonts w:ascii="宋体" w:hAnsi="宋体" w:hint="eastAsia"/>
                <w:b/>
                <w:bCs/>
                <w:color w:val="auto"/>
                <w:spacing w:val="10"/>
                <w:sz w:val="21"/>
                <w:szCs w:val="21"/>
                <w:vertAlign w:val="superscript"/>
              </w:rPr>
              <w:t>3</w:t>
            </w:r>
            <w:r>
              <w:rPr>
                <w:rFonts w:ascii="宋体" w:hAnsi="宋体" w:hint="eastAsia"/>
                <w:b/>
                <w:bCs/>
                <w:color w:val="auto"/>
                <w:spacing w:val="10"/>
                <w:sz w:val="21"/>
                <w:szCs w:val="21"/>
              </w:rPr>
              <w:t>)</w:t>
            </w:r>
          </w:p>
        </w:tc>
        <w:tc>
          <w:tcPr>
            <w:tcW w:w="972"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回填放炮砂</w:t>
            </w:r>
            <w:r>
              <w:rPr>
                <w:rFonts w:ascii="宋体" w:hAnsi="宋体" w:hint="eastAsia"/>
                <w:b/>
                <w:bCs/>
                <w:color w:val="auto"/>
                <w:spacing w:val="10"/>
                <w:sz w:val="21"/>
                <w:szCs w:val="21"/>
              </w:rPr>
              <w:t>(m</w:t>
            </w:r>
            <w:r>
              <w:rPr>
                <w:rFonts w:ascii="宋体" w:hAnsi="宋体" w:hint="eastAsia"/>
                <w:b/>
                <w:bCs/>
                <w:color w:val="auto"/>
                <w:spacing w:val="10"/>
                <w:sz w:val="21"/>
                <w:szCs w:val="21"/>
                <w:vertAlign w:val="superscript"/>
              </w:rPr>
              <w:t>3</w:t>
            </w:r>
            <w:r>
              <w:rPr>
                <w:rFonts w:ascii="宋体" w:hAnsi="宋体" w:hint="eastAsia"/>
                <w:b/>
                <w:bCs/>
                <w:color w:val="auto"/>
                <w:spacing w:val="10"/>
                <w:sz w:val="21"/>
                <w:szCs w:val="21"/>
              </w:rPr>
              <w:t>)</w:t>
            </w:r>
          </w:p>
        </w:tc>
        <w:tc>
          <w:tcPr>
            <w:tcW w:w="341" w:type="pct"/>
            <w:tcBorders>
              <w:tl2br w:val="nil"/>
              <w:tr2bl w:val="nil"/>
            </w:tcBorders>
          </w:tcPr>
          <w:p w:rsidR="00D9225E">
            <w:pPr>
              <w:pStyle w:val="2"/>
              <w:spacing w:line="240" w:lineRule="auto"/>
              <w:ind w:firstLine="0" w:firstLineChars="0"/>
              <w:jc w:val="center"/>
              <w:rPr>
                <w:rFonts w:ascii="宋体" w:hAnsi="宋体"/>
                <w:b/>
                <w:bCs/>
                <w:color w:val="auto"/>
                <w:spacing w:val="10"/>
                <w:sz w:val="21"/>
                <w:szCs w:val="21"/>
              </w:rPr>
            </w:pPr>
            <w:r>
              <w:rPr>
                <w:rFonts w:ascii="宋体" w:hAnsi="宋体" w:hint="eastAsia"/>
                <w:b/>
                <w:bCs/>
                <w:color w:val="auto"/>
                <w:spacing w:val="10"/>
                <w:sz w:val="21"/>
                <w:szCs w:val="21"/>
              </w:rPr>
              <w:t>备注</w:t>
            </w:r>
          </w:p>
        </w:tc>
      </w:tr>
      <w:tr>
        <w:tblPrEx>
          <w:tblW w:w="4985" w:type="pct"/>
          <w:jc w:val="center"/>
          <w:tblLook w:val="04A0"/>
        </w:tblPrEx>
        <w:trPr>
          <w:trHeight w:val="369"/>
          <w:jc w:val="center"/>
        </w:trPr>
        <w:tc>
          <w:tcPr>
            <w:tcW w:w="565"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1</w:t>
            </w:r>
          </w:p>
        </w:tc>
        <w:tc>
          <w:tcPr>
            <w:tcW w:w="116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K0+200</w:t>
            </w:r>
            <w:r>
              <w:rPr>
                <w:rFonts w:ascii="宋体" w:hAnsi="宋体" w:hint="eastAsia"/>
                <w:color w:val="auto"/>
                <w:spacing w:val="10"/>
                <w:sz w:val="21"/>
                <w:szCs w:val="21"/>
              </w:rPr>
              <w:t>～</w:t>
            </w:r>
            <w:r>
              <w:rPr>
                <w:rFonts w:ascii="宋体" w:hAnsi="宋体" w:hint="eastAsia"/>
                <w:color w:val="auto"/>
                <w:spacing w:val="10"/>
                <w:sz w:val="21"/>
                <w:szCs w:val="21"/>
              </w:rPr>
              <w:t>K0+260</w:t>
            </w:r>
          </w:p>
        </w:tc>
        <w:tc>
          <w:tcPr>
            <w:tcW w:w="1150"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超挖，回填放炮砂</w:t>
            </w:r>
          </w:p>
        </w:tc>
        <w:tc>
          <w:tcPr>
            <w:tcW w:w="807"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3546</w:t>
            </w:r>
          </w:p>
        </w:tc>
        <w:tc>
          <w:tcPr>
            <w:tcW w:w="97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3564</w:t>
            </w:r>
          </w:p>
        </w:tc>
        <w:tc>
          <w:tcPr>
            <w:tcW w:w="341"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r>
      <w:tr>
        <w:tblPrEx>
          <w:tblW w:w="4985" w:type="pct"/>
          <w:jc w:val="center"/>
          <w:tblLook w:val="04A0"/>
        </w:tblPrEx>
        <w:trPr>
          <w:trHeight w:val="369"/>
          <w:jc w:val="center"/>
        </w:trPr>
        <w:tc>
          <w:tcPr>
            <w:tcW w:w="565"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2</w:t>
            </w:r>
          </w:p>
        </w:tc>
        <w:tc>
          <w:tcPr>
            <w:tcW w:w="116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K0+260</w:t>
            </w:r>
            <w:r>
              <w:rPr>
                <w:rFonts w:ascii="宋体" w:hAnsi="宋体" w:hint="eastAsia"/>
                <w:color w:val="auto"/>
                <w:spacing w:val="10"/>
                <w:sz w:val="21"/>
                <w:szCs w:val="21"/>
              </w:rPr>
              <w:t>～</w:t>
            </w:r>
            <w:r>
              <w:rPr>
                <w:rFonts w:ascii="宋体" w:hAnsi="宋体" w:hint="eastAsia"/>
                <w:color w:val="auto"/>
                <w:spacing w:val="10"/>
                <w:sz w:val="21"/>
                <w:szCs w:val="21"/>
              </w:rPr>
              <w:t>K0+380</w:t>
            </w:r>
          </w:p>
        </w:tc>
        <w:tc>
          <w:tcPr>
            <w:tcW w:w="1150"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超挖，回填放炮砂</w:t>
            </w:r>
          </w:p>
        </w:tc>
        <w:tc>
          <w:tcPr>
            <w:tcW w:w="807"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8475</w:t>
            </w:r>
          </w:p>
        </w:tc>
        <w:tc>
          <w:tcPr>
            <w:tcW w:w="97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8475</w:t>
            </w:r>
          </w:p>
        </w:tc>
        <w:tc>
          <w:tcPr>
            <w:tcW w:w="341"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r>
      <w:tr>
        <w:tblPrEx>
          <w:tblW w:w="4985" w:type="pct"/>
          <w:jc w:val="center"/>
          <w:tblLook w:val="04A0"/>
        </w:tblPrEx>
        <w:trPr>
          <w:trHeight w:val="369"/>
          <w:jc w:val="center"/>
        </w:trPr>
        <w:tc>
          <w:tcPr>
            <w:tcW w:w="565"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3</w:t>
            </w:r>
          </w:p>
        </w:tc>
        <w:tc>
          <w:tcPr>
            <w:tcW w:w="116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K0+380</w:t>
            </w:r>
            <w:r>
              <w:rPr>
                <w:rFonts w:ascii="宋体" w:hAnsi="宋体" w:hint="eastAsia"/>
                <w:color w:val="auto"/>
                <w:spacing w:val="10"/>
                <w:sz w:val="21"/>
                <w:szCs w:val="21"/>
              </w:rPr>
              <w:t>～</w:t>
            </w:r>
            <w:r>
              <w:rPr>
                <w:rFonts w:ascii="宋体" w:hAnsi="宋体" w:hint="eastAsia"/>
                <w:color w:val="auto"/>
                <w:spacing w:val="10"/>
                <w:sz w:val="21"/>
                <w:szCs w:val="21"/>
              </w:rPr>
              <w:t>K0+762</w:t>
            </w:r>
          </w:p>
        </w:tc>
        <w:tc>
          <w:tcPr>
            <w:tcW w:w="1150"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超挖，回填放炮砂</w:t>
            </w:r>
          </w:p>
        </w:tc>
        <w:tc>
          <w:tcPr>
            <w:tcW w:w="807"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22644</w:t>
            </w:r>
          </w:p>
        </w:tc>
        <w:tc>
          <w:tcPr>
            <w:tcW w:w="97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22644</w:t>
            </w:r>
          </w:p>
        </w:tc>
        <w:tc>
          <w:tcPr>
            <w:tcW w:w="341"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r>
      <w:tr>
        <w:tblPrEx>
          <w:tblW w:w="4985" w:type="pct"/>
          <w:jc w:val="center"/>
          <w:tblLook w:val="04A0"/>
        </w:tblPrEx>
        <w:trPr>
          <w:trHeight w:val="369"/>
          <w:jc w:val="center"/>
        </w:trPr>
        <w:tc>
          <w:tcPr>
            <w:tcW w:w="565"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合计</w:t>
            </w:r>
          </w:p>
        </w:tc>
        <w:tc>
          <w:tcPr>
            <w:tcW w:w="116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c>
          <w:tcPr>
            <w:tcW w:w="1150"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c>
          <w:tcPr>
            <w:tcW w:w="807"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34683</w:t>
            </w:r>
          </w:p>
        </w:tc>
        <w:tc>
          <w:tcPr>
            <w:tcW w:w="972"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r>
              <w:rPr>
                <w:rFonts w:ascii="宋体" w:hAnsi="宋体" w:hint="eastAsia"/>
                <w:color w:val="auto"/>
                <w:spacing w:val="10"/>
                <w:sz w:val="21"/>
                <w:szCs w:val="21"/>
              </w:rPr>
              <w:t>34683</w:t>
            </w:r>
          </w:p>
        </w:tc>
        <w:tc>
          <w:tcPr>
            <w:tcW w:w="341" w:type="pct"/>
            <w:tcBorders>
              <w:tl2br w:val="nil"/>
              <w:tr2bl w:val="nil"/>
            </w:tcBorders>
          </w:tcPr>
          <w:p w:rsidR="00D9225E">
            <w:pPr>
              <w:pStyle w:val="2"/>
              <w:spacing w:line="240" w:lineRule="auto"/>
              <w:ind w:firstLine="0" w:firstLineChars="0"/>
              <w:jc w:val="center"/>
              <w:rPr>
                <w:rFonts w:ascii="宋体" w:hAnsi="宋体"/>
                <w:color w:val="auto"/>
                <w:spacing w:val="10"/>
                <w:sz w:val="21"/>
                <w:szCs w:val="21"/>
              </w:rPr>
            </w:pPr>
          </w:p>
        </w:tc>
      </w:tr>
    </w:tbl>
    <w:p w:rsidR="00D9225E">
      <w:pPr>
        <w:pStyle w:val="LW1"/>
        <w:numPr>
          <w:ilvl w:val="4"/>
          <w:numId w:val="0"/>
        </w:numPr>
        <w:ind w:left="420" w:leftChars="200"/>
      </w:pPr>
    </w:p>
    <w:p w:rsidR="00D9225E">
      <w:pPr>
        <w:pStyle w:val="LW1"/>
        <w:ind w:firstLine="520"/>
      </w:pPr>
      <w:r>
        <w:rPr>
          <w:rFonts w:hint="eastAsia"/>
        </w:rPr>
        <w:t>低填浅挖设计</w:t>
      </w:r>
    </w:p>
    <w:p w:rsidR="00D9225E">
      <w:pPr>
        <w:pStyle w:val="LW"/>
        <w:ind w:firstLine="520"/>
      </w:pPr>
      <w:r>
        <w:rPr>
          <w:rFonts w:hint="eastAsia"/>
        </w:rPr>
        <w:t>路基填土高度小于路面和路床总厚度时（</w:t>
      </w:r>
      <w:r>
        <w:rPr>
          <w:rFonts w:hint="eastAsia"/>
        </w:rPr>
        <w:t>h</w:t>
      </w:r>
      <w:r>
        <w:rPr>
          <w:rFonts w:hint="eastAsia"/>
        </w:rPr>
        <w:t>≤</w:t>
      </w:r>
      <w:r>
        <w:rPr>
          <w:rFonts w:hint="eastAsia"/>
        </w:rPr>
        <w:t>150cm</w:t>
      </w:r>
      <w:r>
        <w:rPr>
          <w:rFonts w:hint="eastAsia"/>
        </w:rPr>
        <w:t>），应将该深度范围内的地基表层土进行超挖并分层回填压实，填料应采用透水性材料。</w:t>
      </w:r>
    </w:p>
    <w:p w:rsidR="00D9225E">
      <w:pPr>
        <w:pStyle w:val="LW"/>
        <w:ind w:firstLine="520"/>
      </w:pPr>
      <w:r>
        <w:rPr>
          <w:rFonts w:hint="eastAsia"/>
        </w:rPr>
        <w:t>一般土质挖方路段路床顶面的压实度和土基回弹模量</w:t>
      </w:r>
      <w:r>
        <w:rPr>
          <w:rFonts w:hint="eastAsia"/>
        </w:rPr>
        <w:t>E0(</w:t>
      </w:r>
      <w:r>
        <w:rPr>
          <w:rFonts w:hint="eastAsia"/>
        </w:rPr>
        <w:t>≥</w:t>
      </w:r>
      <w:r>
        <w:rPr>
          <w:rFonts w:hint="eastAsia"/>
        </w:rPr>
        <w:t>40MPa)</w:t>
      </w:r>
      <w:r>
        <w:rPr>
          <w:rFonts w:hint="eastAsia"/>
        </w:rPr>
        <w:t>必须达到设计的要求，否则需进行超挖回填碾压，或采取其他工程措施处理，使之达到设计的要求；地下水较丰富，路基强度不高且土基</w:t>
      </w:r>
      <w:r>
        <w:rPr>
          <w:rFonts w:hint="eastAsia"/>
        </w:rPr>
        <w:t>EO</w:t>
      </w:r>
      <w:r>
        <w:rPr>
          <w:rFonts w:hint="eastAsia"/>
        </w:rPr>
        <w:t>值达不到设计要求时，必须作超挖换填处理，换填厚度为≥</w:t>
      </w:r>
      <w:r>
        <w:rPr>
          <w:rFonts w:hint="eastAsia"/>
        </w:rPr>
        <w:t>80cm</w:t>
      </w:r>
      <w:r>
        <w:rPr>
          <w:rFonts w:hint="eastAsia"/>
        </w:rPr>
        <w:t>砂砾或碎石等透水性材。</w:t>
      </w:r>
    </w:p>
    <w:p w:rsidR="00D9225E">
      <w:pPr>
        <w:pStyle w:val="LW21"/>
      </w:pPr>
      <w:r>
        <w:rPr>
          <w:rFonts w:hint="eastAsia"/>
        </w:rPr>
        <w:t>取、弃土场设计</w:t>
      </w:r>
      <w:bookmarkEnd w:id="252"/>
      <w:bookmarkEnd w:id="253"/>
      <w:bookmarkEnd w:id="254"/>
      <w:bookmarkEnd w:id="255"/>
      <w:bookmarkEnd w:id="256"/>
      <w:bookmarkEnd w:id="257"/>
      <w:bookmarkEnd w:id="258"/>
      <w:bookmarkEnd w:id="259"/>
      <w:bookmarkEnd w:id="260"/>
      <w:bookmarkEnd w:id="261"/>
    </w:p>
    <w:p w:rsidR="00D9225E">
      <w:pPr>
        <w:pStyle w:val="LW"/>
        <w:ind w:firstLine="520"/>
      </w:pPr>
      <w:bookmarkStart w:id="262" w:name="_Toc88148502"/>
      <w:bookmarkStart w:id="263" w:name="_Toc88337524"/>
      <w:bookmarkStart w:id="264" w:name="_Toc88140217"/>
      <w:bookmarkStart w:id="265" w:name="_Toc88141381"/>
      <w:bookmarkStart w:id="266" w:name="_Toc68246806"/>
      <w:bookmarkStart w:id="267" w:name="_Toc68246968"/>
      <w:bookmarkStart w:id="268" w:name="_Toc68246642"/>
      <w:bookmarkStart w:id="269" w:name="_Toc57148450"/>
      <w:bookmarkStart w:id="270" w:name="_Toc529402189"/>
      <w:bookmarkStart w:id="271" w:name="_Toc57148299"/>
      <w:r>
        <w:rPr>
          <w:rFonts w:hint="eastAsia"/>
        </w:rPr>
        <w:t>本次涉及土石方工程结合周边地块统一调配</w:t>
      </w:r>
      <w:r>
        <w:rPr>
          <w:rFonts w:hint="eastAsia"/>
        </w:rPr>
        <w:t>，</w:t>
      </w:r>
      <w:r>
        <w:rPr>
          <w:rFonts w:hint="eastAsia"/>
        </w:rPr>
        <w:t>由建设单位统筹考虑</w:t>
      </w:r>
      <w:r>
        <w:rPr>
          <w:rFonts w:hint="eastAsia"/>
        </w:rPr>
        <w:t>，土方运距为</w:t>
      </w:r>
      <w:r>
        <w:rPr>
          <w:rFonts w:hint="eastAsia"/>
        </w:rPr>
        <w:t>12km</w:t>
      </w:r>
      <w:r>
        <w:rPr>
          <w:rFonts w:hint="eastAsia"/>
        </w:rPr>
        <w:t>。</w:t>
      </w:r>
    </w:p>
    <w:p w:rsidR="00D9225E">
      <w:pPr>
        <w:pStyle w:val="LW21"/>
      </w:pPr>
      <w:r>
        <w:rPr>
          <w:rFonts w:hint="eastAsia"/>
        </w:rPr>
        <w:t>项目用地</w:t>
      </w:r>
      <w:bookmarkEnd w:id="262"/>
      <w:bookmarkEnd w:id="263"/>
      <w:bookmarkEnd w:id="264"/>
      <w:bookmarkEnd w:id="265"/>
      <w:bookmarkEnd w:id="266"/>
      <w:bookmarkEnd w:id="267"/>
      <w:bookmarkEnd w:id="268"/>
      <w:bookmarkEnd w:id="269"/>
      <w:bookmarkEnd w:id="270"/>
      <w:bookmarkEnd w:id="271"/>
    </w:p>
    <w:p w:rsidR="00D9225E">
      <w:pPr>
        <w:pStyle w:val="LW"/>
        <w:ind w:firstLine="520"/>
      </w:pPr>
      <w:r>
        <w:rPr>
          <w:rFonts w:hint="eastAsia"/>
        </w:rPr>
        <w:t>在填方坡脚（或坡脚排水沟外边缘）外侧</w:t>
      </w:r>
      <w:r>
        <w:rPr>
          <w:rFonts w:hint="eastAsia"/>
        </w:rPr>
        <w:t>2</w:t>
      </w:r>
      <w:r>
        <w:rPr>
          <w:rFonts w:hint="eastAsia"/>
        </w:rPr>
        <w:t>米以及挖方坡顶外侧</w:t>
      </w:r>
      <w:r>
        <w:t>2</w:t>
      </w:r>
      <w:r>
        <w:rPr>
          <w:rFonts w:hint="eastAsia"/>
        </w:rPr>
        <w:t>米以内为道路用地范围。本次设计永久占地约</w:t>
      </w:r>
      <w:r>
        <w:rPr>
          <w:rFonts w:hint="eastAsia"/>
        </w:rPr>
        <w:t>82.14</w:t>
      </w:r>
      <w:r>
        <w:rPr>
          <w:rFonts w:hint="eastAsia"/>
        </w:rPr>
        <w:t>亩，</w:t>
      </w:r>
      <w:r>
        <w:t>临时占地</w:t>
      </w:r>
      <w:r>
        <w:rPr>
          <w:rFonts w:hint="eastAsia"/>
        </w:rPr>
        <w:t>39.</w:t>
      </w:r>
      <w:r>
        <w:rPr>
          <w:rFonts w:hint="eastAsia"/>
        </w:rPr>
        <w:t>84</w:t>
      </w:r>
      <w:r>
        <w:rPr>
          <w:rFonts w:hint="eastAsia"/>
        </w:rPr>
        <w:t>亩。</w:t>
      </w:r>
    </w:p>
    <w:p w:rsidR="00D9225E">
      <w:pPr>
        <w:pStyle w:val="LW11"/>
      </w:pPr>
      <w:bookmarkStart w:id="272" w:name="_Toc88141382"/>
      <w:bookmarkStart w:id="273" w:name="_Toc27055"/>
      <w:bookmarkStart w:id="274" w:name="_Toc143607298"/>
      <w:bookmarkStart w:id="275" w:name="_Toc12485"/>
      <w:bookmarkStart w:id="276" w:name="_Toc88140218"/>
      <w:bookmarkStart w:id="277" w:name="_Toc88148503"/>
      <w:r>
        <w:rPr>
          <w:rFonts w:hint="eastAsia"/>
        </w:rPr>
        <w:t>车行道路面设计</w:t>
      </w:r>
      <w:bookmarkEnd w:id="272"/>
      <w:bookmarkEnd w:id="273"/>
      <w:bookmarkEnd w:id="274"/>
      <w:bookmarkEnd w:id="275"/>
      <w:bookmarkEnd w:id="276"/>
      <w:bookmarkEnd w:id="277"/>
    </w:p>
    <w:p w:rsidR="00D9225E">
      <w:pPr>
        <w:pStyle w:val="LW"/>
        <w:ind w:firstLine="520"/>
      </w:pPr>
      <w:r>
        <w:rPr>
          <w:rFonts w:hint="eastAsia"/>
        </w:rPr>
        <w:t>本项目区周边地块以商业、居住用地为主，结合道路的交通功能特点和需求，为了提供和保证良好的行驶条件，保证路面的强度、稳定性和耐久性，以及减少交通噪声对环境的影响，结合项目对工期要求的特点，本项目车行道设计采用沥青混凝土路面。</w:t>
      </w:r>
    </w:p>
    <w:p w:rsidR="00D9225E">
      <w:pPr>
        <w:pStyle w:val="LW31"/>
      </w:pPr>
      <w:bookmarkStart w:id="278" w:name="_Toc143607299"/>
      <w:bookmarkStart w:id="279" w:name="_Toc88148504"/>
      <w:bookmarkStart w:id="280" w:name="_Toc12675"/>
      <w:bookmarkStart w:id="281" w:name="_Toc21765"/>
      <w:bookmarkStart w:id="282" w:name="_Toc88140219"/>
      <w:bookmarkStart w:id="283" w:name="_Toc88141383"/>
      <w:r>
        <w:rPr>
          <w:rFonts w:hint="eastAsia"/>
        </w:rPr>
        <w:t>设计</w:t>
      </w:r>
      <w:bookmarkEnd w:id="278"/>
      <w:bookmarkEnd w:id="279"/>
      <w:bookmarkEnd w:id="280"/>
      <w:bookmarkEnd w:id="281"/>
      <w:bookmarkEnd w:id="282"/>
      <w:bookmarkEnd w:id="283"/>
      <w:r>
        <w:rPr>
          <w:rFonts w:hint="eastAsia"/>
        </w:rPr>
        <w:t>标准</w:t>
      </w:r>
    </w:p>
    <w:p w:rsidR="00D9225E">
      <w:pPr>
        <w:pStyle w:val="LW"/>
        <w:ind w:firstLine="520"/>
      </w:pPr>
      <w:r>
        <w:rPr>
          <w:rFonts w:hint="eastAsia"/>
        </w:rPr>
        <w:t>道路等级：城市主干路</w:t>
      </w:r>
    </w:p>
    <w:p w:rsidR="00D9225E">
      <w:pPr>
        <w:pStyle w:val="LW"/>
        <w:ind w:firstLine="520"/>
      </w:pPr>
      <w:r>
        <w:rPr>
          <w:rFonts w:hint="eastAsia"/>
        </w:rPr>
        <w:t>设计速度：</w:t>
      </w:r>
      <w:r>
        <w:rPr>
          <w:rFonts w:hint="eastAsia"/>
        </w:rPr>
        <w:t>6</w:t>
      </w:r>
      <w:r>
        <w:rPr>
          <w:rFonts w:hint="eastAsia"/>
        </w:rPr>
        <w:t>0</w:t>
      </w:r>
      <w:r>
        <w:rPr>
          <w:rFonts w:hint="eastAsia"/>
        </w:rPr>
        <w:t>公里</w:t>
      </w:r>
      <w:r>
        <w:rPr>
          <w:rFonts w:hint="eastAsia"/>
        </w:rPr>
        <w:t>/</w:t>
      </w:r>
      <w:r>
        <w:rPr>
          <w:rFonts w:hint="eastAsia"/>
        </w:rPr>
        <w:t>小时</w:t>
      </w:r>
    </w:p>
    <w:p w:rsidR="00D9225E">
      <w:pPr>
        <w:pStyle w:val="LW"/>
        <w:ind w:firstLine="520"/>
      </w:pPr>
      <w:r>
        <w:rPr>
          <w:rFonts w:hint="eastAsia"/>
        </w:rPr>
        <w:t>路面等级：高级路面（沥青混凝土路面）</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0" w:history="1">
        <w:r>
          <w:rPr>
            <w:rFonts w:ascii="SimSun" w:eastAsia="SimSun" w:hAnsi="SimSun" w:cs="SimSun"/>
            <w:b/>
            <w:bCs/>
            <w:color w:val="0000EE"/>
            <w:kern w:val="0"/>
            <w:sz w:val="30"/>
            <w:szCs w:val="30"/>
            <w:u w:val="single" w:color="0000EE"/>
          </w:rPr>
          <w:t>https://d.book118.com/966033113220010052</w:t>
        </w:r>
      </w:hyperlink>
    </w:p>
    <w:p w:rsidR="00D9225E">
      <w:pPr>
        <w:pStyle w:val="LW"/>
        <w:ind w:firstLine="520"/>
      </w:pPr>
    </w:p>
    <w:sectPr>
      <w:headerReference w:type="even" r:id="rId51"/>
      <w:footerReference w:type="even" r:id="rId52"/>
      <w:type w:val="nextPage"/>
      <w:pgSz w:w="23811" w:h="16838" w:orient="landscape"/>
      <w:pgMar w:top="851" w:right="851" w:bottom="3119" w:left="1985" w:header="879" w:footer="765" w:gutter="0"/>
      <w:pgNumType w:start="17"/>
      <w:cols w:num="2"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Gothic">
    <w:charset w:val="00"/>
    <w:family w:val="roman"/>
    <w:pitch w:val="default"/>
    <w:sig w:usb0="00000287" w:usb1="00000000" w:usb2="00000000" w:usb3="00000000" w:csb0="2000009F" w:csb1="DFD70000"/>
  </w:font>
  <w:font w:name="仿宋GB2312">
    <w:altName w:val="仿宋"/>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bottomMargin">
                <wp:align>top</wp:align>
              </wp:positionV>
              <wp:extent cx="324485" cy="127000"/>
              <wp:effectExtent l="0" t="0" r="0" b="635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050" type="#_x0000_t202" style="width:25.55pt;height:10pt;margin-top:0;margin-left:0;mso-position-vertical:top;mso-position-vertical-relative:bottom-margin-area;mso-wrap-distance-bottom:0;mso-wrap-distance-left:9pt;mso-wrap-distance-right:9pt;mso-wrap-distance-top:0;mso-wrap-style:none;position:absolute;v-text-anchor:top;z-index:-251658240"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38"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39"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42"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43"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44"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5"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6"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7"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8"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9"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50"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51"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52"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53"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051" style="width:150.75pt;height:16.5pt;mso-wrap-distance-bottom:0;mso-wrap-distance-left:0;mso-wrap-distance-right:0;mso-wrap-distance-top:0" coordorigin="0,0" coordsize="21600,21600">
              <v:shape id="_x0000_s2052"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053"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054"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055"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56"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57"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58"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59"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60"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61"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62"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63"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64"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77696" behindDoc="1" locked="0" layoutInCell="1" allowOverlap="1">
              <wp:simplePos x="0" y="0"/>
              <wp:positionH relativeFrom="column">
                <wp:posOffset>0</wp:posOffset>
              </wp:positionH>
              <wp:positionV relativeFrom="bottomMargin">
                <wp:align>top</wp:align>
              </wp:positionV>
              <wp:extent cx="324485" cy="127000"/>
              <wp:effectExtent l="0" t="0" r="0" b="6350"/>
              <wp:wrapNone/>
              <wp:docPr id="16654640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194" type="#_x0000_t202" style="width:25.55pt;height:10pt;margin-top:0;margin-left:0;mso-position-vertical:top;mso-position-vertical-relative:bottom-margin-area;mso-wrap-distance-bottom:0;mso-wrap-distance-left:9pt;mso-wrap-distance-right:9pt;mso-wrap-distance-top:0;mso-wrap-style:none;position:absolute;v-text-anchor:top;z-index:-251639808"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978374153"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169307171"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448451296"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1482704332"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607742145"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32211008"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90433409"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80051102"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726156992"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63554950"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139370572"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071784865"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304702812"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701676268"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195" style="width:150.75pt;height:16.5pt;mso-wrap-distance-bottom:0;mso-wrap-distance-left:0;mso-wrap-distance-right:0;mso-wrap-distance-top:0" coordorigin="0,0" coordsize="21600,21600">
              <v:shape id="_x0000_s2196"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197"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198"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199"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0"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1"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2"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3"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4"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5"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6"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7"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08"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79744" behindDoc="1" locked="0" layoutInCell="1" allowOverlap="1">
              <wp:simplePos x="0" y="0"/>
              <wp:positionH relativeFrom="column">
                <wp:posOffset>0</wp:posOffset>
              </wp:positionH>
              <wp:positionV relativeFrom="bottomMargin">
                <wp:align>top</wp:align>
              </wp:positionV>
              <wp:extent cx="324485" cy="127000"/>
              <wp:effectExtent l="0" t="0" r="0" b="6350"/>
              <wp:wrapNone/>
              <wp:docPr id="89939163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210" type="#_x0000_t202" style="width:25.55pt;height:10pt;margin-top:0;margin-left:0;mso-position-vertical:top;mso-position-vertical-relative:bottom-margin-area;mso-wrap-distance-bottom:0;mso-wrap-distance-left:9pt;mso-wrap-distance-right:9pt;mso-wrap-distance-top:0;mso-wrap-style:none;position:absolute;v-text-anchor:top;z-index:-251637760"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1750020952"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48518343"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514325780"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217634812"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2021757371"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03813178"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69725842"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89545531"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03905872"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965959"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72965197"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722906507"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45606803"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068878208"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211" style="width:150.75pt;height:16.5pt;mso-wrap-distance-bottom:0;mso-wrap-distance-left:0;mso-wrap-distance-right:0;mso-wrap-distance-top:0" coordorigin="0,0" coordsize="21600,21600">
              <v:shape id="_x0000_s2212"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213"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214"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215"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16"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17"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18"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19"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20"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21"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22"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23"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24"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81792" behindDoc="1" locked="0" layoutInCell="1" allowOverlap="1">
              <wp:simplePos x="0" y="0"/>
              <wp:positionH relativeFrom="column">
                <wp:posOffset>0</wp:posOffset>
              </wp:positionH>
              <wp:positionV relativeFrom="bottomMargin">
                <wp:align>top</wp:align>
              </wp:positionV>
              <wp:extent cx="324485" cy="127000"/>
              <wp:effectExtent l="0" t="0" r="0" b="6350"/>
              <wp:wrapNone/>
              <wp:docPr id="155431019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226" type="#_x0000_t202" style="width:25.55pt;height:10pt;margin-top:0;margin-left:0;mso-position-vertical:top;mso-position-vertical-relative:bottom-margin-area;mso-wrap-distance-bottom:0;mso-wrap-distance-left:9pt;mso-wrap-distance-right:9pt;mso-wrap-distance-top:0;mso-wrap-style:none;position:absolute;v-text-anchor:top;z-index:-251635712"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1484448555"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966787861"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1890600582"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620059731"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977093846"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75991804"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82692065"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124039834"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94257246"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41365291"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840826338"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705772573"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39734265"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89110027"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227" style="width:150.75pt;height:16.5pt;mso-wrap-distance-bottom:0;mso-wrap-distance-left:0;mso-wrap-distance-right:0;mso-wrap-distance-top:0" coordorigin="0,0" coordsize="21600,21600">
              <v:shape id="_x0000_s2228"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229"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230"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231"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32"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33"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34"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35"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36"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37"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38"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39"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40"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83840" behindDoc="1" locked="0" layoutInCell="1" allowOverlap="1">
              <wp:simplePos x="0" y="0"/>
              <wp:positionH relativeFrom="column">
                <wp:posOffset>0</wp:posOffset>
              </wp:positionH>
              <wp:positionV relativeFrom="bottomMargin">
                <wp:align>top</wp:align>
              </wp:positionV>
              <wp:extent cx="324485" cy="127000"/>
              <wp:effectExtent l="0" t="0" r="0" b="6350"/>
              <wp:wrapNone/>
              <wp:docPr id="35325164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242" type="#_x0000_t202" style="width:25.55pt;height:10pt;margin-top:0;margin-left:0;mso-position-vertical:top;mso-position-vertical-relative:bottom-margin-area;mso-wrap-distance-bottom:0;mso-wrap-distance-left:9pt;mso-wrap-distance-right:9pt;mso-wrap-distance-top:0;mso-wrap-style:none;position:absolute;v-text-anchor:top;z-index:-251633664"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132401092"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239794155"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9992450"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235325278"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631486736"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295583667"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832638494"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269563481"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89908546"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07548430"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02998661"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587938887"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005158728"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800716722"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243" style="width:150.75pt;height:16.5pt;mso-wrap-distance-bottom:0;mso-wrap-distance-left:0;mso-wrap-distance-right:0;mso-wrap-distance-top:0" coordorigin="0,0" coordsize="21600,21600">
              <v:shape id="_x0000_s2244"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245"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246"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247"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48"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49"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50"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51"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52"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53"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54"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55"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56"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85888" behindDoc="1" locked="0" layoutInCell="1" allowOverlap="1">
              <wp:simplePos x="0" y="0"/>
              <wp:positionH relativeFrom="column">
                <wp:posOffset>0</wp:posOffset>
              </wp:positionH>
              <wp:positionV relativeFrom="bottomMargin">
                <wp:align>top</wp:align>
              </wp:positionV>
              <wp:extent cx="324485" cy="127000"/>
              <wp:effectExtent l="0" t="0" r="0" b="6350"/>
              <wp:wrapNone/>
              <wp:docPr id="28661061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258" type="#_x0000_t202" style="width:25.55pt;height:10pt;margin-top:0;margin-left:0;mso-position-vertical:top;mso-position-vertical-relative:bottom-margin-area;mso-wrap-distance-bottom:0;mso-wrap-distance-left:9pt;mso-wrap-distance-right:9pt;mso-wrap-distance-top:0;mso-wrap-style:none;position:absolute;v-text-anchor:top;z-index:-251631616"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612480897"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27386052"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519520168"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842477424"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594622903"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764953484"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223426952"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73697698"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879901750"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67033618"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342796460"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988225683"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80003263"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19557274"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259" style="width:150.75pt;height:16.5pt;mso-wrap-distance-bottom:0;mso-wrap-distance-left:0;mso-wrap-distance-right:0;mso-wrap-distance-top:0" coordorigin="0,0" coordsize="21600,21600">
              <v:shape id="_x0000_s2260"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261"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262"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263"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64"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65"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66"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67"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68"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69"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70"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71"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72"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87936" behindDoc="1" locked="0" layoutInCell="1" allowOverlap="1">
              <wp:simplePos x="0" y="0"/>
              <wp:positionH relativeFrom="column">
                <wp:posOffset>0</wp:posOffset>
              </wp:positionH>
              <wp:positionV relativeFrom="bottomMargin">
                <wp:align>top</wp:align>
              </wp:positionV>
              <wp:extent cx="324485" cy="127000"/>
              <wp:effectExtent l="0" t="0" r="0" b="6350"/>
              <wp:wrapNone/>
              <wp:docPr id="35874067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274" type="#_x0000_t202" style="width:25.55pt;height:10pt;margin-top:0;margin-left:0;mso-position-vertical:top;mso-position-vertical-relative:bottom-margin-area;mso-wrap-distance-bottom:0;mso-wrap-distance-left:9pt;mso-wrap-distance-right:9pt;mso-wrap-distance-top:0;mso-wrap-style:none;position:absolute;v-text-anchor:top;z-index:-251629568"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44376741"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95387991"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1797288452"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1442004433"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538758626"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323890414"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735772130"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00789118"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687094933"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396626506"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3121406"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759810309"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49062444"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864745812"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275" style="width:150.75pt;height:16.5pt;mso-wrap-distance-bottom:0;mso-wrap-distance-left:0;mso-wrap-distance-right:0;mso-wrap-distance-top:0" coordorigin="0,0" coordsize="21600,21600">
              <v:shape id="_x0000_s2276"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277"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278"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279"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0"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1"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2"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3"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4"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5"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6"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7"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88"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89984" behindDoc="1" locked="0" layoutInCell="1" allowOverlap="1">
              <wp:simplePos x="0" y="0"/>
              <wp:positionH relativeFrom="column">
                <wp:posOffset>0</wp:posOffset>
              </wp:positionH>
              <wp:positionV relativeFrom="bottomMargin">
                <wp:align>top</wp:align>
              </wp:positionV>
              <wp:extent cx="324485" cy="127000"/>
              <wp:effectExtent l="0" t="0" r="0" b="6350"/>
              <wp:wrapNone/>
              <wp:docPr id="9525184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290" type="#_x0000_t202" style="width:25.55pt;height:10pt;margin-top:0;margin-left:0;mso-position-vertical:top;mso-position-vertical-relative:bottom-margin-area;mso-wrap-distance-bottom:0;mso-wrap-distance-left:9pt;mso-wrap-distance-right:9pt;mso-wrap-distance-top:0;mso-wrap-style:none;position:absolute;v-text-anchor:top;z-index:-251627520"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714482449"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538454527"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1039967314"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2001298035"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290680738"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664495219"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333116612"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532197376"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03240"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821039693"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92977316"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972923724"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61467437"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619500412"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291" style="width:150.75pt;height:16.5pt;mso-wrap-distance-bottom:0;mso-wrap-distance-left:0;mso-wrap-distance-right:0;mso-wrap-distance-top:0" coordorigin="0,0" coordsize="21600,21600">
              <v:shape id="_x0000_s2292"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293"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294"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295"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96"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97"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98"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299"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00"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01"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02"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03"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04"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92032" behindDoc="1" locked="0" layoutInCell="1" allowOverlap="1">
              <wp:simplePos x="0" y="0"/>
              <wp:positionH relativeFrom="column">
                <wp:posOffset>0</wp:posOffset>
              </wp:positionH>
              <wp:positionV relativeFrom="bottomMargin">
                <wp:align>top</wp:align>
              </wp:positionV>
              <wp:extent cx="324485" cy="127000"/>
              <wp:effectExtent l="0" t="0" r="0" b="6350"/>
              <wp:wrapNone/>
              <wp:docPr id="135762509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306" type="#_x0000_t202" style="width:25.55pt;height:10pt;margin-top:0;margin-left:0;mso-position-vertical:top;mso-position-vertical-relative:bottom-margin-area;mso-wrap-distance-bottom:0;mso-wrap-distance-left:9pt;mso-wrap-distance-right:9pt;mso-wrap-distance-top:0;mso-wrap-style:none;position:absolute;v-text-anchor:top;z-index:-251625472"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2125690099"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361588188"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496390444"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968513398"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439239310"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20318912"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12190932"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94248273"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11276019"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84406863"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374097608"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88446746"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360330573"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687626060"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307" style="width:150.75pt;height:16.5pt;mso-wrap-distance-bottom:0;mso-wrap-distance-left:0;mso-wrap-distance-right:0;mso-wrap-distance-top:0" coordorigin="0,0" coordsize="21600,21600">
              <v:shape id="_x0000_s2308"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309"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310"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311"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12"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13"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14"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15"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16"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17"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18"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19"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320"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bottomMargin">
                <wp:align>top</wp:align>
              </wp:positionV>
              <wp:extent cx="324485" cy="127000"/>
              <wp:effectExtent l="0" t="0" r="0" b="6350"/>
              <wp:wrapNone/>
              <wp:docPr id="66337302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066" type="#_x0000_t202" style="width:25.55pt;height:10pt;margin-top:0;margin-left:0;mso-position-vertical:top;mso-position-vertical-relative:bottom-margin-area;mso-wrap-distance-bottom:0;mso-wrap-distance-left:9pt;mso-wrap-distance-right:9pt;mso-wrap-distance-top:0;mso-wrap-style:none;position:absolute;v-text-anchor:top;z-index:-251656192"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1926995686"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470242571"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1083858454"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1170815397"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973197411"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983689876"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314858836"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78978750"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675106630"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824264011"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845130323"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42325515"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32501224"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75173398"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067" style="width:150.75pt;height:16.5pt;mso-wrap-distance-bottom:0;mso-wrap-distance-left:0;mso-wrap-distance-right:0;mso-wrap-distance-top:0" coordorigin="0,0" coordsize="21600,21600">
              <v:shape id="_x0000_s2068"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069"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070"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071"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72"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73"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74"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75"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76"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77"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78"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79"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80"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63360" behindDoc="1" locked="0" layoutInCell="1" allowOverlap="1">
              <wp:simplePos x="0" y="0"/>
              <wp:positionH relativeFrom="column">
                <wp:posOffset>0</wp:posOffset>
              </wp:positionH>
              <wp:positionV relativeFrom="bottomMargin">
                <wp:align>top</wp:align>
              </wp:positionV>
              <wp:extent cx="324485" cy="127000"/>
              <wp:effectExtent l="0" t="0" r="0" b="6350"/>
              <wp:wrapNone/>
              <wp:docPr id="26809872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082" type="#_x0000_t202" style="width:25.55pt;height:10pt;margin-top:0;margin-left:0;mso-position-vertical:top;mso-position-vertical-relative:bottom-margin-area;mso-wrap-distance-bottom:0;mso-wrap-distance-left:9pt;mso-wrap-distance-right:9pt;mso-wrap-distance-top:0;mso-wrap-style:none;position:absolute;v-text-anchor:top;z-index:-251654144"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1745063763"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147988080"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551566963"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1313715893"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911644555"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71480776"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985434270"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730124107"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349446629"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759340633"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06379274"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68135228"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37276785"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81362516"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083" style="width:150.75pt;height:16.5pt;mso-wrap-distance-bottom:0;mso-wrap-distance-left:0;mso-wrap-distance-right:0;mso-wrap-distance-top:0" coordorigin="0,0" coordsize="21600,21600">
              <v:shape id="_x0000_s2084"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085"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086"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087"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88"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89"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90"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91"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92"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93"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94"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95"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096"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65408" behindDoc="1" locked="0" layoutInCell="1" allowOverlap="1">
              <wp:simplePos x="0" y="0"/>
              <wp:positionH relativeFrom="column">
                <wp:posOffset>0</wp:posOffset>
              </wp:positionH>
              <wp:positionV relativeFrom="bottomMargin">
                <wp:align>top</wp:align>
              </wp:positionV>
              <wp:extent cx="324485" cy="127000"/>
              <wp:effectExtent l="0" t="0" r="0" b="6350"/>
              <wp:wrapNone/>
              <wp:docPr id="96943000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098" type="#_x0000_t202" style="width:25.55pt;height:10pt;margin-top:0;margin-left:0;mso-position-vertical:top;mso-position-vertical-relative:bottom-margin-area;mso-wrap-distance-bottom:0;mso-wrap-distance-left:9pt;mso-wrap-distance-right:9pt;mso-wrap-distance-top:0;mso-wrap-style:none;position:absolute;v-text-anchor:top;z-index:-251652096"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1996536724"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742787266"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1574833523"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1257479131"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886197975"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33411245"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73142579"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38204138"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14773658"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769124972"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867382433"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80322759"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82904050"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42870617"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099" style="width:150.75pt;height:16.5pt;mso-wrap-distance-bottom:0;mso-wrap-distance-left:0;mso-wrap-distance-right:0;mso-wrap-distance-top:0" coordorigin="0,0" coordsize="21600,21600">
              <v:shape id="_x0000_s2100"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101"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102"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103"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04"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05"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06"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07"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08"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09"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10"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11"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12"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67456" behindDoc="1" locked="0" layoutInCell="1" allowOverlap="1">
              <wp:simplePos x="0" y="0"/>
              <wp:positionH relativeFrom="column">
                <wp:posOffset>0</wp:posOffset>
              </wp:positionH>
              <wp:positionV relativeFrom="bottomMargin">
                <wp:align>top</wp:align>
              </wp:positionV>
              <wp:extent cx="324485" cy="127000"/>
              <wp:effectExtent l="0" t="0" r="0" b="6350"/>
              <wp:wrapNone/>
              <wp:docPr id="1813117838"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114" type="#_x0000_t202" style="width:25.55pt;height:10pt;margin-top:0;margin-left:0;mso-position-vertical:top;mso-position-vertical-relative:bottom-margin-area;mso-wrap-distance-bottom:0;mso-wrap-distance-left:9pt;mso-wrap-distance-right:9pt;mso-wrap-distance-top:0;mso-wrap-style:none;position:absolute;v-text-anchor:top;z-index:-251650048"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355532837"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64254123"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2114605936"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185132813"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557625964"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127370502"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8809645"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69133977"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55577401"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779334926"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10266040"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55070481"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635433544"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203421641"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115" style="width:150.75pt;height:16.5pt;mso-wrap-distance-bottom:0;mso-wrap-distance-left:0;mso-wrap-distance-right:0;mso-wrap-distance-top:0" coordorigin="0,0" coordsize="21600,21600">
              <v:shape id="_x0000_s2116"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117"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118"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119"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0"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1"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2"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3"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4"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5"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6"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7"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28"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69504" behindDoc="1" locked="0" layoutInCell="1" allowOverlap="1">
              <wp:simplePos x="0" y="0"/>
              <wp:positionH relativeFrom="column">
                <wp:posOffset>0</wp:posOffset>
              </wp:positionH>
              <wp:positionV relativeFrom="bottomMargin">
                <wp:align>top</wp:align>
              </wp:positionV>
              <wp:extent cx="324485" cy="127000"/>
              <wp:effectExtent l="0" t="0" r="0" b="6350"/>
              <wp:wrapNone/>
              <wp:docPr id="76321646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130" type="#_x0000_t202" style="width:25.55pt;height:10pt;margin-top:0;margin-left:0;mso-position-vertical:top;mso-position-vertical-relative:bottom-margin-area;mso-wrap-distance-bottom:0;mso-wrap-distance-left:9pt;mso-wrap-distance-right:9pt;mso-wrap-distance-top:0;mso-wrap-style:none;position:absolute;v-text-anchor:top;z-index:-251648000"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463914092"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2120137781"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1760891559"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153080326"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8405619"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098066742"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24466605"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2745980"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120244678"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550544825"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5464581"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9745540"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927793396"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22354485"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131" style="width:150.75pt;height:16.5pt;mso-wrap-distance-bottom:0;mso-wrap-distance-left:0;mso-wrap-distance-right:0;mso-wrap-distance-top:0" coordorigin="0,0" coordsize="21600,21600">
              <v:shape id="_x0000_s2132"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133"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134"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135"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36"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37"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38"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39"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40"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41"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42"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43"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44"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71552" behindDoc="1" locked="0" layoutInCell="1" allowOverlap="1">
              <wp:simplePos x="0" y="0"/>
              <wp:positionH relativeFrom="column">
                <wp:posOffset>0</wp:posOffset>
              </wp:positionH>
              <wp:positionV relativeFrom="bottomMargin">
                <wp:align>top</wp:align>
              </wp:positionV>
              <wp:extent cx="324485" cy="127000"/>
              <wp:effectExtent l="0" t="0" r="0" b="6350"/>
              <wp:wrapNone/>
              <wp:docPr id="72566940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146" type="#_x0000_t202" style="width:25.55pt;height:10pt;margin-top:0;margin-left:0;mso-position-vertical:top;mso-position-vertical-relative:bottom-margin-area;mso-wrap-distance-bottom:0;mso-wrap-distance-left:9pt;mso-wrap-distance-right:9pt;mso-wrap-distance-top:0;mso-wrap-style:none;position:absolute;v-text-anchor:top;z-index:-251645952"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1269230181"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361731966"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1926109999"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252517998"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234420405"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668913501"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535948062"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058120992"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75308681"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358958336"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332403959"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95349009"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432374823"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42053219"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147" style="width:150.75pt;height:16.5pt;mso-wrap-distance-bottom:0;mso-wrap-distance-left:0;mso-wrap-distance-right:0;mso-wrap-distance-top:0" coordorigin="0,0" coordsize="21600,21600">
              <v:shape id="_x0000_s2148"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149"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150"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151"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52"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53"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54"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55"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56"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57"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58"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59"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60"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73600" behindDoc="1" locked="0" layoutInCell="1" allowOverlap="1">
              <wp:simplePos x="0" y="0"/>
              <wp:positionH relativeFrom="column">
                <wp:posOffset>0</wp:posOffset>
              </wp:positionH>
              <wp:positionV relativeFrom="bottomMargin">
                <wp:align>top</wp:align>
              </wp:positionV>
              <wp:extent cx="324485" cy="127000"/>
              <wp:effectExtent l="0" t="0" r="0" b="6350"/>
              <wp:wrapNone/>
              <wp:docPr id="174314266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162" type="#_x0000_t202" style="width:25.55pt;height:10pt;margin-top:0;margin-left:0;mso-position-vertical:top;mso-position-vertical-relative:bottom-margin-area;mso-wrap-distance-bottom:0;mso-wrap-distance-left:9pt;mso-wrap-distance-right:9pt;mso-wrap-distance-top:0;mso-wrap-style:none;position:absolute;v-text-anchor:top;z-index:-251643904"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391530327"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103599284"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1087025574"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1771061887"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830894591"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852312846"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627540475"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283530504"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37322706"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723089253"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684440535"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09787805"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07875773"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36379775"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163" style="width:150.75pt;height:16.5pt;mso-wrap-distance-bottom:0;mso-wrap-distance-left:0;mso-wrap-distance-right:0;mso-wrap-distance-top:0" coordorigin="0,0" coordsize="21600,21600">
              <v:shape id="_x0000_s2164"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165"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166"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167"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68"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69"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70"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71"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72"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73"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74"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75"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76"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33"/>
      <w:jc w:val="right"/>
    </w:pPr>
    <w:r>
      <w:rPr>
        <w:noProof/>
      </w:rPr>
      <mc:AlternateContent>
        <mc:Choice Requires="wps">
          <w:drawing>
            <wp:anchor distT="0" distB="0" distL="114300" distR="114300" simplePos="0" relativeHeight="251675648" behindDoc="1" locked="0" layoutInCell="1" allowOverlap="1">
              <wp:simplePos x="0" y="0"/>
              <wp:positionH relativeFrom="column">
                <wp:posOffset>0</wp:posOffset>
              </wp:positionH>
              <wp:positionV relativeFrom="bottomMargin">
                <wp:align>top</wp:align>
              </wp:positionV>
              <wp:extent cx="324485" cy="127000"/>
              <wp:effectExtent l="0" t="0" r="0" b="6350"/>
              <wp:wrapNone/>
              <wp:docPr id="25943668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485" cy="127000"/>
                      </a:xfrm>
                      <a:prstGeom prst="rect">
                        <a:avLst/>
                      </a:prstGeom>
                      <a:noFill/>
                      <a:ln w="6350">
                        <a:noFill/>
                      </a:ln>
                    </wps:spPr>
                    <wps:txbx>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2178" type="#_x0000_t202" style="width:25.55pt;height:10pt;margin-top:0;margin-left:0;mso-position-vertical:top;mso-position-vertical-relative:bottom-margin-area;mso-wrap-distance-bottom:0;mso-wrap-distance-left:9pt;mso-wrap-distance-right:9pt;mso-wrap-distance-top:0;mso-wrap-style:none;position:absolute;v-text-anchor:top;z-index:-251641856" filled="f" fillcolor="this" stroked="f" strokeweight="0.5pt">
              <v:textbox inset="0,0,0,0">
                <w:txbxContent>
                  <w:p w:rsidR="00D9225E">
                    <w:pPr>
                      <w:pStyle w:val="LW13"/>
                    </w:pPr>
                    <w:r>
                      <w:rPr>
                        <w:rFonts w:hint="eastAsia"/>
                      </w:rPr>
                      <w:t>－</w:t>
                    </w:r>
                    <w:r>
                      <w:fldChar w:fldCharType="begin"/>
                    </w:r>
                    <w:r>
                      <w:instrText xml:space="preserve"> PAGE   \* MERGEFORMAT </w:instrText>
                    </w:r>
                    <w:r>
                      <w:fldChar w:fldCharType="separate"/>
                    </w:r>
                    <w:r>
                      <w:t>1</w:t>
                    </w:r>
                    <w:r>
                      <w:fldChar w:fldCharType="end"/>
                    </w:r>
                    <w:r>
                      <w:t>－</w:t>
                    </w:r>
                  </w:p>
                </w:txbxContent>
              </v:textbox>
            </v:shape>
          </w:pict>
        </mc:Fallback>
      </mc:AlternateContent>
    </w:r>
    <w:r>
      <w:rPr>
        <w:noProof/>
      </w:rPr>
      <mc:AlternateContent>
        <mc:Choice Requires="wpg">
          <w:drawing>
            <wp:inline distT="0" distB="0" distL="0" distR="0">
              <wp:extent cx="1898650" cy="193675"/>
              <wp:effectExtent l="9525" t="9525" r="6350" b="6350"/>
              <wp:docPr id="378304842"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0" cy="193675"/>
                        <a:chOff x="0" y="0"/>
                        <a:chExt cx="2990" cy="305"/>
                      </a:xfrm>
                    </wpg:grpSpPr>
                    <wps:wsp xmlns:wps="http://schemas.microsoft.com/office/word/2010/wordprocessingShape">
                      <wps:cNvPr id="1812546988" name="LG11"/>
                      <wps:cNvSpPr txBox="1">
                        <a:spLocks noChangeArrowheads="1" noChangeShapeType="1" noTextEdit="1"/>
                      </wps:cNvSpPr>
                      <wps:spPr bwMode="auto">
                        <a:xfrm>
                          <a:off x="0" y="110"/>
                          <a:ext cx="300" cy="75"/>
                        </a:xfrm>
                        <a:prstGeom prst="rect">
                          <a:avLst/>
                        </a:prstGeom>
                      </wps:spPr>
                      <wps:txbx>
                        <w:txbxContent>
                          <w:p w:rsidR="00D9225E">
                            <w:pPr>
                              <w:jc w:val="center"/>
                              <w:rPr>
                                <w:kern w:val="0"/>
                                <w:sz w:val="24"/>
                                <w:szCs w:val="24"/>
                              </w:rPr>
                            </w:pPr>
                            <w:r>
                              <w:rPr>
                                <w:rFonts w:hint="eastAsia"/>
                                <w:b/>
                                <w:bCs/>
                                <w:color w:val="000000"/>
                                <w:sz w:val="8"/>
                                <w:szCs w:val="8"/>
                              </w:rPr>
                              <w:t>LEWAY</w:t>
                            </w:r>
                          </w:p>
                        </w:txbxContent>
                      </wps:txbx>
                      <wps:bodyPr wrap="square" numCol="1" fromWordArt="1">
                        <a:prstTxWarp prst="textPlain">
                          <a:avLst>
                            <a:gd name="adj" fmla="val 50000"/>
                          </a:avLst>
                        </a:prstTxWarp>
                        <a:spAutoFit/>
                      </wps:bodyPr>
                    </wps:wsp>
                    <wps:wsp xmlns:wps="http://schemas.microsoft.com/office/word/2010/wordprocessingShape">
                      <wps:cNvPr id="513761889" name="LG12"/>
                      <wps:cNvSpPr txBox="1">
                        <a:spLocks noChangeArrowheads="1" noChangeShapeType="1" noTextEdit="1"/>
                      </wps:cNvSpPr>
                      <wps:spPr bwMode="auto">
                        <a:xfrm>
                          <a:off x="330" y="0"/>
                          <a:ext cx="2660" cy="180"/>
                        </a:xfrm>
                        <a:prstGeom prst="rect">
                          <a:avLst/>
                        </a:prstGeom>
                      </wps:spPr>
                      <wps:txbx>
                        <w:txbxContent>
                          <w:p w:rsidR="00D9225E">
                            <w:pPr>
                              <w:jc w:val="center"/>
                              <w:rPr>
                                <w:kern w:val="0"/>
                                <w:sz w:val="24"/>
                                <w:szCs w:val="24"/>
                              </w:rPr>
                            </w:pPr>
                            <w:r>
                              <w:rPr>
                                <w:rFonts w:hint="eastAsia"/>
                                <w:b/>
                                <w:bCs/>
                                <w:color w:val="000000"/>
                                <w:sz w:val="18"/>
                                <w:szCs w:val="18"/>
                              </w:rPr>
                              <w:t>重庆路威土木工程设计有限公司</w:t>
                            </w:r>
                          </w:p>
                        </w:txbxContent>
                      </wps:txbx>
                      <wps:bodyPr wrap="square" numCol="1" fromWordArt="1">
                        <a:prstTxWarp prst="textPlain">
                          <a:avLst>
                            <a:gd name="adj" fmla="val 50000"/>
                          </a:avLst>
                        </a:prstTxWarp>
                        <a:spAutoFit/>
                      </wps:bodyPr>
                    </wps:wsp>
                    <wps:wsp xmlns:wps="http://schemas.microsoft.com/office/word/2010/wordprocessingShape">
                      <wps:cNvPr id="778493346" name="LG13"/>
                      <wps:cNvSpPr txBox="1">
                        <a:spLocks noChangeArrowheads="1" noChangeShapeType="1" noTextEdit="1"/>
                      </wps:cNvSpPr>
                      <wps:spPr bwMode="auto">
                        <a:xfrm>
                          <a:off x="330" y="180"/>
                          <a:ext cx="2660" cy="120"/>
                        </a:xfrm>
                        <a:prstGeom prst="rect">
                          <a:avLst/>
                        </a:prstGeom>
                      </wps:spPr>
                      <wps:txbx>
                        <w:txbxContent>
                          <w:p w:rsidR="00D9225E">
                            <w:pPr>
                              <w:jc w:val="center"/>
                              <w:rPr>
                                <w:kern w:val="0"/>
                                <w:sz w:val="24"/>
                                <w:szCs w:val="24"/>
                              </w:rPr>
                            </w:pPr>
                            <w:r>
                              <w:rPr>
                                <w:rFonts w:hint="eastAsia"/>
                                <w:b/>
                                <w:bCs/>
                                <w:color w:val="000000"/>
                                <w:sz w:val="12"/>
                                <w:szCs w:val="12"/>
                              </w:rPr>
                              <w:t>Chongqing Leway Civil Engineering Design Co.,Ltd.</w:t>
                            </w:r>
                          </w:p>
                        </w:txbxContent>
                      </wps:txbx>
                      <wps:bodyPr wrap="square" numCol="1" fromWordArt="1">
                        <a:prstTxWarp prst="textPlain">
                          <a:avLst>
                            <a:gd name="adj" fmla="val 50000"/>
                          </a:avLst>
                        </a:prstTxWarp>
                        <a:spAutoFit/>
                      </wps:bodyPr>
                    </wps:wsp>
                    <wps:wsp xmlns:wps="http://schemas.microsoft.com/office/word/2010/wordprocessingShape">
                      <wps:cNvPr id="1151772635" name="LG1"/>
                      <wps:cNvSpPr txBox="1">
                        <a:spLocks noChangeArrowheads="1" noChangeShapeType="1" noTextEdit="1"/>
                      </wps:cNvSpPr>
                      <wps:spPr bwMode="auto">
                        <a:xfrm>
                          <a:off x="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086685325" name="LG6"/>
                      <wps:cNvSpPr txBox="1">
                        <a:spLocks noChangeArrowheads="1" noChangeShapeType="1" noTextEdit="1"/>
                      </wps:cNvSpPr>
                      <wps:spPr bwMode="auto">
                        <a:xfrm>
                          <a:off x="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86022057" name="LG2"/>
                      <wps:cNvSpPr txBox="1">
                        <a:spLocks noChangeArrowheads="1" noChangeShapeType="1" noTextEdit="1"/>
                      </wps:cNvSpPr>
                      <wps:spPr bwMode="auto">
                        <a:xfrm>
                          <a:off x="68"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693723551" name="LG7"/>
                      <wps:cNvSpPr txBox="1">
                        <a:spLocks noChangeArrowheads="1" noChangeShapeType="1" noTextEdit="1"/>
                      </wps:cNvSpPr>
                      <wps:spPr bwMode="auto">
                        <a:xfrm>
                          <a:off x="68"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142551455" name="LG3"/>
                      <wps:cNvSpPr txBox="1">
                        <a:spLocks noChangeArrowheads="1" noChangeShapeType="1" noTextEdit="1"/>
                      </wps:cNvSpPr>
                      <wps:spPr bwMode="auto">
                        <a:xfrm>
                          <a:off x="135"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22161623" name="LG8"/>
                      <wps:cNvSpPr txBox="1">
                        <a:spLocks noChangeArrowheads="1" noChangeShapeType="1" noTextEdit="1"/>
                      </wps:cNvSpPr>
                      <wps:spPr bwMode="auto">
                        <a:xfrm>
                          <a:off x="135"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428513813" name="LG4"/>
                      <wps:cNvSpPr txBox="1">
                        <a:spLocks noChangeArrowheads="1" noChangeShapeType="1" noTextEdit="1"/>
                      </wps:cNvSpPr>
                      <wps:spPr bwMode="auto">
                        <a:xfrm>
                          <a:off x="202"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070358313" name="LG9"/>
                      <wps:cNvSpPr txBox="1">
                        <a:spLocks noChangeArrowheads="1" noChangeShapeType="1" noTextEdit="1"/>
                      </wps:cNvSpPr>
                      <wps:spPr bwMode="auto">
                        <a:xfrm>
                          <a:off x="202"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1839441885" name="LG5"/>
                      <wps:cNvSpPr txBox="1">
                        <a:spLocks noChangeArrowheads="1" noChangeShapeType="1" noTextEdit="1"/>
                      </wps:cNvSpPr>
                      <wps:spPr bwMode="auto">
                        <a:xfrm>
                          <a:off x="270" y="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s:wsp xmlns:wps="http://schemas.microsoft.com/office/word/2010/wordprocessingShape">
                      <wps:cNvPr id="2114881556" name="LG10"/>
                      <wps:cNvSpPr txBox="1">
                        <a:spLocks noChangeArrowheads="1" noChangeShapeType="1" noTextEdit="1"/>
                      </wps:cNvSpPr>
                      <wps:spPr bwMode="auto">
                        <a:xfrm>
                          <a:off x="270" y="200"/>
                          <a:ext cx="30" cy="105"/>
                        </a:xfrm>
                        <a:prstGeom prst="rect">
                          <a:avLst/>
                        </a:prstGeom>
                      </wps:spPr>
                      <wps:txbx>
                        <w:txbxContent>
                          <w:p w:rsidR="00D9225E">
                            <w:pPr>
                              <w:jc w:val="center"/>
                              <w:rPr>
                                <w:kern w:val="0"/>
                                <w:sz w:val="24"/>
                                <w:szCs w:val="24"/>
                              </w:rPr>
                            </w:pPr>
                            <w:r>
                              <w:rPr>
                                <w:rFonts w:hint="eastAsia"/>
                                <w:b/>
                                <w:bCs/>
                                <w:color w:val="000000"/>
                                <w:sz w:val="10"/>
                                <w:szCs w:val="10"/>
                              </w:rPr>
                              <w:t>■</w:t>
                            </w:r>
                          </w:p>
                        </w:txbxContent>
                      </wps:txbx>
                      <wps:bodyPr wrap="square" numCol="1" fromWordArt="1">
                        <a:prstTxWarp prst="textPlain">
                          <a:avLst>
                            <a:gd name="adj" fmla="val 50000"/>
                          </a:avLst>
                        </a:prstTxWarp>
                        <a:spAutoFit/>
                      </wps:bodyPr>
                    </wps:wsp>
                  </wpg:wgp>
                </a:graphicData>
              </a:graphic>
            </wp:inline>
          </w:drawing>
        </mc:Choice>
        <mc:Fallback>
          <w:pict>
            <v:group id="组合 38" o:spid="_x0000_i2179" style="width:150.75pt;height:16.5pt;mso-wrap-distance-bottom:0;mso-wrap-distance-left:0;mso-wrap-distance-right:0;mso-wrap-distance-top:0" coordorigin="0,0" coordsize="21600,21600">
              <v:shape id="_x0000_s2180" type="#_x0000_t202" style="width:2167;height:5311;position:absolute;top:7790;v-text-anchor:top" fillcolor="this">
                <v:textbox style="mso-fit-shape-to-text:t">
                  <w:txbxContent>
                    <w:p w:rsidR="00D9225E">
                      <w:pPr>
                        <w:jc w:val="center"/>
                        <w:rPr>
                          <w:kern w:val="0"/>
                          <w:sz w:val="24"/>
                          <w:szCs w:val="24"/>
                        </w:rPr>
                      </w:pPr>
                      <w:r>
                        <w:rPr>
                          <w:rFonts w:hint="eastAsia"/>
                          <w:b/>
                          <w:bCs/>
                          <w:color w:val="000000"/>
                          <w:sz w:val="8"/>
                          <w:szCs w:val="8"/>
                        </w:rPr>
                        <w:t>LEWAY</w:t>
                      </w:r>
                    </w:p>
                  </w:txbxContent>
                </v:textbox>
              </v:shape>
              <v:shape id="_x0000_s2181" type="#_x0000_t202" style="width:19216;height:12748;left:2384;position:absolute;v-text-anchor:top" fillcolor="this">
                <v:textbox style="mso-fit-shape-to-text:t">
                  <w:txbxContent>
                    <w:p w:rsidR="00D9225E">
                      <w:pPr>
                        <w:jc w:val="center"/>
                        <w:rPr>
                          <w:kern w:val="0"/>
                          <w:sz w:val="24"/>
                          <w:szCs w:val="24"/>
                        </w:rPr>
                      </w:pPr>
                      <w:r>
                        <w:rPr>
                          <w:rFonts w:hint="eastAsia"/>
                          <w:b/>
                          <w:bCs/>
                          <w:color w:val="000000"/>
                          <w:sz w:val="18"/>
                          <w:szCs w:val="18"/>
                        </w:rPr>
                        <w:t>重庆路威土木工程设计有限公司</w:t>
                      </w:r>
                    </w:p>
                  </w:txbxContent>
                </v:textbox>
              </v:shape>
              <v:shape id="_x0000_s2182" type="#_x0000_t202" style="width:19216;height:8498;left:2384;position:absolute;top:12748;v-text-anchor:top" fillcolor="this">
                <v:textbox style="mso-fit-shape-to-text:t">
                  <w:txbxContent>
                    <w:p w:rsidR="00D9225E">
                      <w:pPr>
                        <w:jc w:val="center"/>
                        <w:rPr>
                          <w:kern w:val="0"/>
                          <w:sz w:val="24"/>
                          <w:szCs w:val="24"/>
                        </w:rPr>
                      </w:pPr>
                      <w:r>
                        <w:rPr>
                          <w:rFonts w:hint="eastAsia"/>
                          <w:b/>
                          <w:bCs/>
                          <w:color w:val="000000"/>
                          <w:sz w:val="12"/>
                          <w:szCs w:val="12"/>
                        </w:rPr>
                        <w:t>Chongqing Leway Civil Engineering Design Co.,Ltd.</w:t>
                      </w:r>
                    </w:p>
                  </w:txbxContent>
                </v:textbox>
              </v:shape>
              <v:shape id="_x0000_s2183" type="#_x0000_t202" style="width:217;height:7436;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84" type="#_x0000_t202" style="width:217;height:7436;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85" type="#_x0000_t202" style="width:217;height:7436;left:49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86" type="#_x0000_t202" style="width:217;height:7436;left:49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87" type="#_x0000_t202" style="width:217;height:7436;left:975;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88" type="#_x0000_t202" style="width:217;height:7436;left:975;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89" type="#_x0000_t202" style="width:217;height:7436;left:1459;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90" type="#_x0000_t202" style="width:217;height:7436;left:1459;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91" type="#_x0000_t202" style="width:217;height:7436;left:1951;position:absolute;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shape id="_x0000_s2192" type="#_x0000_t202" style="width:217;height:7436;left:1951;position:absolute;top:14164;v-text-anchor:top" fillcolor="this">
                <v:textbox style="mso-fit-shape-to-text:t">
                  <w:txbxContent>
                    <w:p w:rsidR="00D9225E">
                      <w:pPr>
                        <w:jc w:val="center"/>
                        <w:rPr>
                          <w:kern w:val="0"/>
                          <w:sz w:val="24"/>
                          <w:szCs w:val="24"/>
                        </w:rPr>
                      </w:pPr>
                      <w:r>
                        <w:rPr>
                          <w:rFonts w:hint="eastAsia"/>
                          <w:b/>
                          <w:bCs/>
                          <w:color w:val="000000"/>
                          <w:sz w:val="10"/>
                          <w:szCs w:val="10"/>
                        </w:rPr>
                        <w:t>■</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1504350192"/>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049" type="#_x0000_t202" style="width:20pt;height:10pt;margin-top:0;margin-left:0;mso-wrap-distance-bottom:0;mso-wrap-distance-left:9pt;mso-wrap-distance-right:9pt;mso-wrap-distance-top:0;mso-wrap-style:none;position:absolute;v-text-anchor:top;z-index:251658240" filled="f" fillcolor="this" stroked="f" strokeweight="0.5pt">
              <v:textbox inset="0,0,0,0">
                <w:txbxContent>
                  <w:sdt>
                    <w:sdtPr>
                      <w:id w:val="1185870356"/>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1391931451"/>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864087262"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9305381"/>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193" type="#_x0000_t202" style="width:20pt;height:10pt;margin-top:0;margin-left:0;mso-wrap-distance-bottom:0;mso-wrap-distance-left:9pt;mso-wrap-distance-right:9pt;mso-wrap-distance-top:0;mso-wrap-style:none;position:absolute;v-text-anchor:top;z-index:251676672" filled="f" fillcolor="this" stroked="f" strokeweight="0.5pt">
              <v:textbox inset="0,0,0,0">
                <w:txbxContent>
                  <w:sdt>
                    <w:sdtPr>
                      <w:id w:val="677863863"/>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355703193"/>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130421952"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1804222993"/>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209" type="#_x0000_t202" style="width:20pt;height:10pt;margin-top:0;margin-left:0;mso-wrap-distance-bottom:0;mso-wrap-distance-left:9pt;mso-wrap-distance-right:9pt;mso-wrap-distance-top:0;mso-wrap-style:none;position:absolute;v-text-anchor:top;z-index:251678720" filled="f" fillcolor="this" stroked="f" strokeweight="0.5pt">
              <v:textbox inset="0,0,0,0">
                <w:txbxContent>
                  <w:sdt>
                    <w:sdtPr>
                      <w:id w:val="524166360"/>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715505524"/>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75201657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655098438"/>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225" type="#_x0000_t202" style="width:20pt;height:10pt;margin-top:0;margin-left:0;mso-wrap-distance-bottom:0;mso-wrap-distance-left:9pt;mso-wrap-distance-right:9pt;mso-wrap-distance-top:0;mso-wrap-style:none;position:absolute;v-text-anchor:top;z-index:251680768" filled="f" fillcolor="this" stroked="f" strokeweight="0.5pt">
              <v:textbox inset="0,0,0,0">
                <w:txbxContent>
                  <w:sdt>
                    <w:sdtPr>
                      <w:id w:val="233890762"/>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390414744"/>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93717867"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54777160"/>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241" type="#_x0000_t202" style="width:20pt;height:10pt;margin-top:0;margin-left:0;mso-wrap-distance-bottom:0;mso-wrap-distance-left:9pt;mso-wrap-distance-right:9pt;mso-wrap-distance-top:0;mso-wrap-style:none;position:absolute;v-text-anchor:top;z-index:251682816" filled="f" fillcolor="this" stroked="f" strokeweight="0.5pt">
              <v:textbox inset="0,0,0,0">
                <w:txbxContent>
                  <w:sdt>
                    <w:sdtPr>
                      <w:id w:val="1334992134"/>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432811866"/>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978768038"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917292940"/>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257" type="#_x0000_t202" style="width:20pt;height:10pt;margin-top:0;margin-left:0;mso-wrap-distance-bottom:0;mso-wrap-distance-left:9pt;mso-wrap-distance-right:9pt;mso-wrap-distance-top:0;mso-wrap-style:none;position:absolute;v-text-anchor:top;z-index:251684864" filled="f" fillcolor="this" stroked="f" strokeweight="0.5pt">
              <v:textbox inset="0,0,0,0">
                <w:txbxContent>
                  <w:sdt>
                    <w:sdtPr>
                      <w:id w:val="672521240"/>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1868272072"/>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989117258"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1801215032"/>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273" type="#_x0000_t202" style="width:20pt;height:10pt;margin-top:0;margin-left:0;mso-wrap-distance-bottom:0;mso-wrap-distance-left:9pt;mso-wrap-distance-right:9pt;mso-wrap-distance-top:0;mso-wrap-style:none;position:absolute;v-text-anchor:top;z-index:251686912" filled="f" fillcolor="this" stroked="f" strokeweight="0.5pt">
              <v:textbox inset="0,0,0,0">
                <w:txbxContent>
                  <w:sdt>
                    <w:sdtPr>
                      <w:id w:val="145172564"/>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1810685135"/>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35955301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251729370"/>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289" type="#_x0000_t202" style="width:20pt;height:10pt;margin-top:0;margin-left:0;mso-wrap-distance-bottom:0;mso-wrap-distance-left:9pt;mso-wrap-distance-right:9pt;mso-wrap-distance-top:0;mso-wrap-style:none;position:absolute;v-text-anchor:top;z-index:251688960" filled="f" fillcolor="this" stroked="f" strokeweight="0.5pt">
              <v:textbox inset="0,0,0,0">
                <w:txbxContent>
                  <w:sdt>
                    <w:sdtPr>
                      <w:id w:val="258220766"/>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985389407"/>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34770565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399307703"/>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305" type="#_x0000_t202" style="width:20pt;height:10pt;margin-top:0;margin-left:0;mso-wrap-distance-bottom:0;mso-wrap-distance-left:9pt;mso-wrap-distance-right:9pt;mso-wrap-distance-top:0;mso-wrap-style:none;position:absolute;v-text-anchor:top;z-index:251691008" filled="f" fillcolor="this" stroked="f" strokeweight="0.5pt">
              <v:textbox inset="0,0,0,0">
                <w:txbxContent>
                  <w:sdt>
                    <w:sdtPr>
                      <w:id w:val="1606084435"/>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910133617"/>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42805511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1870023866"/>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065" type="#_x0000_t202" style="width:20pt;height:10pt;margin-top:0;margin-left:0;mso-wrap-distance-bottom:0;mso-wrap-distance-left:9pt;mso-wrap-distance-right:9pt;mso-wrap-distance-top:0;mso-wrap-style:none;position:absolute;v-text-anchor:top;z-index:251660288" filled="f" fillcolor="this" stroked="f" strokeweight="0.5pt">
              <v:textbox inset="0,0,0,0">
                <w:txbxContent>
                  <w:sdt>
                    <w:sdtPr>
                      <w:id w:val="1174504924"/>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656275042"/>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629258237"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1755679694"/>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081" type="#_x0000_t202" style="width:20pt;height:10pt;margin-top:0;margin-left:0;mso-wrap-distance-bottom:0;mso-wrap-distance-left:9pt;mso-wrap-distance-right:9pt;mso-wrap-distance-top:0;mso-wrap-style:none;position:absolute;v-text-anchor:top;z-index:251662336" filled="f" fillcolor="this" stroked="f" strokeweight="0.5pt">
              <v:textbox inset="0,0,0,0">
                <w:txbxContent>
                  <w:sdt>
                    <w:sdtPr>
                      <w:id w:val="585162009"/>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1066778724"/>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611972500"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1473968366"/>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097" type="#_x0000_t202" style="width:20pt;height:10pt;margin-top:0;margin-left:0;mso-wrap-distance-bottom:0;mso-wrap-distance-left:9pt;mso-wrap-distance-right:9pt;mso-wrap-distance-top:0;mso-wrap-style:none;position:absolute;v-text-anchor:top;z-index:251664384" filled="f" fillcolor="this" stroked="f" strokeweight="0.5pt">
              <v:textbox inset="0,0,0,0">
                <w:txbxContent>
                  <w:sdt>
                    <w:sdtPr>
                      <w:id w:val="665375109"/>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2113174983"/>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27903797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963711591"/>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113" type="#_x0000_t202" style="width:20pt;height:10pt;margin-top:0;margin-left:0;mso-wrap-distance-bottom:0;mso-wrap-distance-left:9pt;mso-wrap-distance-right:9pt;mso-wrap-distance-top:0;mso-wrap-style:none;position:absolute;v-text-anchor:top;z-index:251666432" filled="f" fillcolor="this" stroked="f" strokeweight="0.5pt">
              <v:textbox inset="0,0,0,0">
                <w:txbxContent>
                  <w:sdt>
                    <w:sdtPr>
                      <w:id w:val="1501478792"/>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176029634"/>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037585747"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418464576"/>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129" type="#_x0000_t202" style="width:20pt;height:10pt;margin-top:0;margin-left:0;mso-wrap-distance-bottom:0;mso-wrap-distance-left:9pt;mso-wrap-distance-right:9pt;mso-wrap-distance-top:0;mso-wrap-style:none;position:absolute;v-text-anchor:top;z-index:251668480" filled="f" fillcolor="this" stroked="f" strokeweight="0.5pt">
              <v:textbox inset="0,0,0,0">
                <w:txbxContent>
                  <w:sdt>
                    <w:sdtPr>
                      <w:id w:val="487579264"/>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320983779"/>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92122124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1245824063"/>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145" type="#_x0000_t202" style="width:20pt;height:10pt;margin-top:0;margin-left:0;mso-wrap-distance-bottom:0;mso-wrap-distance-left:9pt;mso-wrap-distance-right:9pt;mso-wrap-distance-top:0;mso-wrap-style:none;position:absolute;v-text-anchor:top;z-index:251670528" filled="f" fillcolor="this" stroked="f" strokeweight="0.5pt">
              <v:textbox inset="0,0,0,0">
                <w:txbxContent>
                  <w:sdt>
                    <w:sdtPr>
                      <w:id w:val="1037667299"/>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1095963712"/>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271161262"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658083620"/>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161" type="#_x0000_t202" style="width:20pt;height:10pt;margin-top:0;margin-left:0;mso-wrap-distance-bottom:0;mso-wrap-distance-left:9pt;mso-wrap-distance-right:9pt;mso-wrap-distance-top:0;mso-wrap-style:none;position:absolute;v-text-anchor:top;z-index:251672576" filled="f" fillcolor="this" stroked="f" strokeweight="0.5pt">
              <v:textbox inset="0,0,0,0">
                <w:txbxContent>
                  <w:sdt>
                    <w:sdtPr>
                      <w:id w:val="1231189906"/>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1443316421"/>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25E">
    <w:pPr>
      <w:pStyle w:val="LW28"/>
      <w:jc w:val="right"/>
    </w:pPr>
    <w:r>
      <w:rPr>
        <w:noProof/>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54000" cy="127000"/>
              <wp:effectExtent l="0" t="0" r="12065" b="6350"/>
              <wp:wrapNone/>
              <wp:docPr id="1453177210"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000" cy="127000"/>
                      </a:xfrm>
                      <a:prstGeom prst="rect">
                        <a:avLst/>
                      </a:prstGeom>
                      <a:noFill/>
                      <a:ln w="6350">
                        <a:noFill/>
                      </a:ln>
                    </wps:spPr>
                    <wps:txbx>
                      <w:txbxContent>
                        <w:sdt>
                          <w:sdtPr>
                            <w:id w:val="843177498"/>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2177" type="#_x0000_t202" style="width:20pt;height:10pt;margin-top:0;margin-left:0;mso-wrap-distance-bottom:0;mso-wrap-distance-left:9pt;mso-wrap-distance-right:9pt;mso-wrap-distance-top:0;mso-wrap-style:none;position:absolute;v-text-anchor:top;z-index:251674624" filled="f" fillcolor="this" stroked="f" strokeweight="0.5pt">
              <v:textbox inset="0,0,0,0">
                <w:txbxContent>
                  <w:sdt>
                    <w:sdtPr>
                      <w:id w:val="446740507"/>
                      <w:placeholder>
                        <w:docPart w:val="5F03CE198E1C455A90B73A72CAA2DD6F"/>
                      </w:placeholder>
                      <w:dataBinding w:xpath="/ns1:coreProperties[1]/ns0:subject[1]" w:storeItemID="{6C3C8BC8-F283-45AE-878A-BAB7291924A1}"/>
                      <w:text/>
                    </w:sdtPr>
                    <w:sdtContent>
                      <w:p w:rsidR="00D9225E">
                        <w:pPr>
                          <w:pStyle w:val="LW13"/>
                        </w:pPr>
                        <w:r>
                          <w:t>道路工程施工图设计说明</w:t>
                        </w:r>
                      </w:p>
                    </w:sdtContent>
                  </w:sdt>
                </w:txbxContent>
              </v:textbox>
            </v:shape>
          </w:pict>
        </mc:Fallback>
      </mc:AlternateContent>
    </w:r>
    <w:sdt>
      <w:sdtPr>
        <w:id w:val="1802746900"/>
        <w:placeholder>
          <w:docPart w:val="5F03CE198E1C455A90B73A72CAA2DD6F"/>
        </w:placeholder>
        <w:showingPlcHdr/>
        <w:dataBinding w:xpath="/ns1:coreProperties[1]/ns0:title[1]" w:storeItemID="{6C3C8BC8-F283-45AE-878A-BAB7291924A1}"/>
        <w:text/>
      </w:sdtPr>
      <w:sdtContent>
        <w:r>
          <w:rPr>
            <w:rStyle w:val="PlaceholderText"/>
            <w:rFonts w:hint="eastAsia"/>
          </w:rPr>
          <w:t>单击此处输入文字。</w:t>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D67C1C"/>
    <w:multiLevelType w:val="multilevel"/>
    <w:tmpl w:val="5BD67C1C"/>
    <w:lvl w:ilvl="0">
      <w:start w:val="1"/>
      <w:numFmt w:val="chineseCountingThousand"/>
      <w:suff w:val="space"/>
      <w:lvlText w:val="%1"/>
      <w:lvlJc w:val="left"/>
      <w:pPr>
        <w:ind w:left="0" w:firstLine="0"/>
      </w:pPr>
      <w:rPr>
        <w:rFonts w:hint="eastAsia"/>
        <w:color w:val="000000"/>
      </w:rPr>
    </w:lvl>
    <w:lvl w:ilvl="1">
      <w:start w:val="1"/>
      <w:numFmt w:val="decimal"/>
      <w:isLgl/>
      <w:suff w:val="space"/>
      <w:lvlText w:val="%1.%2"/>
      <w:lvlJc w:val="left"/>
      <w:pPr>
        <w:ind w:left="0" w:firstLine="0"/>
      </w:pPr>
      <w:rPr>
        <w:rFonts w:hint="eastAsia"/>
        <w:color w:val="000000"/>
      </w:rPr>
    </w:lvl>
    <w:lvl w:ilvl="2">
      <w:start w:val="1"/>
      <w:numFmt w:val="decimal"/>
      <w:isLgl/>
      <w:suff w:val="space"/>
      <w:lvlText w:val="%1.%2.%3"/>
      <w:lvlJc w:val="left"/>
      <w:pPr>
        <w:ind w:left="0" w:firstLine="0"/>
      </w:pPr>
      <w:rPr>
        <w:rFonts w:hint="eastAsia"/>
        <w:color w:val="000000"/>
      </w:rPr>
    </w:lvl>
    <w:lvl w:ilvl="3">
      <w:start w:val="1"/>
      <w:numFmt w:val="decimal"/>
      <w:isLgl/>
      <w:suff w:val="space"/>
      <w:lvlText w:val="%1.%2.%3.%4"/>
      <w:lvlJc w:val="left"/>
      <w:pPr>
        <w:ind w:left="0" w:firstLine="0"/>
      </w:pPr>
      <w:rPr>
        <w:rFonts w:hint="eastAsia"/>
        <w:color w:val="000000"/>
      </w:rPr>
    </w:lvl>
    <w:lvl w:ilvl="4">
      <w:start w:val="1"/>
      <w:numFmt w:val="decimal"/>
      <w:lvlRestart w:val="1"/>
      <w:pStyle w:val="a7"/>
      <w:isLgl/>
      <w:suff w:val="space"/>
      <w:lvlText w:val="%1.%5"/>
      <w:lvlJc w:val="left"/>
      <w:pPr>
        <w:ind w:left="0" w:firstLine="0"/>
      </w:pPr>
      <w:rPr>
        <w:rFonts w:hint="eastAsia"/>
        <w:color w:val="000000"/>
      </w:rPr>
    </w:lvl>
    <w:lvl w:ilvl="5">
      <w:start w:val="1"/>
      <w:numFmt w:val="decimal"/>
      <w:isLgl/>
      <w:suff w:val="space"/>
      <w:lvlText w:val="%6）"/>
      <w:lvlJc w:val="left"/>
      <w:pPr>
        <w:ind w:left="85" w:firstLine="624"/>
      </w:pPr>
      <w:rPr>
        <w:rFonts w:hint="eastAsia"/>
        <w:color w:val="000000"/>
      </w:rPr>
    </w:lvl>
    <w:lvl w:ilvl="6">
      <w:start w:val="1"/>
      <w:numFmt w:val="decimal"/>
      <w:suff w:val="nothing"/>
      <w:lvlText w:val="（%7）"/>
      <w:lvlJc w:val="left"/>
      <w:pPr>
        <w:ind w:left="0" w:firstLine="0"/>
      </w:pPr>
      <w:rPr>
        <w:rFonts w:hint="eastAsia"/>
        <w:color w:val="000000"/>
      </w:rPr>
    </w:lvl>
    <w:lvl w:ilvl="7">
      <w:start w:val="1"/>
      <w:numFmt w:val="decimal"/>
      <w:lvlText w:val="%1.%2.%3.%4.%5.%6.%7.%8"/>
      <w:lvlJc w:val="left"/>
      <w:pPr>
        <w:ind w:left="0" w:firstLine="0"/>
      </w:pPr>
      <w:rPr>
        <w:rFonts w:hint="eastAsia"/>
        <w:color w:val="000000"/>
      </w:rPr>
    </w:lvl>
    <w:lvl w:ilvl="8">
      <w:start w:val="1"/>
      <w:numFmt w:val="decimal"/>
      <w:lvlText w:val="%1.%2.%3.%4.%5.%6.%7.%8.%9"/>
      <w:lvlJc w:val="left"/>
      <w:pPr>
        <w:ind w:left="0" w:firstLine="0"/>
      </w:pPr>
      <w:rPr>
        <w:rFonts w:hint="eastAsia"/>
        <w:color w:val="000000"/>
      </w:rPr>
    </w:lvl>
  </w:abstractNum>
  <w:abstractNum w:abstractNumId="1">
    <w:nsid w:val="74A82FE1"/>
    <w:multiLevelType w:val="multilevel"/>
    <w:tmpl w:val="74A82FE1"/>
    <w:lvl w:ilvl="0">
      <w:start w:val="1"/>
      <w:numFmt w:val="decimal"/>
      <w:pStyle w:val="LW11"/>
      <w:suff w:val="nothing"/>
      <w:lvlText w:val="%1 "/>
      <w:lvlJc w:val="left"/>
      <w:pPr>
        <w:ind w:left="0" w:firstLine="0"/>
      </w:pPr>
      <w:rPr>
        <w:rFonts w:ascii="宋体" w:eastAsia="宋体" w:hAnsi="宋体" w:hint="eastAsia"/>
        <w:b/>
        <w:color w:val="000000"/>
      </w:rPr>
    </w:lvl>
    <w:lvl w:ilvl="1">
      <w:start w:val="1"/>
      <w:numFmt w:val="decimal"/>
      <w:pStyle w:val="LW21"/>
      <w:suff w:val="nothing"/>
      <w:lvlText w:val="%1.%2 "/>
      <w:lvlJc w:val="left"/>
      <w:pPr>
        <w:ind w:left="0" w:firstLine="0"/>
      </w:pPr>
      <w:rPr>
        <w:rFonts w:ascii="宋体" w:eastAsia="宋体" w:hAnsi="宋体" w:hint="eastAsia"/>
        <w:b/>
        <w:color w:val="000000"/>
      </w:rPr>
    </w:lvl>
    <w:lvl w:ilvl="2">
      <w:start w:val="1"/>
      <w:numFmt w:val="decimal"/>
      <w:pStyle w:val="LW31"/>
      <w:suff w:val="nothing"/>
      <w:lvlText w:val="%1.%2.%3 "/>
      <w:lvlJc w:val="left"/>
      <w:pPr>
        <w:ind w:left="0" w:firstLine="0"/>
      </w:pPr>
      <w:rPr>
        <w:rFonts w:ascii="宋体" w:eastAsia="宋体" w:hAnsi="宋体" w:hint="eastAsia"/>
        <w:b/>
        <w:color w:val="000000"/>
      </w:rPr>
    </w:lvl>
    <w:lvl w:ilvl="3">
      <w:start w:val="1"/>
      <w:numFmt w:val="decimal"/>
      <w:pStyle w:val="LW41"/>
      <w:suff w:val="nothing"/>
      <w:lvlText w:val="%1.%2.%3.%4 "/>
      <w:lvlJc w:val="left"/>
      <w:pPr>
        <w:ind w:left="0" w:firstLine="0"/>
      </w:pPr>
      <w:rPr>
        <w:rFonts w:ascii="宋体" w:eastAsia="宋体" w:hAnsi="宋体" w:hint="eastAsia"/>
        <w:b/>
        <w:color w:val="000000"/>
      </w:rPr>
    </w:lvl>
    <w:lvl w:ilvl="4">
      <w:start w:val="1"/>
      <w:numFmt w:val="decimal"/>
      <w:pStyle w:val="LW1"/>
      <w:suff w:val="nothing"/>
      <w:lvlText w:val="(%5)"/>
      <w:lvlJc w:val="left"/>
      <w:pPr>
        <w:ind w:left="0" w:firstLine="0"/>
      </w:pPr>
      <w:rPr>
        <w:rFonts w:ascii="宋体" w:eastAsia="宋体" w:hAnsi="宋体" w:hint="eastAsia"/>
        <w:color w:val="000000"/>
      </w:rPr>
    </w:lvl>
    <w:lvl w:ilvl="5">
      <w:start w:val="1"/>
      <w:numFmt w:val="decimal"/>
      <w:pStyle w:val="LW2"/>
      <w:suff w:val="nothing"/>
      <w:lvlText w:val="%6)"/>
      <w:lvlJc w:val="left"/>
      <w:pPr>
        <w:ind w:left="0" w:firstLine="0"/>
      </w:pPr>
      <w:rPr>
        <w:rFonts w:ascii="宋体" w:eastAsia="宋体" w:hAnsi="宋体" w:hint="eastAsia"/>
        <w:color w:val="000000"/>
      </w:rPr>
    </w:lvl>
    <w:lvl w:ilvl="6">
      <w:start w:val="1"/>
      <w:numFmt w:val="lowerLetter"/>
      <w:pStyle w:val="LW3"/>
      <w:suff w:val="nothing"/>
      <w:lvlText w:val="%7."/>
      <w:lvlJc w:val="left"/>
      <w:pPr>
        <w:ind w:left="0" w:firstLine="0"/>
      </w:pPr>
      <w:rPr>
        <w:rFonts w:ascii="宋体" w:eastAsia="宋体" w:hAnsi="宋体" w:hint="eastAsia"/>
        <w:color w:val="000000"/>
      </w:rPr>
    </w:lvl>
    <w:lvl w:ilvl="7">
      <w:start w:val="1"/>
      <w:numFmt w:val="lowerLetter"/>
      <w:pStyle w:val="LW4"/>
      <w:suff w:val="nothing"/>
      <w:lvlText w:val="(%8)"/>
      <w:lvlJc w:val="left"/>
      <w:pPr>
        <w:ind w:left="0" w:firstLine="0"/>
      </w:pPr>
      <w:rPr>
        <w:rFonts w:ascii="宋体" w:eastAsia="宋体" w:hAnsi="宋体" w:hint="eastAsia"/>
        <w:color w:val="000000"/>
      </w:rPr>
    </w:lvl>
    <w:lvl w:ilvl="8">
      <w:start w:val="1"/>
      <w:numFmt w:val="lowerLetter"/>
      <w:pStyle w:val="LW5"/>
      <w:suff w:val="nothing"/>
      <w:lvlText w:val="%9)"/>
      <w:lvlJc w:val="left"/>
      <w:pPr>
        <w:ind w:left="0" w:firstLine="0"/>
      </w:pPr>
      <w:rPr>
        <w:rFonts w:ascii="宋体" w:eastAsia="宋体" w:hAnsi="宋体" w:hint="eastAsia"/>
        <w:color w:val="000000"/>
      </w:rPr>
    </w:lvl>
  </w:abstractNum>
  <w:num w:numId="1">
    <w:abstractNumId w:val="1"/>
  </w:num>
  <w:num w:numId="2">
    <w:abstractNumId w:val="0"/>
  </w:num>
  <w:num w:numId="3">
    <w:abstractNumId w:val="1"/>
    <w:lvlOverride w:ilvl="0">
      <w:lvl w:ilvl="0" w:tentative="1">
        <w:start w:val="1"/>
        <w:numFmt w:val="decimal"/>
        <w:pStyle w:val="LW11"/>
        <w:suff w:val="nothing"/>
        <w:lvlText w:val="%1 "/>
        <w:lvlJc w:val="left"/>
        <w:pPr>
          <w:ind w:left="0" w:firstLine="0"/>
        </w:pPr>
        <w:rPr>
          <w:rFonts w:ascii="宋体" w:eastAsia="宋体" w:hAnsi="宋体" w:hint="eastAsia"/>
          <w:b/>
          <w:color w:val="000000"/>
        </w:rPr>
      </w:lvl>
    </w:lvlOverride>
    <w:lvlOverride w:ilvl="1">
      <w:lvl w:ilvl="1" w:tentative="1">
        <w:start w:val="1"/>
        <w:numFmt w:val="decimal"/>
        <w:pStyle w:val="LW21"/>
        <w:suff w:val="nothing"/>
        <w:lvlText w:val="%1.%2 "/>
        <w:lvlJc w:val="left"/>
        <w:pPr>
          <w:ind w:left="0" w:firstLine="0"/>
        </w:pPr>
        <w:rPr>
          <w:rFonts w:ascii="宋体" w:eastAsia="宋体" w:hAnsi="宋体" w:hint="eastAsia"/>
          <w:b/>
          <w:color w:val="000000"/>
        </w:rPr>
      </w:lvl>
    </w:lvlOverride>
    <w:lvlOverride w:ilvl="2">
      <w:lvl w:ilvl="2">
        <w:start w:val="1"/>
        <w:numFmt w:val="decimal"/>
        <w:pStyle w:val="LW31"/>
        <w:suff w:val="nothing"/>
        <w:lvlText w:val="%1.%2.%3 "/>
        <w:lvlJc w:val="left"/>
        <w:pPr>
          <w:ind w:left="0" w:firstLine="0"/>
        </w:pPr>
        <w:rPr>
          <w:rFonts w:ascii="宋体" w:eastAsia="宋体" w:hAnsi="宋体" w:hint="eastAsia"/>
          <w:b/>
          <w:color w:val="000000"/>
        </w:rPr>
      </w:lvl>
    </w:lvlOverride>
    <w:lvlOverride w:ilvl="3">
      <w:lvl w:ilvl="3" w:tentative="1">
        <w:start w:val="1"/>
        <w:numFmt w:val="decimal"/>
        <w:pStyle w:val="LW41"/>
        <w:suff w:val="nothing"/>
        <w:lvlText w:val="%1.%2.%3.%4 "/>
        <w:lvlJc w:val="left"/>
        <w:pPr>
          <w:ind w:left="0" w:firstLine="0"/>
        </w:pPr>
        <w:rPr>
          <w:rFonts w:ascii="宋体" w:eastAsia="宋体" w:hAnsi="宋体" w:hint="eastAsia"/>
          <w:b/>
          <w:color w:val="000000"/>
        </w:rPr>
      </w:lvl>
    </w:lvlOverride>
    <w:lvlOverride w:ilvl="4">
      <w:lvl w:ilvl="4" w:tentative="1">
        <w:start w:val="1"/>
        <w:numFmt w:val="decimal"/>
        <w:pStyle w:val="LW1"/>
        <w:suff w:val="nothing"/>
        <w:lvlText w:val="(%5)"/>
        <w:lvlJc w:val="left"/>
        <w:pPr>
          <w:ind w:left="0" w:firstLine="0"/>
        </w:pPr>
        <w:rPr>
          <w:rFonts w:ascii="宋体" w:eastAsia="宋体" w:hAnsi="宋体" w:hint="eastAsia"/>
          <w:color w:val="000000"/>
        </w:rPr>
      </w:lvl>
    </w:lvlOverride>
    <w:lvlOverride w:ilvl="5">
      <w:lvl w:ilvl="5" w:tentative="1">
        <w:start w:val="1"/>
        <w:numFmt w:val="decimal"/>
        <w:pStyle w:val="LW2"/>
        <w:suff w:val="nothing"/>
        <w:lvlText w:val="%6)"/>
        <w:lvlJc w:val="left"/>
        <w:pPr>
          <w:ind w:left="0" w:firstLine="0"/>
        </w:pPr>
        <w:rPr>
          <w:rFonts w:ascii="宋体" w:eastAsia="宋体" w:hAnsi="宋体" w:hint="eastAsia"/>
          <w:color w:val="000000"/>
        </w:rPr>
      </w:lvl>
    </w:lvlOverride>
    <w:lvlOverride w:ilvl="6">
      <w:lvl w:ilvl="6" w:tentative="1">
        <w:start w:val="1"/>
        <w:numFmt w:val="lowerLetter"/>
        <w:pStyle w:val="LW3"/>
        <w:suff w:val="nothing"/>
        <w:lvlText w:val="%7."/>
        <w:lvlJc w:val="left"/>
        <w:pPr>
          <w:ind w:left="0" w:firstLine="0"/>
        </w:pPr>
        <w:rPr>
          <w:rFonts w:ascii="宋体" w:eastAsia="宋体" w:hAnsi="宋体" w:hint="eastAsia"/>
          <w:color w:val="000000"/>
        </w:rPr>
      </w:lvl>
    </w:lvlOverride>
    <w:lvlOverride w:ilvl="7">
      <w:lvl w:ilvl="7" w:tentative="1">
        <w:start w:val="1"/>
        <w:numFmt w:val="lowerLetter"/>
        <w:pStyle w:val="LW4"/>
        <w:suff w:val="nothing"/>
        <w:lvlText w:val="(%8)"/>
        <w:lvlJc w:val="left"/>
        <w:pPr>
          <w:ind w:left="0" w:firstLine="0"/>
        </w:pPr>
        <w:rPr>
          <w:rFonts w:ascii="宋体" w:eastAsia="宋体" w:hAnsi="宋体" w:hint="eastAsia"/>
          <w:color w:val="000000"/>
        </w:rPr>
      </w:lvl>
    </w:lvlOverride>
    <w:lvlOverride w:ilvl="8">
      <w:lvl w:ilvl="8" w:tentative="1">
        <w:start w:val="1"/>
        <w:numFmt w:val="lowerLetter"/>
        <w:pStyle w:val="LW5"/>
        <w:suff w:val="nothing"/>
        <w:lvlText w:val="%9)"/>
        <w:lvlJc w:val="left"/>
        <w:pPr>
          <w:ind w:left="0" w:firstLine="0"/>
        </w:pPr>
        <w:rPr>
          <w:rFonts w:ascii="宋体" w:eastAsia="宋体" w:hAnsi="宋体" w:hint="eastAsia"/>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07"/>
    <w:rsid w:val="00007ECD"/>
    <w:rsid w:val="0001302F"/>
    <w:rsid w:val="000332C7"/>
    <w:rsid w:val="0004584D"/>
    <w:rsid w:val="00047385"/>
    <w:rsid w:val="0007115D"/>
    <w:rsid w:val="00071A49"/>
    <w:rsid w:val="000823A1"/>
    <w:rsid w:val="000861D9"/>
    <w:rsid w:val="00090F5C"/>
    <w:rsid w:val="000A7C30"/>
    <w:rsid w:val="000B1071"/>
    <w:rsid w:val="000B2828"/>
    <w:rsid w:val="000B7B3D"/>
    <w:rsid w:val="000C4375"/>
    <w:rsid w:val="000D2B12"/>
    <w:rsid w:val="001058F1"/>
    <w:rsid w:val="00105A8E"/>
    <w:rsid w:val="001104DD"/>
    <w:rsid w:val="00126CE7"/>
    <w:rsid w:val="001311B6"/>
    <w:rsid w:val="00150B72"/>
    <w:rsid w:val="00163AF5"/>
    <w:rsid w:val="00172930"/>
    <w:rsid w:val="001868F2"/>
    <w:rsid w:val="00187F64"/>
    <w:rsid w:val="001B7199"/>
    <w:rsid w:val="001C7065"/>
    <w:rsid w:val="001D39D8"/>
    <w:rsid w:val="001D5F5A"/>
    <w:rsid w:val="001E0053"/>
    <w:rsid w:val="001E22FC"/>
    <w:rsid w:val="001F39B2"/>
    <w:rsid w:val="001F4669"/>
    <w:rsid w:val="00206B39"/>
    <w:rsid w:val="0021295A"/>
    <w:rsid w:val="00214719"/>
    <w:rsid w:val="0021493E"/>
    <w:rsid w:val="00223780"/>
    <w:rsid w:val="00223A19"/>
    <w:rsid w:val="00224443"/>
    <w:rsid w:val="00242BCD"/>
    <w:rsid w:val="00243E10"/>
    <w:rsid w:val="00255950"/>
    <w:rsid w:val="00263BDD"/>
    <w:rsid w:val="00270695"/>
    <w:rsid w:val="002709F0"/>
    <w:rsid w:val="00270A73"/>
    <w:rsid w:val="00272D45"/>
    <w:rsid w:val="002771C1"/>
    <w:rsid w:val="00281901"/>
    <w:rsid w:val="0029260B"/>
    <w:rsid w:val="00293AF6"/>
    <w:rsid w:val="0029576D"/>
    <w:rsid w:val="00297984"/>
    <w:rsid w:val="002A118A"/>
    <w:rsid w:val="002B3B86"/>
    <w:rsid w:val="002C5B8D"/>
    <w:rsid w:val="002D25E4"/>
    <w:rsid w:val="002D3D6D"/>
    <w:rsid w:val="002E3A4C"/>
    <w:rsid w:val="002F31F9"/>
    <w:rsid w:val="002F6CF1"/>
    <w:rsid w:val="00304B32"/>
    <w:rsid w:val="00310691"/>
    <w:rsid w:val="003231AF"/>
    <w:rsid w:val="003256C1"/>
    <w:rsid w:val="00341CC8"/>
    <w:rsid w:val="00352730"/>
    <w:rsid w:val="00357A7C"/>
    <w:rsid w:val="00360805"/>
    <w:rsid w:val="003672B1"/>
    <w:rsid w:val="00371190"/>
    <w:rsid w:val="003714BC"/>
    <w:rsid w:val="00374684"/>
    <w:rsid w:val="00376E3B"/>
    <w:rsid w:val="00382825"/>
    <w:rsid w:val="003918BF"/>
    <w:rsid w:val="003A1034"/>
    <w:rsid w:val="003A5F08"/>
    <w:rsid w:val="003A6E55"/>
    <w:rsid w:val="003B0247"/>
    <w:rsid w:val="003B50E4"/>
    <w:rsid w:val="003C0E29"/>
    <w:rsid w:val="003C38D2"/>
    <w:rsid w:val="003C3987"/>
    <w:rsid w:val="003C4132"/>
    <w:rsid w:val="003C6235"/>
    <w:rsid w:val="003C7084"/>
    <w:rsid w:val="003E66CD"/>
    <w:rsid w:val="003F32CE"/>
    <w:rsid w:val="00400019"/>
    <w:rsid w:val="00404C65"/>
    <w:rsid w:val="0041059D"/>
    <w:rsid w:val="0041700D"/>
    <w:rsid w:val="0042179F"/>
    <w:rsid w:val="004301D8"/>
    <w:rsid w:val="004303C3"/>
    <w:rsid w:val="0043289A"/>
    <w:rsid w:val="0043419E"/>
    <w:rsid w:val="004462CD"/>
    <w:rsid w:val="00446522"/>
    <w:rsid w:val="00481621"/>
    <w:rsid w:val="0048383D"/>
    <w:rsid w:val="00491AB6"/>
    <w:rsid w:val="00492DA2"/>
    <w:rsid w:val="004A17D2"/>
    <w:rsid w:val="004C2614"/>
    <w:rsid w:val="004C77C4"/>
    <w:rsid w:val="004C7A2F"/>
    <w:rsid w:val="004D0F83"/>
    <w:rsid w:val="004E0423"/>
    <w:rsid w:val="004E1A32"/>
    <w:rsid w:val="004E3AE1"/>
    <w:rsid w:val="004E6399"/>
    <w:rsid w:val="004F3311"/>
    <w:rsid w:val="004F6F54"/>
    <w:rsid w:val="00511805"/>
    <w:rsid w:val="005432AA"/>
    <w:rsid w:val="00546B51"/>
    <w:rsid w:val="005817A3"/>
    <w:rsid w:val="00585EB6"/>
    <w:rsid w:val="00587995"/>
    <w:rsid w:val="005B429B"/>
    <w:rsid w:val="005D238E"/>
    <w:rsid w:val="005E2E4B"/>
    <w:rsid w:val="005E4822"/>
    <w:rsid w:val="005F3282"/>
    <w:rsid w:val="005F3A1F"/>
    <w:rsid w:val="005F65CD"/>
    <w:rsid w:val="005F6F9D"/>
    <w:rsid w:val="00602093"/>
    <w:rsid w:val="0060341B"/>
    <w:rsid w:val="00603DE5"/>
    <w:rsid w:val="0060446E"/>
    <w:rsid w:val="00605C14"/>
    <w:rsid w:val="00607064"/>
    <w:rsid w:val="00610794"/>
    <w:rsid w:val="00617248"/>
    <w:rsid w:val="00617522"/>
    <w:rsid w:val="006216CD"/>
    <w:rsid w:val="006254EC"/>
    <w:rsid w:val="00631BF8"/>
    <w:rsid w:val="006340F8"/>
    <w:rsid w:val="006375BE"/>
    <w:rsid w:val="00655BBF"/>
    <w:rsid w:val="0066200C"/>
    <w:rsid w:val="0066547D"/>
    <w:rsid w:val="00670104"/>
    <w:rsid w:val="00672409"/>
    <w:rsid w:val="00673693"/>
    <w:rsid w:val="00681798"/>
    <w:rsid w:val="006818A1"/>
    <w:rsid w:val="00682E44"/>
    <w:rsid w:val="006A5D2A"/>
    <w:rsid w:val="006A6A30"/>
    <w:rsid w:val="006A7B64"/>
    <w:rsid w:val="006C20B6"/>
    <w:rsid w:val="006C24C0"/>
    <w:rsid w:val="006E03AA"/>
    <w:rsid w:val="006F024F"/>
    <w:rsid w:val="006F538D"/>
    <w:rsid w:val="006F71E0"/>
    <w:rsid w:val="00700B16"/>
    <w:rsid w:val="0070501E"/>
    <w:rsid w:val="00706B3E"/>
    <w:rsid w:val="00720FD2"/>
    <w:rsid w:val="007270F4"/>
    <w:rsid w:val="00742B25"/>
    <w:rsid w:val="007439F2"/>
    <w:rsid w:val="00745FF6"/>
    <w:rsid w:val="007518B5"/>
    <w:rsid w:val="00756B99"/>
    <w:rsid w:val="00763DE8"/>
    <w:rsid w:val="00763E28"/>
    <w:rsid w:val="007754F4"/>
    <w:rsid w:val="00776665"/>
    <w:rsid w:val="007875FE"/>
    <w:rsid w:val="007B1B89"/>
    <w:rsid w:val="007B5276"/>
    <w:rsid w:val="007B6649"/>
    <w:rsid w:val="007C1D96"/>
    <w:rsid w:val="007C3C5E"/>
    <w:rsid w:val="007C4991"/>
    <w:rsid w:val="007C5057"/>
    <w:rsid w:val="007C7956"/>
    <w:rsid w:val="007E5210"/>
    <w:rsid w:val="007F34A4"/>
    <w:rsid w:val="00807126"/>
    <w:rsid w:val="00810D1E"/>
    <w:rsid w:val="00810EC4"/>
    <w:rsid w:val="00811F39"/>
    <w:rsid w:val="00824D12"/>
    <w:rsid w:val="0082775D"/>
    <w:rsid w:val="008317CD"/>
    <w:rsid w:val="008375F7"/>
    <w:rsid w:val="00837E60"/>
    <w:rsid w:val="00841F35"/>
    <w:rsid w:val="008430DC"/>
    <w:rsid w:val="00844786"/>
    <w:rsid w:val="0085358E"/>
    <w:rsid w:val="008561C5"/>
    <w:rsid w:val="00865FE9"/>
    <w:rsid w:val="0087081E"/>
    <w:rsid w:val="00886CFD"/>
    <w:rsid w:val="008A47D2"/>
    <w:rsid w:val="008A5E86"/>
    <w:rsid w:val="008B0983"/>
    <w:rsid w:val="008B576B"/>
    <w:rsid w:val="008D197D"/>
    <w:rsid w:val="008D57DF"/>
    <w:rsid w:val="00914816"/>
    <w:rsid w:val="00920B70"/>
    <w:rsid w:val="0092369B"/>
    <w:rsid w:val="00930955"/>
    <w:rsid w:val="00934F25"/>
    <w:rsid w:val="0096199F"/>
    <w:rsid w:val="009740A1"/>
    <w:rsid w:val="0098028E"/>
    <w:rsid w:val="00984AD5"/>
    <w:rsid w:val="00986C65"/>
    <w:rsid w:val="00986CE8"/>
    <w:rsid w:val="00986D0B"/>
    <w:rsid w:val="00987AE6"/>
    <w:rsid w:val="00993667"/>
    <w:rsid w:val="009937B2"/>
    <w:rsid w:val="009942DC"/>
    <w:rsid w:val="00994466"/>
    <w:rsid w:val="009951F8"/>
    <w:rsid w:val="0099676D"/>
    <w:rsid w:val="009A4269"/>
    <w:rsid w:val="009A6135"/>
    <w:rsid w:val="009B5062"/>
    <w:rsid w:val="009C0610"/>
    <w:rsid w:val="009C5242"/>
    <w:rsid w:val="009D3328"/>
    <w:rsid w:val="009D5A7A"/>
    <w:rsid w:val="009E5F36"/>
    <w:rsid w:val="009F4B7E"/>
    <w:rsid w:val="00A11567"/>
    <w:rsid w:val="00A20470"/>
    <w:rsid w:val="00A2166A"/>
    <w:rsid w:val="00A21983"/>
    <w:rsid w:val="00A25669"/>
    <w:rsid w:val="00A265D3"/>
    <w:rsid w:val="00A312E7"/>
    <w:rsid w:val="00A349EF"/>
    <w:rsid w:val="00A34B35"/>
    <w:rsid w:val="00A54B16"/>
    <w:rsid w:val="00A632DE"/>
    <w:rsid w:val="00A657B7"/>
    <w:rsid w:val="00A67E42"/>
    <w:rsid w:val="00A77EAC"/>
    <w:rsid w:val="00A9470C"/>
    <w:rsid w:val="00A96059"/>
    <w:rsid w:val="00A962E9"/>
    <w:rsid w:val="00AA0AA4"/>
    <w:rsid w:val="00AA273D"/>
    <w:rsid w:val="00AA464D"/>
    <w:rsid w:val="00AB4851"/>
    <w:rsid w:val="00AB6F07"/>
    <w:rsid w:val="00AB6FAC"/>
    <w:rsid w:val="00AC04AA"/>
    <w:rsid w:val="00AD4974"/>
    <w:rsid w:val="00AD52F9"/>
    <w:rsid w:val="00AE0930"/>
    <w:rsid w:val="00AE5F2B"/>
    <w:rsid w:val="00B049FD"/>
    <w:rsid w:val="00B07229"/>
    <w:rsid w:val="00B24029"/>
    <w:rsid w:val="00B378CD"/>
    <w:rsid w:val="00B476A9"/>
    <w:rsid w:val="00B5739F"/>
    <w:rsid w:val="00B65D50"/>
    <w:rsid w:val="00B72860"/>
    <w:rsid w:val="00B81F12"/>
    <w:rsid w:val="00B8223B"/>
    <w:rsid w:val="00BA13E2"/>
    <w:rsid w:val="00BA39A9"/>
    <w:rsid w:val="00BA40AC"/>
    <w:rsid w:val="00BA6C62"/>
    <w:rsid w:val="00BB71A7"/>
    <w:rsid w:val="00BC00CB"/>
    <w:rsid w:val="00BC0CA4"/>
    <w:rsid w:val="00BC4161"/>
    <w:rsid w:val="00BD0297"/>
    <w:rsid w:val="00BD0D24"/>
    <w:rsid w:val="00BD6AF8"/>
    <w:rsid w:val="00BE3E5D"/>
    <w:rsid w:val="00BF151F"/>
    <w:rsid w:val="00C064A9"/>
    <w:rsid w:val="00C10A3E"/>
    <w:rsid w:val="00C14509"/>
    <w:rsid w:val="00C165F9"/>
    <w:rsid w:val="00C31B48"/>
    <w:rsid w:val="00C34A30"/>
    <w:rsid w:val="00C37C1C"/>
    <w:rsid w:val="00C41E76"/>
    <w:rsid w:val="00C50D1E"/>
    <w:rsid w:val="00C53022"/>
    <w:rsid w:val="00C567A8"/>
    <w:rsid w:val="00C61624"/>
    <w:rsid w:val="00C62344"/>
    <w:rsid w:val="00C667AA"/>
    <w:rsid w:val="00C77C07"/>
    <w:rsid w:val="00C81026"/>
    <w:rsid w:val="00C866BC"/>
    <w:rsid w:val="00C94092"/>
    <w:rsid w:val="00CA004E"/>
    <w:rsid w:val="00CA089A"/>
    <w:rsid w:val="00CB24C3"/>
    <w:rsid w:val="00CB64F3"/>
    <w:rsid w:val="00CB7FA2"/>
    <w:rsid w:val="00CC5F2E"/>
    <w:rsid w:val="00CD0414"/>
    <w:rsid w:val="00CD077C"/>
    <w:rsid w:val="00CD5250"/>
    <w:rsid w:val="00CE4DC6"/>
    <w:rsid w:val="00CF1274"/>
    <w:rsid w:val="00CF30EB"/>
    <w:rsid w:val="00CF5E37"/>
    <w:rsid w:val="00D05B6A"/>
    <w:rsid w:val="00D067F8"/>
    <w:rsid w:val="00D1356E"/>
    <w:rsid w:val="00D14003"/>
    <w:rsid w:val="00D14212"/>
    <w:rsid w:val="00D206AD"/>
    <w:rsid w:val="00D2230E"/>
    <w:rsid w:val="00D34446"/>
    <w:rsid w:val="00D4011E"/>
    <w:rsid w:val="00D44124"/>
    <w:rsid w:val="00D52F3A"/>
    <w:rsid w:val="00D6503B"/>
    <w:rsid w:val="00D65A59"/>
    <w:rsid w:val="00D7698A"/>
    <w:rsid w:val="00D9225E"/>
    <w:rsid w:val="00DA2C2D"/>
    <w:rsid w:val="00DA5036"/>
    <w:rsid w:val="00DB25D9"/>
    <w:rsid w:val="00DB6DD6"/>
    <w:rsid w:val="00DB6DFC"/>
    <w:rsid w:val="00DC061D"/>
    <w:rsid w:val="00DC0F36"/>
    <w:rsid w:val="00DC487D"/>
    <w:rsid w:val="00DC6DB3"/>
    <w:rsid w:val="00DE4C93"/>
    <w:rsid w:val="00DF4B5F"/>
    <w:rsid w:val="00E005F6"/>
    <w:rsid w:val="00E006C3"/>
    <w:rsid w:val="00E04035"/>
    <w:rsid w:val="00E1277E"/>
    <w:rsid w:val="00E277DA"/>
    <w:rsid w:val="00E3516A"/>
    <w:rsid w:val="00E35B25"/>
    <w:rsid w:val="00E47873"/>
    <w:rsid w:val="00E84905"/>
    <w:rsid w:val="00EA38EC"/>
    <w:rsid w:val="00EA43DA"/>
    <w:rsid w:val="00EA79B2"/>
    <w:rsid w:val="00EB2544"/>
    <w:rsid w:val="00EC0C43"/>
    <w:rsid w:val="00EC485C"/>
    <w:rsid w:val="00EC48EA"/>
    <w:rsid w:val="00EC6005"/>
    <w:rsid w:val="00EE188F"/>
    <w:rsid w:val="00EF1A7D"/>
    <w:rsid w:val="00EF4CC0"/>
    <w:rsid w:val="00EF706F"/>
    <w:rsid w:val="00F0405E"/>
    <w:rsid w:val="00F12092"/>
    <w:rsid w:val="00F14708"/>
    <w:rsid w:val="00F16E86"/>
    <w:rsid w:val="00F21C71"/>
    <w:rsid w:val="00F2220C"/>
    <w:rsid w:val="00F23C9C"/>
    <w:rsid w:val="00F33C81"/>
    <w:rsid w:val="00F36C50"/>
    <w:rsid w:val="00F45B5A"/>
    <w:rsid w:val="00F56DE1"/>
    <w:rsid w:val="00F63762"/>
    <w:rsid w:val="00F7099C"/>
    <w:rsid w:val="00F81ED8"/>
    <w:rsid w:val="00FA1605"/>
    <w:rsid w:val="00FA4F15"/>
    <w:rsid w:val="00FA5EB4"/>
    <w:rsid w:val="00FA6B0E"/>
    <w:rsid w:val="00FB080C"/>
    <w:rsid w:val="00FC457A"/>
    <w:rsid w:val="00FC4675"/>
    <w:rsid w:val="00FD181F"/>
    <w:rsid w:val="00FD1F2F"/>
    <w:rsid w:val="00FD3CDA"/>
    <w:rsid w:val="00FD499D"/>
    <w:rsid w:val="00FD6E1B"/>
    <w:rsid w:val="00FE0347"/>
    <w:rsid w:val="00FE1386"/>
    <w:rsid w:val="00FF43AB"/>
    <w:rsid w:val="01736F5E"/>
    <w:rsid w:val="03321A53"/>
    <w:rsid w:val="03761410"/>
    <w:rsid w:val="03883658"/>
    <w:rsid w:val="03C9092D"/>
    <w:rsid w:val="060F2843"/>
    <w:rsid w:val="06357338"/>
    <w:rsid w:val="06EE7BB1"/>
    <w:rsid w:val="07227628"/>
    <w:rsid w:val="08577C79"/>
    <w:rsid w:val="0B0577DC"/>
    <w:rsid w:val="0B6A43CA"/>
    <w:rsid w:val="0C715DB8"/>
    <w:rsid w:val="0CA936EB"/>
    <w:rsid w:val="0CB16402"/>
    <w:rsid w:val="0CBE28CD"/>
    <w:rsid w:val="0D5862D5"/>
    <w:rsid w:val="0D5F5E5E"/>
    <w:rsid w:val="0E8042DE"/>
    <w:rsid w:val="0E903DF5"/>
    <w:rsid w:val="0EAD11D9"/>
    <w:rsid w:val="0F2267D5"/>
    <w:rsid w:val="100B7ABF"/>
    <w:rsid w:val="105F70E0"/>
    <w:rsid w:val="10700789"/>
    <w:rsid w:val="1107004B"/>
    <w:rsid w:val="127C4DBC"/>
    <w:rsid w:val="129465AA"/>
    <w:rsid w:val="12A123D0"/>
    <w:rsid w:val="12A52565"/>
    <w:rsid w:val="13FE5913"/>
    <w:rsid w:val="160A26DF"/>
    <w:rsid w:val="16A04D1D"/>
    <w:rsid w:val="175616EA"/>
    <w:rsid w:val="19094ED0"/>
    <w:rsid w:val="19DD55D9"/>
    <w:rsid w:val="1A400DC5"/>
    <w:rsid w:val="1A530AF8"/>
    <w:rsid w:val="1B92468E"/>
    <w:rsid w:val="1BEA0FE8"/>
    <w:rsid w:val="1C420222"/>
    <w:rsid w:val="1D533628"/>
    <w:rsid w:val="1E313FB3"/>
    <w:rsid w:val="1EBB1886"/>
    <w:rsid w:val="1FF95C9E"/>
    <w:rsid w:val="20653161"/>
    <w:rsid w:val="20C746B3"/>
    <w:rsid w:val="20DA5ACF"/>
    <w:rsid w:val="217D1928"/>
    <w:rsid w:val="218D48F0"/>
    <w:rsid w:val="21BF0821"/>
    <w:rsid w:val="22804455"/>
    <w:rsid w:val="22A53EBB"/>
    <w:rsid w:val="22D64075"/>
    <w:rsid w:val="23D507D0"/>
    <w:rsid w:val="2410602C"/>
    <w:rsid w:val="24CE2760"/>
    <w:rsid w:val="25287C5E"/>
    <w:rsid w:val="25826736"/>
    <w:rsid w:val="27A14D63"/>
    <w:rsid w:val="287B193C"/>
    <w:rsid w:val="295B71C5"/>
    <w:rsid w:val="297B4C72"/>
    <w:rsid w:val="2A554419"/>
    <w:rsid w:val="2A5F2BA2"/>
    <w:rsid w:val="2AE839DA"/>
    <w:rsid w:val="2B6E2239"/>
    <w:rsid w:val="2BBB64FD"/>
    <w:rsid w:val="2BDA2E28"/>
    <w:rsid w:val="2C2F3578"/>
    <w:rsid w:val="2C6D5A4A"/>
    <w:rsid w:val="2CA7779F"/>
    <w:rsid w:val="2D79041E"/>
    <w:rsid w:val="2DB35663"/>
    <w:rsid w:val="2E755089"/>
    <w:rsid w:val="2FF558A8"/>
    <w:rsid w:val="308C66BA"/>
    <w:rsid w:val="312D1C4B"/>
    <w:rsid w:val="31462D0D"/>
    <w:rsid w:val="318667A4"/>
    <w:rsid w:val="324710F1"/>
    <w:rsid w:val="32AE0B6A"/>
    <w:rsid w:val="34761214"/>
    <w:rsid w:val="35101668"/>
    <w:rsid w:val="372B09DB"/>
    <w:rsid w:val="38186444"/>
    <w:rsid w:val="384C6E5B"/>
    <w:rsid w:val="39750DB9"/>
    <w:rsid w:val="398443D3"/>
    <w:rsid w:val="3A6D4BEB"/>
    <w:rsid w:val="3B0F763F"/>
    <w:rsid w:val="3B2D45F6"/>
    <w:rsid w:val="3BA448B8"/>
    <w:rsid w:val="3CB43221"/>
    <w:rsid w:val="3D2F29EB"/>
    <w:rsid w:val="3D7D3613"/>
    <w:rsid w:val="3DCD674A"/>
    <w:rsid w:val="3E394888"/>
    <w:rsid w:val="3EF67B21"/>
    <w:rsid w:val="3F0236C5"/>
    <w:rsid w:val="3F354451"/>
    <w:rsid w:val="402C30CE"/>
    <w:rsid w:val="40515615"/>
    <w:rsid w:val="405A6811"/>
    <w:rsid w:val="413F1D95"/>
    <w:rsid w:val="424C6791"/>
    <w:rsid w:val="42846FB4"/>
    <w:rsid w:val="43362BE2"/>
    <w:rsid w:val="44984918"/>
    <w:rsid w:val="45D97854"/>
    <w:rsid w:val="46366A55"/>
    <w:rsid w:val="46373EF7"/>
    <w:rsid w:val="472035D2"/>
    <w:rsid w:val="478163F5"/>
    <w:rsid w:val="47F170D7"/>
    <w:rsid w:val="48387ABD"/>
    <w:rsid w:val="484418FD"/>
    <w:rsid w:val="485A1120"/>
    <w:rsid w:val="490C1CEF"/>
    <w:rsid w:val="4A286FFC"/>
    <w:rsid w:val="4A477482"/>
    <w:rsid w:val="4B101F6A"/>
    <w:rsid w:val="4B61087C"/>
    <w:rsid w:val="4D0D4F33"/>
    <w:rsid w:val="4DAE5F5E"/>
    <w:rsid w:val="4E141517"/>
    <w:rsid w:val="4ED33DBE"/>
    <w:rsid w:val="4EE74D90"/>
    <w:rsid w:val="4F8B7C97"/>
    <w:rsid w:val="500737D6"/>
    <w:rsid w:val="500951DA"/>
    <w:rsid w:val="50175B49"/>
    <w:rsid w:val="501F725B"/>
    <w:rsid w:val="513821F0"/>
    <w:rsid w:val="517A638F"/>
    <w:rsid w:val="527E0828"/>
    <w:rsid w:val="528D2094"/>
    <w:rsid w:val="54332825"/>
    <w:rsid w:val="55AA6B17"/>
    <w:rsid w:val="56C37E91"/>
    <w:rsid w:val="570606C5"/>
    <w:rsid w:val="57AE4348"/>
    <w:rsid w:val="58C60230"/>
    <w:rsid w:val="58F3036F"/>
    <w:rsid w:val="59AF294E"/>
    <w:rsid w:val="59D81E7B"/>
    <w:rsid w:val="5AC056CA"/>
    <w:rsid w:val="5B7055D0"/>
    <w:rsid w:val="5CEE5E83"/>
    <w:rsid w:val="5E1831B8"/>
    <w:rsid w:val="5EBF7084"/>
    <w:rsid w:val="5F700DD2"/>
    <w:rsid w:val="60762977"/>
    <w:rsid w:val="61DE55F7"/>
    <w:rsid w:val="62B80BC8"/>
    <w:rsid w:val="637F7FA2"/>
    <w:rsid w:val="63937D1D"/>
    <w:rsid w:val="640970FF"/>
    <w:rsid w:val="65690C98"/>
    <w:rsid w:val="659D0447"/>
    <w:rsid w:val="65E17AE5"/>
    <w:rsid w:val="65FD6839"/>
    <w:rsid w:val="660758C0"/>
    <w:rsid w:val="66482160"/>
    <w:rsid w:val="6672542F"/>
    <w:rsid w:val="667C005C"/>
    <w:rsid w:val="66D43BCA"/>
    <w:rsid w:val="67A1421E"/>
    <w:rsid w:val="68096B78"/>
    <w:rsid w:val="696372B1"/>
    <w:rsid w:val="6AF3041C"/>
    <w:rsid w:val="6B7E7978"/>
    <w:rsid w:val="6C433270"/>
    <w:rsid w:val="6E096679"/>
    <w:rsid w:val="6E4B4EE4"/>
    <w:rsid w:val="6F836FC4"/>
    <w:rsid w:val="70C74469"/>
    <w:rsid w:val="70E231B1"/>
    <w:rsid w:val="71C13613"/>
    <w:rsid w:val="71D138A4"/>
    <w:rsid w:val="71D609E2"/>
    <w:rsid w:val="71D90A58"/>
    <w:rsid w:val="7240042C"/>
    <w:rsid w:val="72556331"/>
    <w:rsid w:val="73214465"/>
    <w:rsid w:val="747D7D00"/>
    <w:rsid w:val="75C205A6"/>
    <w:rsid w:val="761B163F"/>
    <w:rsid w:val="7650794E"/>
    <w:rsid w:val="77EB2D21"/>
    <w:rsid w:val="78267E28"/>
    <w:rsid w:val="785E76BB"/>
    <w:rsid w:val="78F148D9"/>
    <w:rsid w:val="7A796935"/>
    <w:rsid w:val="7AF63064"/>
    <w:rsid w:val="7D1D4FBB"/>
    <w:rsid w:val="7EF274C6"/>
    <w:rsid w:val="7FD6583E"/>
  </w:rsids>
  <w:docVars>
    <w:docVar w:name="commondata" w:val="eyJoZGlkIjoiNjI2ZTkwMzQxZmRlOTQyYzk0NTlkYjRhMjNjNzg2Mz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196AEB0"/>
  <w15:docId w15:val="{3E918509-9548-4756-A09C-695BA95A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MessageHeader"/>
    <w:qFormat/>
    <w:pPr>
      <w:widowControl w:val="0"/>
      <w:jc w:val="both"/>
    </w:pPr>
    <w:rPr>
      <w:kern w:val="2"/>
      <w:sz w:val="21"/>
      <w:szCs w:val="22"/>
    </w:rPr>
  </w:style>
  <w:style w:type="paragraph" w:styleId="Heading1">
    <w:name w:val="heading 1"/>
    <w:basedOn w:val="Normal"/>
    <w:next w:val="PlainText"/>
    <w:link w:val="1"/>
    <w:qFormat/>
    <w:pPr>
      <w:keepNext/>
      <w:keepLines/>
      <w:spacing w:before="340" w:after="330" w:line="578" w:lineRule="auto"/>
      <w:outlineLvl w:val="0"/>
    </w:pPr>
    <w:rPr>
      <w:rFonts w:ascii="Times New Roman" w:eastAsia="宋体" w:hAnsi="Times New Roman" w:cs="Times New Roman"/>
      <w:b/>
      <w:bCs/>
      <w:kern w:val="44"/>
      <w:sz w:val="44"/>
      <w:szCs w:val="44"/>
      <w:lang w:val="zh-CN"/>
    </w:rPr>
  </w:style>
  <w:style w:type="paragraph" w:styleId="Heading2">
    <w:name w:val="heading 2"/>
    <w:basedOn w:val="Normal"/>
    <w:next w:val="Normal"/>
    <w:link w:val="20"/>
    <w:qFormat/>
    <w:pPr>
      <w:keepNext/>
      <w:keepLines/>
      <w:spacing w:before="260" w:after="260" w:line="416" w:lineRule="auto"/>
      <w:outlineLvl w:val="1"/>
    </w:pPr>
    <w:rPr>
      <w:rFonts w:ascii="Arial" w:eastAsia="黑体" w:hAnsi="Arial" w:cs="Times New Roman"/>
      <w:b/>
      <w:bCs/>
      <w:sz w:val="32"/>
      <w:szCs w:val="32"/>
      <w:lang w:val="zh-CN"/>
    </w:rPr>
  </w:style>
  <w:style w:type="paragraph" w:styleId="Heading3">
    <w:name w:val="heading 3"/>
    <w:basedOn w:val="Normal"/>
    <w:next w:val="Normal"/>
    <w:link w:val="3"/>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
    <w:unhideWhenUsed/>
    <w:qFormat/>
    <w:pPr>
      <w:tabs>
        <w:tab w:val="left" w:pos="993"/>
      </w:tabs>
      <w:spacing w:line="360" w:lineRule="auto"/>
      <w:jc w:val="left"/>
      <w:outlineLvl w:val="3"/>
    </w:pPr>
    <w:rPr>
      <w:rFonts w:ascii="仿宋_GB2312" w:hAnsiTheme="majorHAnsi" w:cstheme="majorBidi"/>
      <w:bCs/>
      <w:sz w:val="28"/>
      <w:szCs w:val="28"/>
    </w:rPr>
  </w:style>
  <w:style w:type="paragraph" w:styleId="Heading5">
    <w:name w:val="heading 5"/>
    <w:basedOn w:val="Normal"/>
    <w:next w:val="Normal"/>
    <w:link w:val="5"/>
    <w:unhideWhenUsed/>
    <w:qFormat/>
    <w:pPr>
      <w:spacing w:line="360" w:lineRule="auto"/>
      <w:ind w:left="1701"/>
      <w:outlineLvl w:val="4"/>
    </w:pPr>
    <w:rPr>
      <w:rFonts w:ascii="仿宋_GB2312"/>
      <w:b/>
      <w:bCs/>
      <w:sz w:val="28"/>
      <w:szCs w:val="28"/>
    </w:rPr>
  </w:style>
  <w:style w:type="paragraph" w:styleId="Heading6">
    <w:name w:val="heading 6"/>
    <w:basedOn w:val="Normal"/>
    <w:next w:val="Normal"/>
    <w:link w:val="6"/>
    <w:unhideWhenUsed/>
    <w:qFormat/>
    <w:pPr>
      <w:spacing w:line="360" w:lineRule="auto"/>
      <w:outlineLvl w:val="5"/>
    </w:pPr>
    <w:rPr>
      <w:rFonts w:cstheme="majorBidi"/>
      <w:b/>
      <w:bCs/>
      <w:sz w:val="28"/>
      <w:szCs w:val="24"/>
    </w:rPr>
  </w:style>
  <w:style w:type="paragraph" w:styleId="Heading7">
    <w:name w:val="heading 7"/>
    <w:basedOn w:val="Normal"/>
    <w:next w:val="Normal"/>
    <w:link w:val="7"/>
    <w:unhideWhenUsed/>
    <w:qFormat/>
    <w:pPr>
      <w:keepNext/>
      <w:keepLines/>
      <w:spacing w:before="240" w:after="64" w:line="320" w:lineRule="auto"/>
      <w:ind w:left="5102"/>
      <w:outlineLvl w:val="6"/>
    </w:pPr>
    <w:rPr>
      <w:rFonts w:ascii="仿宋_GB2312"/>
      <w:b/>
      <w:bCs/>
      <w:sz w:val="28"/>
      <w:szCs w:val="24"/>
    </w:rPr>
  </w:style>
  <w:style w:type="paragraph" w:styleId="Heading8">
    <w:name w:val="heading 8"/>
    <w:basedOn w:val="Normal"/>
    <w:next w:val="Normal"/>
    <w:link w:val="8"/>
    <w:unhideWhenUsed/>
    <w:qFormat/>
    <w:pPr>
      <w:keepNext/>
      <w:keepLines/>
      <w:spacing w:before="240" w:after="64" w:line="320" w:lineRule="auto"/>
      <w:ind w:left="5953"/>
      <w:outlineLvl w:val="7"/>
    </w:pPr>
    <w:rPr>
      <w:rFonts w:asciiTheme="majorHAnsi" w:eastAsiaTheme="majorEastAsia" w:hAnsiTheme="majorHAnsi" w:cstheme="majorBidi"/>
      <w:sz w:val="28"/>
      <w:szCs w:val="24"/>
    </w:rPr>
  </w:style>
  <w:style w:type="paragraph" w:styleId="Heading9">
    <w:name w:val="heading 9"/>
    <w:basedOn w:val="Normal"/>
    <w:next w:val="Normal"/>
    <w:link w:val="9"/>
    <w:unhideWhenUsed/>
    <w:qFormat/>
    <w:pPr>
      <w:keepNext/>
      <w:keepLines/>
      <w:spacing w:before="240" w:after="64" w:line="320" w:lineRule="auto"/>
      <w:ind w:left="6803"/>
      <w:outlineLvl w:val="8"/>
    </w:pPr>
    <w:rPr>
      <w:rFonts w:asciiTheme="majorHAnsi" w:eastAsiaTheme="majorEastAsia" w:hAnsiTheme="majorHAnsi" w:cstheme="majorBidi"/>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next w:val="BodyText"/>
    <w:qFormat/>
    <w:pPr>
      <w:pBdr>
        <w:top w:val="single" w:sz="6" w:space="1" w:color="auto"/>
        <w:left w:val="single" w:sz="6" w:space="1" w:color="auto"/>
        <w:bottom w:val="single" w:sz="6" w:space="1" w:color="auto"/>
        <w:right w:val="single" w:sz="6" w:space="1" w:color="auto"/>
      </w:pBdr>
      <w:shd w:val="pct20" w:color="auto" w:fill="auto"/>
      <w:ind w:left="1000" w:hanging="500" w:leftChars="500" w:hangingChars="500"/>
    </w:pPr>
    <w:rPr>
      <w:rFonts w:ascii="Cambria" w:eastAsia="宋体" w:hAnsi="Cambria" w:cs="Times New Roman"/>
      <w:sz w:val="24"/>
    </w:rPr>
  </w:style>
  <w:style w:type="paragraph" w:styleId="BodyText">
    <w:name w:val="Body Text"/>
    <w:basedOn w:val="Normal"/>
    <w:link w:val="a8"/>
    <w:uiPriority w:val="99"/>
    <w:semiHidden/>
    <w:unhideWhenUsed/>
    <w:qFormat/>
    <w:pPr>
      <w:spacing w:after="120"/>
    </w:pPr>
  </w:style>
  <w:style w:type="paragraph" w:styleId="PlainText">
    <w:name w:val="Plain Text"/>
    <w:basedOn w:val="Normal"/>
    <w:link w:val="a11"/>
    <w:qFormat/>
    <w:pPr>
      <w:widowControl/>
      <w:jc w:val="left"/>
    </w:pPr>
    <w:rPr>
      <w:rFonts w:ascii="宋体" w:hAnsi="Courier New" w:cs="宋体"/>
      <w:sz w:val="28"/>
      <w:szCs w:val="28"/>
    </w:rPr>
  </w:style>
  <w:style w:type="paragraph" w:styleId="CommentText">
    <w:name w:val="annotation text"/>
    <w:basedOn w:val="Normal"/>
    <w:uiPriority w:val="99"/>
    <w:semiHidden/>
    <w:unhideWhenUsed/>
    <w:qFormat/>
    <w:pPr>
      <w:jc w:val="left"/>
    </w:pPr>
  </w:style>
  <w:style w:type="paragraph" w:styleId="BodyTextIndent">
    <w:name w:val="Body Text Indent"/>
    <w:basedOn w:val="Normal"/>
    <w:link w:val="a1"/>
    <w:qFormat/>
    <w:pPr>
      <w:ind w:firstLine="555"/>
    </w:pPr>
    <w:rPr>
      <w:rFonts w:ascii="楷体_GB2312" w:eastAsia="楷体_GB2312" w:hAnsi="Times New Roman" w:cs="Times New Roman"/>
      <w:sz w:val="28"/>
      <w:szCs w:val="20"/>
    </w:rPr>
  </w:style>
  <w:style w:type="paragraph" w:styleId="Date">
    <w:name w:val="Date"/>
    <w:basedOn w:val="Normal"/>
    <w:next w:val="Normal"/>
    <w:link w:val="a10"/>
    <w:qFormat/>
    <w:pPr>
      <w:widowControl/>
      <w:ind w:left="100" w:leftChars="2500"/>
      <w:jc w:val="left"/>
    </w:pPr>
    <w:rPr>
      <w:rFonts w:ascii="Calibri" w:eastAsia="宋体" w:hAnsi="Calibri" w:cs="Times New Roman"/>
      <w:kern w:val="0"/>
      <w:sz w:val="24"/>
      <w:szCs w:val="24"/>
      <w:lang w:val="zh-CN" w:eastAsia="en-US" w:bidi="en-US"/>
    </w:rPr>
  </w:style>
  <w:style w:type="paragraph" w:styleId="BodyTextIndent2">
    <w:name w:val="Body Text Indent 2"/>
    <w:basedOn w:val="Normal"/>
    <w:link w:val="25"/>
    <w:uiPriority w:val="99"/>
    <w:semiHidden/>
    <w:unhideWhenUsed/>
    <w:qFormat/>
    <w:pPr>
      <w:spacing w:after="120" w:line="480" w:lineRule="auto"/>
      <w:ind w:left="420" w:leftChars="200"/>
    </w:pPr>
  </w:style>
  <w:style w:type="paragraph" w:styleId="BalloonText">
    <w:name w:val="Balloon Text"/>
    <w:basedOn w:val="Normal"/>
    <w:link w:val="a2"/>
    <w:unhideWhenUsed/>
    <w:qFormat/>
    <w:rPr>
      <w:sz w:val="18"/>
      <w:szCs w:val="18"/>
    </w:rPr>
  </w:style>
  <w:style w:type="paragraph" w:styleId="Footer">
    <w:name w:val="footer"/>
    <w:basedOn w:val="Normal"/>
    <w:link w:val="a0"/>
    <w:unhideWhenUsed/>
    <w:qFormat/>
    <w:pPr>
      <w:tabs>
        <w:tab w:val="center" w:pos="4153"/>
        <w:tab w:val="right" w:pos="8306"/>
      </w:tabs>
      <w:snapToGrid w:val="0"/>
      <w:jc w:val="left"/>
    </w:pPr>
    <w:rPr>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sz w:val="18"/>
      <w:szCs w:val="18"/>
    </w:rPr>
  </w:style>
  <w:style w:type="paragraph" w:styleId="BodyTextFirstIndent">
    <w:name w:val="Body Text First Indent"/>
    <w:basedOn w:val="BodyText"/>
    <w:link w:val="a9"/>
    <w:uiPriority w:val="99"/>
    <w:semiHidden/>
    <w:unhideWhenUsed/>
    <w:qFormat/>
    <w:pPr>
      <w:ind w:firstLine="420" w:firstLineChars="100"/>
    </w:pPr>
    <w:rPr>
      <w:rFonts w:ascii="Times New Roman" w:eastAsia="宋体" w:hAnsi="Times New Roman" w:cs="Times New Roman"/>
      <w:szCs w:val="24"/>
    </w:rPr>
  </w:style>
  <w:style w:type="paragraph" w:styleId="BodyTextFirstIndent2">
    <w:name w:val="Body Text First Indent 2"/>
    <w:basedOn w:val="BodyTextIndent"/>
    <w:link w:val="24"/>
    <w:unhideWhenUsed/>
    <w:qFormat/>
    <w:pPr>
      <w:spacing w:after="120"/>
      <w:ind w:left="420" w:firstLine="420" w:leftChars="200" w:firstLineChars="200"/>
    </w:pPr>
    <w:rPr>
      <w:rFonts w:ascii="Calibri" w:eastAsia="宋体" w:hAnsi="Calibri"/>
      <w:sz w:val="21"/>
      <w:szCs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paragraph" w:customStyle="1" w:styleId="2">
    <w:name w:val="正文缩2"/>
    <w:qFormat/>
    <w:pPr>
      <w:spacing w:line="360" w:lineRule="auto"/>
      <w:ind w:firstLine="240" w:firstLineChars="100"/>
    </w:pPr>
    <w:rPr>
      <w:rFonts w:ascii="Times New Roman" w:eastAsia="宋体" w:hAnsi="Times New Roman" w:cs="Times New Roman"/>
      <w:color w:val="FF0000"/>
      <w:sz w:val="24"/>
      <w:szCs w:val="24"/>
    </w:rPr>
  </w:style>
  <w:style w:type="character" w:customStyle="1" w:styleId="1">
    <w:name w:val="标题 1 字符"/>
    <w:basedOn w:val="DefaultParagraphFont"/>
    <w:link w:val="Heading1"/>
    <w:qFormat/>
    <w:rPr>
      <w:rFonts w:ascii="Times New Roman" w:eastAsia="宋体" w:hAnsi="Times New Roman" w:cs="Times New Roman"/>
      <w:b/>
      <w:bCs/>
      <w:kern w:val="44"/>
      <w:sz w:val="44"/>
      <w:szCs w:val="44"/>
      <w:lang w:val="zh-CN" w:eastAsia="zh-CN"/>
    </w:rPr>
  </w:style>
  <w:style w:type="character" w:customStyle="1" w:styleId="20">
    <w:name w:val="标题 2 字符"/>
    <w:basedOn w:val="DefaultParagraphFont"/>
    <w:link w:val="Heading2"/>
    <w:qFormat/>
    <w:rPr>
      <w:rFonts w:ascii="Arial" w:eastAsia="黑体" w:hAnsi="Arial" w:cs="Times New Roman"/>
      <w:b/>
      <w:bCs/>
      <w:sz w:val="32"/>
      <w:szCs w:val="32"/>
      <w:lang w:val="zh-CN" w:eastAsia="zh-CN"/>
    </w:rPr>
  </w:style>
  <w:style w:type="character" w:customStyle="1" w:styleId="3">
    <w:name w:val="标题 3 字符"/>
    <w:basedOn w:val="DefaultParagraphFont"/>
    <w:link w:val="Heading3"/>
    <w:qFormat/>
    <w:rPr>
      <w:b/>
      <w:bCs/>
      <w:sz w:val="32"/>
      <w:szCs w:val="32"/>
    </w:rPr>
  </w:style>
  <w:style w:type="paragraph" w:customStyle="1" w:styleId="LW">
    <w:name w:val="LW正文"/>
    <w:basedOn w:val="Normal"/>
    <w:link w:val="LW0"/>
    <w:qFormat/>
    <w:pPr>
      <w:autoSpaceDE w:val="0"/>
      <w:autoSpaceDN w:val="0"/>
      <w:adjustRightInd w:val="0"/>
      <w:snapToGrid w:val="0"/>
      <w:spacing w:line="440" w:lineRule="atLeast"/>
      <w:ind w:firstLine="200" w:firstLineChars="200"/>
      <w:textAlignment w:val="baseline"/>
    </w:pPr>
    <w:rPr>
      <w:rFonts w:ascii="宋体" w:eastAsia="宋体" w:hAnsi="宋体"/>
      <w:spacing w:val="10"/>
      <w:kern w:val="0"/>
      <w:sz w:val="24"/>
    </w:rPr>
  </w:style>
  <w:style w:type="character" w:customStyle="1" w:styleId="LW0">
    <w:name w:val="LW正文 字符"/>
    <w:basedOn w:val="DefaultParagraphFont"/>
    <w:link w:val="LW"/>
    <w:qFormat/>
    <w:rPr>
      <w:rFonts w:ascii="宋体" w:eastAsia="宋体" w:hAnsi="宋体"/>
      <w:spacing w:val="10"/>
      <w:kern w:val="0"/>
      <w:sz w:val="24"/>
    </w:rPr>
  </w:style>
  <w:style w:type="paragraph" w:customStyle="1" w:styleId="LW1">
    <w:name w:val="LW正文1"/>
    <w:basedOn w:val="Normal"/>
    <w:next w:val="LW"/>
    <w:link w:val="LW10"/>
    <w:qFormat/>
    <w:pPr>
      <w:numPr>
        <w:ilvl w:val="4"/>
        <w:numId w:val="1"/>
      </w:numPr>
      <w:autoSpaceDE w:val="0"/>
      <w:autoSpaceDN w:val="0"/>
      <w:adjustRightInd w:val="0"/>
      <w:snapToGrid w:val="0"/>
      <w:spacing w:line="440" w:lineRule="atLeast"/>
      <w:ind w:firstLine="200" w:firstLineChars="200"/>
      <w:textAlignment w:val="baseline"/>
      <w:outlineLvl w:val="4"/>
    </w:pPr>
    <w:rPr>
      <w:rFonts w:ascii="宋体" w:eastAsia="宋体" w:hAnsi="宋体"/>
      <w:spacing w:val="10"/>
      <w:kern w:val="0"/>
      <w:sz w:val="24"/>
    </w:rPr>
  </w:style>
  <w:style w:type="character" w:customStyle="1" w:styleId="LW10">
    <w:name w:val="LW正文1 字符"/>
    <w:basedOn w:val="DefaultParagraphFont"/>
    <w:link w:val="LW1"/>
    <w:qFormat/>
    <w:rPr>
      <w:rFonts w:ascii="宋体" w:eastAsia="宋体" w:hAnsi="宋体"/>
      <w:spacing w:val="10"/>
      <w:kern w:val="0"/>
      <w:sz w:val="24"/>
    </w:rPr>
  </w:style>
  <w:style w:type="paragraph" w:customStyle="1" w:styleId="LW2">
    <w:name w:val="LW正文2"/>
    <w:basedOn w:val="Normal"/>
    <w:next w:val="LW"/>
    <w:link w:val="LW20"/>
    <w:qFormat/>
    <w:pPr>
      <w:numPr>
        <w:ilvl w:val="5"/>
        <w:numId w:val="1"/>
      </w:numPr>
      <w:autoSpaceDE w:val="0"/>
      <w:autoSpaceDN w:val="0"/>
      <w:adjustRightInd w:val="0"/>
      <w:snapToGrid w:val="0"/>
      <w:spacing w:line="440" w:lineRule="atLeast"/>
      <w:ind w:firstLine="200" w:firstLineChars="200"/>
      <w:textAlignment w:val="baseline"/>
      <w:outlineLvl w:val="5"/>
    </w:pPr>
    <w:rPr>
      <w:rFonts w:ascii="宋体" w:eastAsia="宋体" w:hAnsi="宋体"/>
      <w:spacing w:val="10"/>
      <w:kern w:val="0"/>
      <w:sz w:val="24"/>
    </w:rPr>
  </w:style>
  <w:style w:type="character" w:customStyle="1" w:styleId="LW20">
    <w:name w:val="LW正文2 字符"/>
    <w:basedOn w:val="DefaultParagraphFont"/>
    <w:link w:val="LW2"/>
    <w:qFormat/>
    <w:rPr>
      <w:rFonts w:ascii="宋体" w:eastAsia="宋体" w:hAnsi="宋体"/>
      <w:spacing w:val="10"/>
      <w:kern w:val="0"/>
      <w:sz w:val="24"/>
    </w:rPr>
  </w:style>
  <w:style w:type="paragraph" w:customStyle="1" w:styleId="LW3">
    <w:name w:val="LW正文3"/>
    <w:basedOn w:val="Normal"/>
    <w:next w:val="LW"/>
    <w:link w:val="LW30"/>
    <w:qFormat/>
    <w:pPr>
      <w:numPr>
        <w:ilvl w:val="6"/>
        <w:numId w:val="1"/>
      </w:numPr>
      <w:autoSpaceDE w:val="0"/>
      <w:autoSpaceDN w:val="0"/>
      <w:adjustRightInd w:val="0"/>
      <w:snapToGrid w:val="0"/>
      <w:spacing w:line="440" w:lineRule="atLeast"/>
      <w:ind w:firstLine="200" w:firstLineChars="200"/>
      <w:textAlignment w:val="baseline"/>
      <w:outlineLvl w:val="6"/>
    </w:pPr>
    <w:rPr>
      <w:rFonts w:ascii="宋体" w:eastAsia="宋体" w:hAnsi="宋体"/>
      <w:spacing w:val="10"/>
      <w:kern w:val="0"/>
      <w:sz w:val="24"/>
    </w:rPr>
  </w:style>
  <w:style w:type="character" w:customStyle="1" w:styleId="LW30">
    <w:name w:val="LW正文3 字符"/>
    <w:basedOn w:val="DefaultParagraphFont"/>
    <w:link w:val="LW3"/>
    <w:qFormat/>
    <w:rPr>
      <w:rFonts w:ascii="宋体" w:eastAsia="宋体" w:hAnsi="宋体"/>
      <w:spacing w:val="10"/>
      <w:kern w:val="0"/>
      <w:sz w:val="24"/>
    </w:rPr>
  </w:style>
  <w:style w:type="paragraph" w:customStyle="1" w:styleId="LW4">
    <w:name w:val="LW正文4"/>
    <w:basedOn w:val="Normal"/>
    <w:next w:val="LW"/>
    <w:link w:val="LW40"/>
    <w:qFormat/>
    <w:pPr>
      <w:numPr>
        <w:ilvl w:val="7"/>
        <w:numId w:val="1"/>
      </w:numPr>
      <w:autoSpaceDE w:val="0"/>
      <w:autoSpaceDN w:val="0"/>
      <w:adjustRightInd w:val="0"/>
      <w:snapToGrid w:val="0"/>
      <w:spacing w:line="440" w:lineRule="atLeast"/>
      <w:ind w:firstLine="200" w:firstLineChars="200"/>
      <w:textAlignment w:val="baseline"/>
      <w:outlineLvl w:val="7"/>
    </w:pPr>
    <w:rPr>
      <w:rFonts w:ascii="宋体" w:eastAsia="宋体" w:hAnsi="宋体"/>
      <w:spacing w:val="10"/>
      <w:kern w:val="0"/>
      <w:sz w:val="24"/>
    </w:rPr>
  </w:style>
  <w:style w:type="character" w:customStyle="1" w:styleId="LW40">
    <w:name w:val="LW正文4 字符"/>
    <w:basedOn w:val="DefaultParagraphFont"/>
    <w:link w:val="LW4"/>
    <w:qFormat/>
    <w:rPr>
      <w:rFonts w:ascii="宋体" w:eastAsia="宋体" w:hAnsi="宋体"/>
      <w:spacing w:val="10"/>
      <w:kern w:val="0"/>
      <w:sz w:val="24"/>
    </w:rPr>
  </w:style>
  <w:style w:type="paragraph" w:customStyle="1" w:styleId="LW5">
    <w:name w:val="LW正文5"/>
    <w:basedOn w:val="Normal"/>
    <w:next w:val="LW"/>
    <w:link w:val="LW50"/>
    <w:qFormat/>
    <w:pPr>
      <w:numPr>
        <w:ilvl w:val="8"/>
        <w:numId w:val="1"/>
      </w:numPr>
      <w:autoSpaceDE w:val="0"/>
      <w:autoSpaceDN w:val="0"/>
      <w:adjustRightInd w:val="0"/>
      <w:snapToGrid w:val="0"/>
      <w:spacing w:line="440" w:lineRule="atLeast"/>
      <w:ind w:firstLine="200" w:firstLineChars="200"/>
      <w:textAlignment w:val="baseline"/>
      <w:outlineLvl w:val="8"/>
    </w:pPr>
    <w:rPr>
      <w:rFonts w:ascii="宋体" w:eastAsia="宋体" w:hAnsi="宋体"/>
      <w:spacing w:val="10"/>
      <w:kern w:val="0"/>
      <w:sz w:val="24"/>
    </w:rPr>
  </w:style>
  <w:style w:type="character" w:customStyle="1" w:styleId="LW50">
    <w:name w:val="LW正文5 字符"/>
    <w:basedOn w:val="DefaultParagraphFont"/>
    <w:link w:val="LW5"/>
    <w:qFormat/>
    <w:rPr>
      <w:rFonts w:ascii="宋体" w:eastAsia="宋体" w:hAnsi="宋体"/>
      <w:spacing w:val="10"/>
      <w:kern w:val="0"/>
      <w:sz w:val="24"/>
    </w:rPr>
  </w:style>
  <w:style w:type="paragraph" w:customStyle="1" w:styleId="LW00">
    <w:name w:val="LW标题0"/>
    <w:basedOn w:val="Normal"/>
    <w:next w:val="LW"/>
    <w:link w:val="LW01"/>
    <w:qFormat/>
    <w:pPr>
      <w:wordWrap w:val="0"/>
      <w:autoSpaceDE w:val="0"/>
      <w:autoSpaceDN w:val="0"/>
      <w:adjustRightInd w:val="0"/>
      <w:snapToGrid w:val="0"/>
      <w:spacing w:before="320" w:line="520" w:lineRule="atLeast"/>
      <w:jc w:val="center"/>
      <w:textAlignment w:val="baseline"/>
    </w:pPr>
    <w:rPr>
      <w:rFonts w:ascii="Times New Roman" w:eastAsia="宋体" w:hAnsi="Times New Roman"/>
      <w:b/>
      <w:spacing w:val="10"/>
      <w:kern w:val="0"/>
      <w:sz w:val="32"/>
    </w:rPr>
  </w:style>
  <w:style w:type="character" w:customStyle="1" w:styleId="LW01">
    <w:name w:val="LW标题0 字符"/>
    <w:basedOn w:val="DefaultParagraphFont"/>
    <w:link w:val="LW00"/>
    <w:qFormat/>
    <w:rPr>
      <w:rFonts w:ascii="Times New Roman" w:eastAsia="宋体" w:hAnsi="Times New Roman"/>
      <w:b/>
      <w:spacing w:val="10"/>
      <w:kern w:val="0"/>
      <w:sz w:val="32"/>
    </w:rPr>
  </w:style>
  <w:style w:type="paragraph" w:customStyle="1" w:styleId="LW11">
    <w:name w:val="LW标题1"/>
    <w:basedOn w:val="Normal"/>
    <w:next w:val="LW"/>
    <w:link w:val="LW12"/>
    <w:qFormat/>
    <w:pPr>
      <w:numPr>
        <w:numId w:val="1"/>
      </w:numPr>
      <w:wordWrap w:val="0"/>
      <w:autoSpaceDE w:val="0"/>
      <w:autoSpaceDN w:val="0"/>
      <w:adjustRightInd w:val="0"/>
      <w:snapToGrid w:val="0"/>
      <w:spacing w:before="320" w:line="480" w:lineRule="atLeast"/>
      <w:jc w:val="left"/>
      <w:textAlignment w:val="baseline"/>
      <w:outlineLvl w:val="0"/>
    </w:pPr>
    <w:rPr>
      <w:rFonts w:ascii="宋体" w:eastAsia="宋体" w:hAnsi="宋体"/>
      <w:b/>
      <w:spacing w:val="10"/>
      <w:kern w:val="0"/>
      <w:sz w:val="28"/>
    </w:rPr>
  </w:style>
  <w:style w:type="character" w:customStyle="1" w:styleId="LW12">
    <w:name w:val="LW标题1 字符"/>
    <w:basedOn w:val="DefaultParagraphFont"/>
    <w:link w:val="LW11"/>
    <w:qFormat/>
    <w:rPr>
      <w:rFonts w:ascii="宋体" w:eastAsia="宋体" w:hAnsi="宋体"/>
      <w:b/>
      <w:spacing w:val="10"/>
      <w:kern w:val="0"/>
      <w:sz w:val="28"/>
    </w:rPr>
  </w:style>
  <w:style w:type="paragraph" w:customStyle="1" w:styleId="LW21">
    <w:name w:val="LW标题2"/>
    <w:basedOn w:val="Normal"/>
    <w:next w:val="LW"/>
    <w:link w:val="LW22"/>
    <w:qFormat/>
    <w:pPr>
      <w:numPr>
        <w:ilvl w:val="1"/>
        <w:numId w:val="1"/>
      </w:numPr>
      <w:wordWrap w:val="0"/>
      <w:autoSpaceDE w:val="0"/>
      <w:autoSpaceDN w:val="0"/>
      <w:adjustRightInd w:val="0"/>
      <w:snapToGrid w:val="0"/>
      <w:spacing w:before="240" w:line="480" w:lineRule="atLeast"/>
      <w:jc w:val="left"/>
      <w:textAlignment w:val="baseline"/>
      <w:outlineLvl w:val="1"/>
    </w:pPr>
    <w:rPr>
      <w:rFonts w:ascii="宋体" w:eastAsia="宋体" w:hAnsi="宋体"/>
      <w:b/>
      <w:spacing w:val="10"/>
      <w:kern w:val="0"/>
      <w:sz w:val="28"/>
    </w:rPr>
  </w:style>
  <w:style w:type="character" w:customStyle="1" w:styleId="LW22">
    <w:name w:val="LW标题2 字符"/>
    <w:basedOn w:val="DefaultParagraphFont"/>
    <w:link w:val="LW21"/>
    <w:qFormat/>
    <w:rPr>
      <w:rFonts w:ascii="宋体" w:eastAsia="宋体" w:hAnsi="宋体"/>
      <w:b/>
      <w:spacing w:val="10"/>
      <w:kern w:val="0"/>
      <w:sz w:val="28"/>
    </w:rPr>
  </w:style>
  <w:style w:type="paragraph" w:customStyle="1" w:styleId="LW31">
    <w:name w:val="LW标题3"/>
    <w:basedOn w:val="Normal"/>
    <w:next w:val="LW"/>
    <w:link w:val="LW32"/>
    <w:qFormat/>
    <w:pPr>
      <w:numPr>
        <w:ilvl w:val="2"/>
        <w:numId w:val="1"/>
      </w:numPr>
      <w:wordWrap w:val="0"/>
      <w:autoSpaceDE w:val="0"/>
      <w:autoSpaceDN w:val="0"/>
      <w:adjustRightInd w:val="0"/>
      <w:snapToGrid w:val="0"/>
      <w:spacing w:before="160" w:line="480" w:lineRule="atLeast"/>
      <w:jc w:val="left"/>
      <w:textAlignment w:val="baseline"/>
      <w:outlineLvl w:val="2"/>
    </w:pPr>
    <w:rPr>
      <w:rFonts w:ascii="宋体" w:eastAsia="宋体" w:hAnsi="宋体"/>
      <w:b/>
      <w:spacing w:val="10"/>
      <w:kern w:val="0"/>
      <w:sz w:val="28"/>
    </w:rPr>
  </w:style>
  <w:style w:type="character" w:customStyle="1" w:styleId="LW32">
    <w:name w:val="LW标题3 字符"/>
    <w:basedOn w:val="DefaultParagraphFont"/>
    <w:link w:val="LW31"/>
    <w:qFormat/>
    <w:rPr>
      <w:rFonts w:ascii="宋体" w:eastAsia="宋体" w:hAnsi="宋体"/>
      <w:b/>
      <w:spacing w:val="10"/>
      <w:kern w:val="0"/>
      <w:sz w:val="28"/>
    </w:rPr>
  </w:style>
  <w:style w:type="paragraph" w:customStyle="1" w:styleId="LW41">
    <w:name w:val="LW标题4"/>
    <w:basedOn w:val="Normal"/>
    <w:next w:val="LW"/>
    <w:link w:val="LW42"/>
    <w:qFormat/>
    <w:pPr>
      <w:numPr>
        <w:ilvl w:val="3"/>
        <w:numId w:val="1"/>
      </w:numPr>
      <w:wordWrap w:val="0"/>
      <w:autoSpaceDE w:val="0"/>
      <w:autoSpaceDN w:val="0"/>
      <w:adjustRightInd w:val="0"/>
      <w:snapToGrid w:val="0"/>
      <w:spacing w:before="80" w:line="480" w:lineRule="atLeast"/>
      <w:jc w:val="left"/>
      <w:textAlignment w:val="baseline"/>
      <w:outlineLvl w:val="3"/>
    </w:pPr>
    <w:rPr>
      <w:rFonts w:ascii="宋体" w:eastAsia="宋体" w:hAnsi="宋体"/>
      <w:b/>
      <w:spacing w:val="10"/>
      <w:kern w:val="0"/>
      <w:sz w:val="28"/>
    </w:rPr>
  </w:style>
  <w:style w:type="character" w:customStyle="1" w:styleId="LW42">
    <w:name w:val="LW标题4 字符"/>
    <w:basedOn w:val="DefaultParagraphFont"/>
    <w:link w:val="LW41"/>
    <w:qFormat/>
    <w:rPr>
      <w:rFonts w:ascii="宋体" w:eastAsia="宋体" w:hAnsi="宋体"/>
      <w:b/>
      <w:spacing w:val="10"/>
      <w:kern w:val="0"/>
      <w:sz w:val="28"/>
    </w:rPr>
  </w:style>
  <w:style w:type="paragraph" w:customStyle="1" w:styleId="LW6">
    <w:name w:val="LW表标题"/>
    <w:basedOn w:val="Normal"/>
    <w:next w:val="LW"/>
    <w:link w:val="LW7"/>
    <w:qFormat/>
    <w:pPr>
      <w:keepNext/>
      <w:wordWrap w:val="0"/>
      <w:autoSpaceDE w:val="0"/>
      <w:autoSpaceDN w:val="0"/>
      <w:adjustRightInd w:val="0"/>
      <w:snapToGrid w:val="0"/>
      <w:spacing w:line="360" w:lineRule="atLeast"/>
      <w:jc w:val="center"/>
      <w:textAlignment w:val="baseline"/>
    </w:pPr>
    <w:rPr>
      <w:rFonts w:ascii="宋体" w:eastAsia="宋体" w:hAnsi="宋体"/>
      <w:b/>
      <w:spacing w:val="10"/>
      <w:kern w:val="0"/>
    </w:rPr>
  </w:style>
  <w:style w:type="character" w:customStyle="1" w:styleId="LW7">
    <w:name w:val="LW表标题 字符"/>
    <w:basedOn w:val="DefaultParagraphFont"/>
    <w:link w:val="LW6"/>
    <w:qFormat/>
    <w:rPr>
      <w:rFonts w:ascii="宋体" w:eastAsia="宋体" w:hAnsi="宋体"/>
      <w:b/>
      <w:spacing w:val="10"/>
      <w:kern w:val="0"/>
    </w:rPr>
  </w:style>
  <w:style w:type="paragraph" w:customStyle="1" w:styleId="LW8">
    <w:name w:val="LW目录标题"/>
    <w:basedOn w:val="Normal"/>
    <w:next w:val="LW"/>
    <w:link w:val="LW9"/>
    <w:qFormat/>
    <w:pPr>
      <w:wordWrap w:val="0"/>
      <w:autoSpaceDE w:val="0"/>
      <w:autoSpaceDN w:val="0"/>
      <w:adjustRightInd w:val="0"/>
      <w:snapToGrid w:val="0"/>
      <w:spacing w:before="200" w:after="200" w:line="480" w:lineRule="atLeast"/>
      <w:jc w:val="center"/>
      <w:textAlignment w:val="baseline"/>
    </w:pPr>
    <w:rPr>
      <w:rFonts w:ascii="Times New Roman" w:eastAsia="宋体" w:hAnsi="Times New Roman"/>
      <w:b/>
      <w:spacing w:val="10"/>
      <w:kern w:val="0"/>
      <w:sz w:val="28"/>
    </w:rPr>
  </w:style>
  <w:style w:type="character" w:customStyle="1" w:styleId="LW9">
    <w:name w:val="LW目录标题 字符"/>
    <w:basedOn w:val="DefaultParagraphFont"/>
    <w:link w:val="LW8"/>
    <w:qFormat/>
    <w:rPr>
      <w:rFonts w:ascii="Times New Roman" w:eastAsia="宋体" w:hAnsi="Times New Roman"/>
      <w:b/>
      <w:spacing w:val="10"/>
      <w:kern w:val="0"/>
      <w:sz w:val="28"/>
    </w:rPr>
  </w:style>
  <w:style w:type="paragraph" w:customStyle="1" w:styleId="LW13">
    <w:name w:val="LW表格"/>
    <w:basedOn w:val="Normal"/>
    <w:next w:val="LW"/>
    <w:link w:val="LW14"/>
    <w:qFormat/>
    <w:pPr>
      <w:autoSpaceDE w:val="0"/>
      <w:autoSpaceDN w:val="0"/>
      <w:adjustRightInd w:val="0"/>
      <w:snapToGrid w:val="0"/>
      <w:spacing w:line="220" w:lineRule="atLeast"/>
      <w:jc w:val="center"/>
      <w:textAlignment w:val="baseline"/>
    </w:pPr>
    <w:rPr>
      <w:rFonts w:ascii="宋体" w:eastAsia="宋体" w:hAnsi="宋体"/>
      <w:spacing w:val="10"/>
      <w:kern w:val="0"/>
      <w:sz w:val="18"/>
    </w:rPr>
  </w:style>
  <w:style w:type="character" w:customStyle="1" w:styleId="LW14">
    <w:name w:val="LW表格 字符"/>
    <w:basedOn w:val="DefaultParagraphFont"/>
    <w:link w:val="LW13"/>
    <w:qFormat/>
    <w:rPr>
      <w:rFonts w:ascii="宋体" w:eastAsia="宋体" w:hAnsi="宋体"/>
      <w:spacing w:val="10"/>
      <w:kern w:val="0"/>
      <w:sz w:val="18"/>
    </w:rPr>
  </w:style>
  <w:style w:type="paragraph" w:customStyle="1" w:styleId="LW15">
    <w:name w:val="LW表格表头"/>
    <w:basedOn w:val="Normal"/>
    <w:next w:val="LW"/>
    <w:link w:val="LW16"/>
    <w:qFormat/>
    <w:pPr>
      <w:autoSpaceDE w:val="0"/>
      <w:autoSpaceDN w:val="0"/>
      <w:adjustRightInd w:val="0"/>
      <w:snapToGrid w:val="0"/>
      <w:spacing w:line="220" w:lineRule="atLeast"/>
      <w:jc w:val="center"/>
      <w:textAlignment w:val="baseline"/>
    </w:pPr>
    <w:rPr>
      <w:rFonts w:ascii="宋体" w:eastAsia="宋体" w:hAnsi="宋体"/>
      <w:b/>
      <w:spacing w:val="10"/>
      <w:kern w:val="0"/>
      <w:sz w:val="18"/>
    </w:rPr>
  </w:style>
  <w:style w:type="character" w:customStyle="1" w:styleId="LW16">
    <w:name w:val="LW表格表头 字符"/>
    <w:basedOn w:val="DefaultParagraphFont"/>
    <w:link w:val="LW15"/>
    <w:qFormat/>
    <w:rPr>
      <w:rFonts w:ascii="宋体" w:eastAsia="宋体" w:hAnsi="宋体"/>
      <w:b/>
      <w:spacing w:val="10"/>
      <w:kern w:val="0"/>
      <w:sz w:val="18"/>
    </w:rPr>
  </w:style>
  <w:style w:type="paragraph" w:customStyle="1" w:styleId="LW17">
    <w:name w:val="LW表格单位"/>
    <w:basedOn w:val="Normal"/>
    <w:next w:val="LW"/>
    <w:link w:val="LW18"/>
    <w:qFormat/>
    <w:pPr>
      <w:autoSpaceDE w:val="0"/>
      <w:autoSpaceDN w:val="0"/>
      <w:adjustRightInd w:val="0"/>
      <w:snapToGrid w:val="0"/>
      <w:spacing w:line="180" w:lineRule="atLeast"/>
      <w:jc w:val="right"/>
      <w:textAlignment w:val="baseline"/>
    </w:pPr>
    <w:rPr>
      <w:rFonts w:ascii="宋体" w:eastAsia="宋体" w:hAnsi="宋体"/>
      <w:spacing w:val="10"/>
      <w:kern w:val="0"/>
      <w:sz w:val="18"/>
    </w:rPr>
  </w:style>
  <w:style w:type="character" w:customStyle="1" w:styleId="LW18">
    <w:name w:val="LW表格单位 字符"/>
    <w:basedOn w:val="DefaultParagraphFont"/>
    <w:link w:val="LW17"/>
    <w:qFormat/>
    <w:rPr>
      <w:rFonts w:ascii="宋体" w:eastAsia="宋体" w:hAnsi="宋体"/>
      <w:spacing w:val="10"/>
      <w:kern w:val="0"/>
      <w:sz w:val="18"/>
    </w:rPr>
  </w:style>
  <w:style w:type="paragraph" w:customStyle="1" w:styleId="LW19">
    <w:name w:val="LW表格尾注"/>
    <w:basedOn w:val="Normal"/>
    <w:next w:val="LW"/>
    <w:link w:val="LW23"/>
    <w:qFormat/>
    <w:pPr>
      <w:autoSpaceDE w:val="0"/>
      <w:autoSpaceDN w:val="0"/>
      <w:adjustRightInd w:val="0"/>
      <w:snapToGrid w:val="0"/>
      <w:spacing w:line="220" w:lineRule="atLeast"/>
      <w:jc w:val="left"/>
      <w:textAlignment w:val="baseline"/>
    </w:pPr>
    <w:rPr>
      <w:rFonts w:ascii="宋体" w:eastAsia="宋体" w:hAnsi="宋体"/>
      <w:spacing w:val="10"/>
      <w:kern w:val="0"/>
      <w:sz w:val="18"/>
    </w:rPr>
  </w:style>
  <w:style w:type="character" w:customStyle="1" w:styleId="LW23">
    <w:name w:val="LW表格尾注 字符"/>
    <w:basedOn w:val="DefaultParagraphFont"/>
    <w:link w:val="LW19"/>
    <w:qFormat/>
    <w:rPr>
      <w:rFonts w:ascii="宋体" w:eastAsia="宋体" w:hAnsi="宋体"/>
      <w:spacing w:val="10"/>
      <w:kern w:val="0"/>
      <w:sz w:val="18"/>
    </w:rPr>
  </w:style>
  <w:style w:type="paragraph" w:customStyle="1" w:styleId="LW24">
    <w:name w:val="LW图名"/>
    <w:basedOn w:val="Normal"/>
    <w:next w:val="LW"/>
    <w:link w:val="LW25"/>
    <w:qFormat/>
    <w:pPr>
      <w:autoSpaceDE w:val="0"/>
      <w:autoSpaceDN w:val="0"/>
      <w:adjustRightInd w:val="0"/>
      <w:snapToGrid w:val="0"/>
      <w:spacing w:line="280" w:lineRule="atLeast"/>
      <w:jc w:val="center"/>
      <w:textAlignment w:val="baseline"/>
    </w:pPr>
    <w:rPr>
      <w:rFonts w:ascii="宋体" w:eastAsia="宋体" w:hAnsi="宋体"/>
      <w:b/>
      <w:spacing w:val="10"/>
      <w:kern w:val="0"/>
    </w:rPr>
  </w:style>
  <w:style w:type="character" w:customStyle="1" w:styleId="LW25">
    <w:name w:val="LW图名 字符"/>
    <w:basedOn w:val="DefaultParagraphFont"/>
    <w:link w:val="LW24"/>
    <w:qFormat/>
    <w:rPr>
      <w:rFonts w:ascii="宋体" w:eastAsia="宋体" w:hAnsi="宋体"/>
      <w:b/>
      <w:spacing w:val="10"/>
      <w:kern w:val="0"/>
    </w:rPr>
  </w:style>
  <w:style w:type="paragraph" w:customStyle="1" w:styleId="LW26">
    <w:name w:val="LW插图"/>
    <w:basedOn w:val="Normal"/>
    <w:next w:val="LW"/>
    <w:link w:val="LW27"/>
    <w:qFormat/>
    <w:pPr>
      <w:keepNext/>
      <w:autoSpaceDE w:val="0"/>
      <w:autoSpaceDN w:val="0"/>
      <w:adjustRightInd w:val="0"/>
      <w:snapToGrid w:val="0"/>
      <w:spacing w:before="160"/>
      <w:jc w:val="center"/>
      <w:textAlignment w:val="baseline"/>
    </w:pPr>
    <w:rPr>
      <w:rFonts w:ascii="宋体" w:eastAsia="宋体" w:hAnsi="宋体"/>
      <w:spacing w:val="10"/>
      <w:kern w:val="0"/>
      <w:sz w:val="18"/>
    </w:rPr>
  </w:style>
  <w:style w:type="character" w:customStyle="1" w:styleId="LW27">
    <w:name w:val="LW插图 字符"/>
    <w:basedOn w:val="DefaultParagraphFont"/>
    <w:link w:val="LW26"/>
    <w:qFormat/>
    <w:rPr>
      <w:rFonts w:ascii="宋体" w:eastAsia="宋体" w:hAnsi="宋体"/>
      <w:spacing w:val="10"/>
      <w:kern w:val="0"/>
      <w:sz w:val="18"/>
    </w:rPr>
  </w:style>
  <w:style w:type="paragraph" w:customStyle="1" w:styleId="LW28">
    <w:name w:val="LW页眉"/>
    <w:basedOn w:val="Normal"/>
    <w:next w:val="LW"/>
    <w:link w:val="LW29"/>
    <w:qFormat/>
    <w:pPr>
      <w:pBdr>
        <w:bottom w:val="single" w:sz="4" w:space="0" w:color="auto"/>
      </w:pBdr>
      <w:tabs>
        <w:tab w:val="center" w:pos="22677"/>
      </w:tabs>
      <w:autoSpaceDE w:val="0"/>
      <w:autoSpaceDN w:val="0"/>
      <w:adjustRightInd w:val="0"/>
      <w:snapToGrid w:val="0"/>
      <w:jc w:val="center"/>
      <w:textAlignment w:val="baseline"/>
    </w:pPr>
    <w:rPr>
      <w:rFonts w:ascii="宋体" w:eastAsia="宋体" w:hAnsi="宋体"/>
      <w:spacing w:val="10"/>
      <w:kern w:val="0"/>
      <w:sz w:val="18"/>
    </w:rPr>
  </w:style>
  <w:style w:type="character" w:customStyle="1" w:styleId="LW29">
    <w:name w:val="LW页眉 字符"/>
    <w:basedOn w:val="DefaultParagraphFont"/>
    <w:link w:val="LW28"/>
    <w:qFormat/>
    <w:rPr>
      <w:rFonts w:ascii="宋体" w:eastAsia="宋体" w:hAnsi="宋体"/>
      <w:spacing w:val="10"/>
      <w:kern w:val="0"/>
      <w:sz w:val="18"/>
    </w:rPr>
  </w:style>
  <w:style w:type="paragraph" w:customStyle="1" w:styleId="LW33">
    <w:name w:val="LW页脚"/>
    <w:basedOn w:val="Normal"/>
    <w:next w:val="LW"/>
    <w:link w:val="LW34"/>
    <w:qFormat/>
    <w:pPr>
      <w:pBdr>
        <w:top w:val="single" w:sz="4" w:space="0" w:color="auto"/>
      </w:pBdr>
      <w:tabs>
        <w:tab w:val="center" w:pos="22677"/>
      </w:tabs>
      <w:autoSpaceDE w:val="0"/>
      <w:autoSpaceDN w:val="0"/>
      <w:adjustRightInd w:val="0"/>
      <w:snapToGrid w:val="0"/>
      <w:spacing w:line="340" w:lineRule="atLeast"/>
      <w:jc w:val="center"/>
      <w:textAlignment w:val="top"/>
    </w:pPr>
    <w:rPr>
      <w:rFonts w:ascii="宋体" w:eastAsia="宋体" w:hAnsi="宋体"/>
      <w:spacing w:val="10"/>
      <w:kern w:val="0"/>
      <w:sz w:val="18"/>
    </w:rPr>
  </w:style>
  <w:style w:type="character" w:customStyle="1" w:styleId="LW34">
    <w:name w:val="LW页脚 字符"/>
    <w:basedOn w:val="DefaultParagraphFont"/>
    <w:link w:val="LW33"/>
    <w:qFormat/>
    <w:rPr>
      <w:rFonts w:ascii="宋体" w:eastAsia="宋体" w:hAnsi="宋体"/>
      <w:spacing w:val="10"/>
      <w:kern w:val="0"/>
      <w:sz w:val="18"/>
    </w:rPr>
  </w:style>
  <w:style w:type="paragraph" w:customStyle="1" w:styleId="LW35">
    <w:name w:val="LW图框文字"/>
    <w:basedOn w:val="Normal"/>
    <w:next w:val="LW"/>
    <w:link w:val="LW36"/>
    <w:qFormat/>
    <w:pPr>
      <w:autoSpaceDE w:val="0"/>
      <w:autoSpaceDN w:val="0"/>
      <w:adjustRightInd w:val="0"/>
      <w:snapToGrid w:val="0"/>
      <w:spacing w:line="240" w:lineRule="exact"/>
      <w:jc w:val="center"/>
      <w:textAlignment w:val="baseline"/>
    </w:pPr>
    <w:rPr>
      <w:rFonts w:ascii="宋体" w:eastAsia="宋体" w:hAnsi="宋体"/>
      <w:spacing w:val="10"/>
      <w:w w:val="75"/>
      <w:kern w:val="0"/>
      <w:sz w:val="24"/>
    </w:rPr>
  </w:style>
  <w:style w:type="character" w:customStyle="1" w:styleId="LW36">
    <w:name w:val="LW图框文字 字符"/>
    <w:basedOn w:val="DefaultParagraphFont"/>
    <w:link w:val="LW35"/>
    <w:qFormat/>
    <w:rPr>
      <w:rFonts w:ascii="宋体" w:eastAsia="宋体" w:hAnsi="宋体"/>
      <w:spacing w:val="10"/>
      <w:w w:val="75"/>
      <w:kern w:val="0"/>
      <w:sz w:val="24"/>
    </w:rPr>
  </w:style>
  <w:style w:type="paragraph" w:customStyle="1" w:styleId="LW37">
    <w:name w:val="LW表头"/>
    <w:basedOn w:val="Normal"/>
    <w:next w:val="LW13"/>
    <w:link w:val="LW38"/>
    <w:qFormat/>
    <w:pPr>
      <w:adjustRightInd w:val="0"/>
      <w:snapToGrid w:val="0"/>
      <w:spacing w:after="100"/>
      <w:jc w:val="center"/>
    </w:pPr>
    <w:rPr>
      <w:rFonts w:ascii="宋体" w:eastAsia="宋体" w:hAnsi="宋体"/>
      <w:b/>
      <w:kern w:val="0"/>
      <w:sz w:val="24"/>
      <w:lang w:eastAsia="en-US"/>
    </w:rPr>
  </w:style>
  <w:style w:type="character" w:customStyle="1" w:styleId="LW38">
    <w:name w:val="LW表头 字符"/>
    <w:basedOn w:val="DefaultParagraphFont"/>
    <w:link w:val="LW37"/>
    <w:qFormat/>
    <w:rPr>
      <w:rFonts w:ascii="宋体" w:eastAsia="宋体" w:hAnsi="宋体"/>
      <w:b/>
      <w:kern w:val="0"/>
      <w:sz w:val="24"/>
      <w:lang w:eastAsia="en-US"/>
    </w:rPr>
  </w:style>
  <w:style w:type="character" w:customStyle="1" w:styleId="0-Char">
    <w:name w:val="0-图签 Char"/>
    <w:link w:val="0-"/>
    <w:qFormat/>
    <w:rPr>
      <w:rFonts w:ascii="宋体" w:hAnsi="宋体"/>
      <w:b/>
      <w:sz w:val="24"/>
      <w:szCs w:val="24"/>
    </w:rPr>
  </w:style>
  <w:style w:type="paragraph" w:customStyle="1" w:styleId="0-">
    <w:name w:val="0-图签"/>
    <w:basedOn w:val="Normal"/>
    <w:link w:val="0-Char"/>
    <w:qFormat/>
    <w:pPr>
      <w:keepNext/>
      <w:ind w:firstLine="482" w:firstLineChars="200"/>
      <w:jc w:val="center"/>
    </w:pPr>
    <w:rPr>
      <w:rFonts w:ascii="宋体" w:hAnsi="宋体"/>
      <w:b/>
      <w:sz w:val="24"/>
      <w:szCs w:val="24"/>
    </w:rPr>
  </w:style>
  <w:style w:type="character" w:customStyle="1" w:styleId="a">
    <w:name w:val="页眉 字符"/>
    <w:basedOn w:val="DefaultParagraphFont"/>
    <w:link w:val="Header"/>
    <w:qFormat/>
    <w:rPr>
      <w:sz w:val="18"/>
      <w:szCs w:val="18"/>
    </w:rPr>
  </w:style>
  <w:style w:type="character" w:customStyle="1" w:styleId="a0">
    <w:name w:val="页脚 字符"/>
    <w:basedOn w:val="DefaultParagraphFont"/>
    <w:link w:val="Footer"/>
    <w:qFormat/>
    <w:rPr>
      <w:sz w:val="18"/>
      <w:szCs w:val="18"/>
    </w:rPr>
  </w:style>
  <w:style w:type="character" w:customStyle="1" w:styleId="4">
    <w:name w:val="标题 4 字符"/>
    <w:basedOn w:val="DefaultParagraphFont"/>
    <w:link w:val="Heading4"/>
    <w:qFormat/>
    <w:rPr>
      <w:rFonts w:ascii="仿宋_GB2312" w:hAnsiTheme="majorHAnsi" w:cstheme="majorBidi"/>
      <w:bCs/>
      <w:sz w:val="28"/>
      <w:szCs w:val="28"/>
    </w:rPr>
  </w:style>
  <w:style w:type="character" w:customStyle="1" w:styleId="5">
    <w:name w:val="标题 5 字符"/>
    <w:basedOn w:val="DefaultParagraphFont"/>
    <w:link w:val="Heading5"/>
    <w:qFormat/>
    <w:rPr>
      <w:rFonts w:ascii="仿宋_GB2312"/>
      <w:b/>
      <w:bCs/>
      <w:sz w:val="28"/>
      <w:szCs w:val="28"/>
    </w:rPr>
  </w:style>
  <w:style w:type="character" w:customStyle="1" w:styleId="6">
    <w:name w:val="标题 6 字符"/>
    <w:basedOn w:val="DefaultParagraphFont"/>
    <w:link w:val="Heading6"/>
    <w:qFormat/>
    <w:rPr>
      <w:rFonts w:cstheme="majorBidi"/>
      <w:b/>
      <w:bCs/>
      <w:sz w:val="28"/>
      <w:szCs w:val="24"/>
    </w:rPr>
  </w:style>
  <w:style w:type="character" w:customStyle="1" w:styleId="7">
    <w:name w:val="标题 7 字符"/>
    <w:basedOn w:val="DefaultParagraphFont"/>
    <w:link w:val="Heading7"/>
    <w:qFormat/>
    <w:rPr>
      <w:rFonts w:ascii="仿宋_GB2312"/>
      <w:b/>
      <w:bCs/>
      <w:sz w:val="28"/>
      <w:szCs w:val="24"/>
    </w:rPr>
  </w:style>
  <w:style w:type="character" w:customStyle="1" w:styleId="8">
    <w:name w:val="标题 8 字符"/>
    <w:basedOn w:val="DefaultParagraphFont"/>
    <w:link w:val="Heading8"/>
    <w:qFormat/>
    <w:rPr>
      <w:rFonts w:asciiTheme="majorHAnsi" w:eastAsiaTheme="majorEastAsia" w:hAnsiTheme="majorHAnsi" w:cstheme="majorBidi"/>
      <w:sz w:val="28"/>
      <w:szCs w:val="24"/>
    </w:rPr>
  </w:style>
  <w:style w:type="character" w:customStyle="1" w:styleId="9">
    <w:name w:val="标题 9 字符"/>
    <w:basedOn w:val="DefaultParagraphFont"/>
    <w:link w:val="Heading9"/>
    <w:qFormat/>
    <w:rPr>
      <w:rFonts w:asciiTheme="majorHAnsi" w:eastAsiaTheme="majorEastAsia" w:hAnsiTheme="majorHAnsi" w:cstheme="majorBidi"/>
      <w:sz w:val="28"/>
      <w:szCs w:val="21"/>
    </w:rPr>
  </w:style>
  <w:style w:type="character" w:customStyle="1" w:styleId="a1">
    <w:name w:val="正文文本缩进 字符"/>
    <w:basedOn w:val="DefaultParagraphFont"/>
    <w:link w:val="BodyTextIndent"/>
    <w:qFormat/>
    <w:rPr>
      <w:rFonts w:ascii="楷体_GB2312" w:eastAsia="楷体_GB2312" w:hAnsi="Times New Roman" w:cs="Times New Roman"/>
      <w:sz w:val="28"/>
      <w:szCs w:val="20"/>
    </w:rPr>
  </w:style>
  <w:style w:type="character" w:customStyle="1" w:styleId="a2">
    <w:name w:val="批注框文本 字符"/>
    <w:basedOn w:val="DefaultParagraphFont"/>
    <w:link w:val="BalloonText"/>
    <w:qFormat/>
    <w:rPr>
      <w:sz w:val="18"/>
      <w:szCs w:val="18"/>
    </w:rPr>
  </w:style>
  <w:style w:type="paragraph" w:customStyle="1" w:styleId="a3">
    <w:name w:val="文章"/>
    <w:link w:val="Char"/>
    <w:qFormat/>
    <w:pPr>
      <w:spacing w:line="360" w:lineRule="auto"/>
      <w:ind w:firstLine="200" w:firstLineChars="200"/>
      <w:jc w:val="both"/>
    </w:pPr>
    <w:rPr>
      <w:rFonts w:ascii="Century Gothic" w:eastAsia="宋体" w:hAnsi="Century Gothic" w:cs="Times New Roman"/>
      <w:kern w:val="2"/>
      <w:sz w:val="26"/>
      <w:szCs w:val="26"/>
    </w:rPr>
  </w:style>
  <w:style w:type="character" w:customStyle="1" w:styleId="Char">
    <w:name w:val="文章 Char"/>
    <w:basedOn w:val="DefaultParagraphFont"/>
    <w:link w:val="a3"/>
    <w:qFormat/>
    <w:locked/>
    <w:rPr>
      <w:rFonts w:ascii="Century Gothic" w:eastAsia="宋体" w:hAnsi="Century Gothic" w:cs="Times New Roman"/>
      <w:sz w:val="26"/>
      <w:szCs w:val="26"/>
    </w:rPr>
  </w:style>
  <w:style w:type="paragraph" w:customStyle="1" w:styleId="a4">
    <w:name w:val="表"/>
    <w:qFormat/>
    <w:pPr>
      <w:adjustRightInd w:val="0"/>
      <w:snapToGrid w:val="0"/>
      <w:jc w:val="center"/>
    </w:pPr>
    <w:rPr>
      <w:rFonts w:ascii="Times New Roman" w:eastAsia="楷体_GB2312" w:hAnsi="Times New Roman" w:cs="Times New Roman"/>
      <w:sz w:val="24"/>
    </w:rPr>
  </w:style>
  <w:style w:type="paragraph" w:customStyle="1" w:styleId="0-0">
    <w:name w:val="0-正文"/>
    <w:basedOn w:val="ListParagraph"/>
    <w:link w:val="0-Char0"/>
    <w:qFormat/>
    <w:pPr>
      <w:spacing w:line="360" w:lineRule="auto"/>
      <w:ind w:firstLine="560"/>
    </w:pPr>
    <w:rPr>
      <w:rFonts w:ascii="宋体" w:hAnsi="宋体"/>
      <w:sz w:val="28"/>
      <w:szCs w:val="28"/>
    </w:rPr>
  </w:style>
  <w:style w:type="paragraph" w:styleId="ListParagraph">
    <w:name w:val="List Paragraph"/>
    <w:basedOn w:val="Normal"/>
    <w:uiPriority w:val="34"/>
    <w:qFormat/>
    <w:pPr>
      <w:ind w:firstLine="420" w:firstLineChars="200"/>
    </w:pPr>
  </w:style>
  <w:style w:type="character" w:customStyle="1" w:styleId="0-Char0">
    <w:name w:val="0-正文 Char"/>
    <w:link w:val="0-0"/>
    <w:qFormat/>
    <w:rPr>
      <w:rFonts w:ascii="宋体" w:hAnsi="宋体"/>
      <w:sz w:val="28"/>
      <w:szCs w:val="28"/>
    </w:rPr>
  </w:style>
  <w:style w:type="character" w:customStyle="1" w:styleId="a5">
    <w:name w:val="正文一"/>
    <w:basedOn w:val="DefaultParagraphFont"/>
    <w:qFormat/>
    <w:rPr>
      <w:rFonts w:ascii="仿宋_GB2312" w:hAnsi="仿宋_GB2312"/>
    </w:rPr>
  </w:style>
  <w:style w:type="paragraph" w:customStyle="1" w:styleId="21">
    <w:name w:val="正文 + 首行缩进:  2 字符"/>
    <w:basedOn w:val="Normal"/>
    <w:qFormat/>
    <w:pPr>
      <w:adjustRightInd w:val="0"/>
      <w:jc w:val="center"/>
    </w:pPr>
    <w:rPr>
      <w:rFonts w:ascii="宋体" w:eastAsia="宋体" w:hAnsi="宋体" w:cs="Times New Roman"/>
      <w:szCs w:val="21"/>
    </w:rPr>
  </w:style>
  <w:style w:type="paragraph" w:customStyle="1" w:styleId="1111-1">
    <w:name w:val="南大梁1.1.1.1-1标题"/>
    <w:basedOn w:val="Normal"/>
    <w:uiPriority w:val="99"/>
    <w:qFormat/>
    <w:pPr>
      <w:spacing w:before="60" w:after="60" w:line="360" w:lineRule="auto"/>
    </w:pPr>
    <w:rPr>
      <w:rFonts w:ascii="黑体" w:eastAsia="黑体" w:hAnsi="宋体" w:cs="Times New Roman"/>
      <w:sz w:val="24"/>
      <w:szCs w:val="24"/>
    </w:rPr>
  </w:style>
  <w:style w:type="character" w:customStyle="1" w:styleId="lspCharChar">
    <w:name w:val="正文 lsp Char Char"/>
    <w:basedOn w:val="DefaultParagraphFont"/>
    <w:link w:val="lsp"/>
    <w:qFormat/>
    <w:rPr>
      <w:rFonts w:ascii="宋体"/>
      <w:sz w:val="24"/>
      <w:szCs w:val="24"/>
    </w:rPr>
  </w:style>
  <w:style w:type="paragraph" w:customStyle="1" w:styleId="lsp">
    <w:name w:val="正文 lsp"/>
    <w:basedOn w:val="Normal"/>
    <w:link w:val="lspCharChar"/>
    <w:qFormat/>
    <w:pPr>
      <w:spacing w:line="360" w:lineRule="auto"/>
      <w:ind w:firstLine="480" w:firstLineChars="200"/>
    </w:pPr>
    <w:rPr>
      <w:rFonts w:ascii="宋体"/>
      <w:sz w:val="24"/>
      <w:szCs w:val="24"/>
    </w:rPr>
  </w:style>
  <w:style w:type="character" w:customStyle="1" w:styleId="CharChar">
    <w:name w:val="表格 Char Char"/>
    <w:basedOn w:val="DefaultParagraphFont"/>
    <w:link w:val="a6"/>
    <w:qFormat/>
    <w:rPr>
      <w:rFonts w:ascii="宋体"/>
      <w:snapToGrid w:val="0"/>
      <w:kern w:val="28"/>
      <w:sz w:val="28"/>
    </w:rPr>
  </w:style>
  <w:style w:type="paragraph" w:customStyle="1" w:styleId="a6">
    <w:name w:val="表格"/>
    <w:basedOn w:val="Normal"/>
    <w:link w:val="CharChar"/>
    <w:qFormat/>
    <w:pPr>
      <w:adjustRightInd w:val="0"/>
      <w:snapToGrid w:val="0"/>
      <w:spacing w:line="240" w:lineRule="atLeast"/>
      <w:jc w:val="center"/>
    </w:pPr>
    <w:rPr>
      <w:rFonts w:ascii="宋体"/>
      <w:snapToGrid w:val="0"/>
      <w:kern w:val="28"/>
      <w:sz w:val="28"/>
    </w:rPr>
  </w:style>
  <w:style w:type="paragraph" w:customStyle="1" w:styleId="212">
    <w:name w:val="样式 样式 首行缩进:  2 字符1 + 首行缩进:  2 字符"/>
    <w:basedOn w:val="Normal"/>
    <w:qFormat/>
    <w:pPr>
      <w:outlineLvl w:val="2"/>
    </w:pPr>
    <w:rPr>
      <w:rFonts w:ascii="宋体" w:eastAsia="宋体" w:hAnsi="宋体" w:cs="Times New Roman"/>
      <w:b/>
      <w:bCs/>
      <w:sz w:val="30"/>
      <w:szCs w:val="30"/>
    </w:rPr>
  </w:style>
  <w:style w:type="character" w:customStyle="1" w:styleId="lspChar">
    <w:name w:val="正文 lsp Char"/>
    <w:qFormat/>
    <w:rPr>
      <w:rFonts w:ascii="宋体"/>
      <w:kern w:val="2"/>
      <w:sz w:val="24"/>
      <w:szCs w:val="24"/>
    </w:rPr>
  </w:style>
  <w:style w:type="paragraph" w:customStyle="1" w:styleId="215TimesNewRoman">
    <w:name w:val="样式 样式 首行缩进:  2 字符 行距: 1.5 倍行距 + Times New Roman 黑色"/>
    <w:basedOn w:val="Normal"/>
    <w:qFormat/>
    <w:pPr>
      <w:adjustRightInd w:val="0"/>
      <w:snapToGrid w:val="0"/>
      <w:spacing w:line="360" w:lineRule="auto"/>
      <w:ind w:firstLine="200" w:firstLineChars="200"/>
    </w:pPr>
    <w:rPr>
      <w:rFonts w:ascii="宋体" w:eastAsia="仿宋_GB2312" w:hAnsi="宋体" w:cs="宋体"/>
      <w:color w:val="000000"/>
      <w:sz w:val="28"/>
      <w:szCs w:val="20"/>
    </w:rPr>
  </w:style>
  <w:style w:type="paragraph" w:customStyle="1" w:styleId="10">
    <w:name w:val="标题1"/>
    <w:basedOn w:val="Normal"/>
    <w:next w:val="Normal"/>
    <w:qFormat/>
    <w:pPr>
      <w:spacing w:line="360" w:lineRule="auto"/>
    </w:pPr>
    <w:rPr>
      <w:rFonts w:ascii="仿宋_GB2312" w:eastAsia="仿宋_GB2312"/>
      <w:b/>
      <w:sz w:val="28"/>
    </w:rPr>
  </w:style>
  <w:style w:type="paragraph" w:customStyle="1" w:styleId="22">
    <w:name w:val="标题2"/>
    <w:basedOn w:val="10"/>
    <w:next w:val="Normal"/>
    <w:qFormat/>
  </w:style>
  <w:style w:type="paragraph" w:customStyle="1" w:styleId="30">
    <w:name w:val="标题3"/>
    <w:basedOn w:val="22"/>
    <w:next w:val="Normal"/>
    <w:qFormat/>
  </w:style>
  <w:style w:type="paragraph" w:customStyle="1" w:styleId="40">
    <w:name w:val="标题4"/>
    <w:basedOn w:val="30"/>
    <w:next w:val="Normal"/>
    <w:qFormat/>
  </w:style>
  <w:style w:type="paragraph" w:customStyle="1" w:styleId="11">
    <w:name w:val="小点1"/>
    <w:basedOn w:val="40"/>
    <w:next w:val="Normal"/>
    <w:qFormat/>
    <w:rPr>
      <w:b w:val="0"/>
    </w:rPr>
  </w:style>
  <w:style w:type="paragraph" w:customStyle="1" w:styleId="23">
    <w:name w:val="小点2"/>
    <w:basedOn w:val="11"/>
    <w:next w:val="Normal"/>
    <w:qFormat/>
    <w:pPr>
      <w:ind w:left="3420" w:hanging="420"/>
    </w:pPr>
  </w:style>
  <w:style w:type="paragraph" w:customStyle="1" w:styleId="a7">
    <w:name w:val="表格标题"/>
    <w:basedOn w:val="Normal"/>
    <w:qFormat/>
    <w:pPr>
      <w:numPr>
        <w:ilvl w:val="4"/>
        <w:numId w:val="2"/>
      </w:numPr>
      <w:spacing w:line="360" w:lineRule="auto"/>
    </w:pPr>
    <w:rPr>
      <w:rFonts w:ascii="仿宋_GB2312" w:eastAsia="仿宋_GB2312"/>
      <w:sz w:val="28"/>
    </w:rPr>
  </w:style>
  <w:style w:type="character" w:customStyle="1" w:styleId="LWChar">
    <w:name w:val="LW公式正文 Char"/>
    <w:basedOn w:val="DefaultParagraphFont"/>
    <w:link w:val="LW39"/>
    <w:qFormat/>
    <w:locked/>
    <w:rPr>
      <w:rFonts w:ascii="宋体" w:eastAsia="宋体" w:hAnsi="宋体"/>
      <w:spacing w:val="10"/>
      <w:sz w:val="24"/>
      <w:lang w:eastAsia="en-US"/>
    </w:rPr>
  </w:style>
  <w:style w:type="paragraph" w:customStyle="1" w:styleId="LW39">
    <w:name w:val="LW公式正文"/>
    <w:basedOn w:val="Normal"/>
    <w:next w:val="LW"/>
    <w:link w:val="LWChar"/>
    <w:qFormat/>
    <w:pPr>
      <w:autoSpaceDE w:val="0"/>
      <w:autoSpaceDN w:val="0"/>
      <w:adjustRightInd w:val="0"/>
      <w:snapToGrid w:val="0"/>
      <w:spacing w:line="440" w:lineRule="atLeast"/>
      <w:ind w:firstLine="200" w:firstLineChars="200"/>
    </w:pPr>
    <w:rPr>
      <w:rFonts w:ascii="宋体" w:eastAsia="宋体" w:hAnsi="宋体"/>
      <w:spacing w:val="10"/>
      <w:sz w:val="24"/>
      <w:lang w:eastAsia="en-US"/>
    </w:rPr>
  </w:style>
  <w:style w:type="character" w:customStyle="1" w:styleId="LWChar0">
    <w:name w:val="LW表单位 Char"/>
    <w:basedOn w:val="DefaultParagraphFont"/>
    <w:link w:val="LW43"/>
    <w:qFormat/>
    <w:locked/>
    <w:rPr>
      <w:rFonts w:ascii="宋体" w:eastAsia="宋体" w:hAnsi="宋体"/>
      <w:spacing w:val="10"/>
      <w:sz w:val="18"/>
      <w:lang w:eastAsia="en-US"/>
    </w:rPr>
  </w:style>
  <w:style w:type="paragraph" w:customStyle="1" w:styleId="LW43">
    <w:name w:val="LW表单位"/>
    <w:basedOn w:val="Normal"/>
    <w:next w:val="LW"/>
    <w:link w:val="LWChar0"/>
    <w:qFormat/>
    <w:pPr>
      <w:autoSpaceDE w:val="0"/>
      <w:autoSpaceDN w:val="0"/>
      <w:adjustRightInd w:val="0"/>
      <w:snapToGrid w:val="0"/>
      <w:spacing w:line="180" w:lineRule="exact"/>
      <w:jc w:val="right"/>
    </w:pPr>
    <w:rPr>
      <w:rFonts w:ascii="宋体" w:eastAsia="宋体" w:hAnsi="宋体"/>
      <w:spacing w:val="10"/>
      <w:sz w:val="18"/>
      <w:lang w:eastAsia="en-US"/>
    </w:rPr>
  </w:style>
  <w:style w:type="character" w:customStyle="1" w:styleId="1Char">
    <w:name w:val="标题 1 Char"/>
    <w:qFormat/>
    <w:rPr>
      <w:b/>
      <w:bCs/>
      <w:kern w:val="44"/>
      <w:sz w:val="44"/>
      <w:szCs w:val="44"/>
    </w:rPr>
  </w:style>
  <w:style w:type="paragraph" w:customStyle="1" w:styleId="LW44">
    <w:name w:val="LW表尾"/>
    <w:basedOn w:val="Normal"/>
    <w:next w:val="LW"/>
    <w:link w:val="LWChar1"/>
    <w:qFormat/>
    <w:pPr>
      <w:autoSpaceDE w:val="0"/>
      <w:autoSpaceDN w:val="0"/>
      <w:adjustRightInd w:val="0"/>
      <w:snapToGrid w:val="0"/>
      <w:spacing w:line="220" w:lineRule="exact"/>
      <w:jc w:val="left"/>
      <w:textAlignment w:val="baseline"/>
    </w:pPr>
    <w:rPr>
      <w:rFonts w:ascii="宋体" w:eastAsia="宋体" w:hAnsi="宋体" w:cs="仿宋GB2312"/>
      <w:spacing w:val="10"/>
      <w:kern w:val="0"/>
      <w:sz w:val="18"/>
    </w:rPr>
  </w:style>
  <w:style w:type="character" w:customStyle="1" w:styleId="LWChar1">
    <w:name w:val="LW表尾 Char"/>
    <w:link w:val="LW44"/>
    <w:qFormat/>
    <w:rPr>
      <w:rFonts w:ascii="宋体" w:eastAsia="宋体" w:hAnsi="宋体" w:cs="仿宋GB2312"/>
      <w:spacing w:val="10"/>
      <w:kern w:val="0"/>
      <w:sz w:val="18"/>
    </w:rPr>
  </w:style>
  <w:style w:type="paragraph" w:customStyle="1" w:styleId="LW45">
    <w:name w:val="LW上标"/>
    <w:basedOn w:val="Normal"/>
    <w:next w:val="LW"/>
    <w:link w:val="LWChar2"/>
    <w:qFormat/>
    <w:pPr>
      <w:autoSpaceDE w:val="0"/>
      <w:autoSpaceDN w:val="0"/>
      <w:adjustRightInd w:val="0"/>
      <w:snapToGrid w:val="0"/>
      <w:spacing w:line="440" w:lineRule="exact"/>
      <w:textAlignment w:val="baseline"/>
    </w:pPr>
    <w:rPr>
      <w:rFonts w:ascii="宋体" w:eastAsia="宋体" w:hAnsi="宋体" w:cs="仿宋GB2312"/>
      <w:spacing w:val="10"/>
      <w:kern w:val="0"/>
      <w:sz w:val="24"/>
    </w:rPr>
  </w:style>
  <w:style w:type="character" w:customStyle="1" w:styleId="LWChar2">
    <w:name w:val="LW上标 Char"/>
    <w:link w:val="LW45"/>
    <w:qFormat/>
    <w:rPr>
      <w:rFonts w:ascii="宋体" w:eastAsia="宋体" w:hAnsi="宋体" w:cs="仿宋GB2312"/>
      <w:spacing w:val="10"/>
      <w:kern w:val="0"/>
      <w:sz w:val="24"/>
    </w:rPr>
  </w:style>
  <w:style w:type="paragraph" w:customStyle="1" w:styleId="LW46">
    <w:name w:val="LW下标"/>
    <w:basedOn w:val="Normal"/>
    <w:next w:val="LW"/>
    <w:link w:val="LWChar3"/>
    <w:qFormat/>
    <w:pPr>
      <w:autoSpaceDE w:val="0"/>
      <w:autoSpaceDN w:val="0"/>
      <w:adjustRightInd w:val="0"/>
      <w:snapToGrid w:val="0"/>
      <w:spacing w:line="440" w:lineRule="exact"/>
      <w:textAlignment w:val="baseline"/>
    </w:pPr>
    <w:rPr>
      <w:rFonts w:ascii="宋体" w:eastAsia="宋体" w:hAnsi="宋体" w:cs="仿宋GB2312"/>
      <w:spacing w:val="10"/>
      <w:kern w:val="0"/>
      <w:sz w:val="24"/>
    </w:rPr>
  </w:style>
  <w:style w:type="character" w:customStyle="1" w:styleId="LWChar3">
    <w:name w:val="LW下标 Char"/>
    <w:link w:val="LW46"/>
    <w:qFormat/>
    <w:rPr>
      <w:rFonts w:ascii="宋体" w:eastAsia="宋体" w:hAnsi="宋体" w:cs="仿宋GB2312"/>
      <w:spacing w:val="10"/>
      <w:kern w:val="0"/>
      <w:sz w:val="24"/>
    </w:rPr>
  </w:style>
  <w:style w:type="paragraph" w:customStyle="1" w:styleId="LW47">
    <w:name w:val="LW表首"/>
    <w:basedOn w:val="Normal"/>
    <w:next w:val="LW"/>
    <w:link w:val="LW48"/>
    <w:qFormat/>
    <w:pPr>
      <w:autoSpaceDE w:val="0"/>
      <w:autoSpaceDN w:val="0"/>
      <w:adjustRightInd w:val="0"/>
      <w:snapToGrid w:val="0"/>
      <w:spacing w:line="440" w:lineRule="exact"/>
      <w:textAlignment w:val="baseline"/>
    </w:pPr>
    <w:rPr>
      <w:rFonts w:ascii="宋体" w:eastAsia="宋体" w:hAnsi="宋体"/>
      <w:spacing w:val="10"/>
      <w:kern w:val="0"/>
      <w:sz w:val="24"/>
      <w:lang w:eastAsia="en-US"/>
    </w:rPr>
  </w:style>
  <w:style w:type="character" w:customStyle="1" w:styleId="LW48">
    <w:name w:val="LW表首 字符"/>
    <w:basedOn w:val="DefaultParagraphFont"/>
    <w:link w:val="LW47"/>
    <w:qFormat/>
    <w:rPr>
      <w:rFonts w:ascii="宋体" w:eastAsia="宋体" w:hAnsi="宋体"/>
      <w:spacing w:val="10"/>
      <w:kern w:val="0"/>
      <w:sz w:val="24"/>
      <w:lang w:eastAsia="en-US"/>
    </w:rPr>
  </w:style>
  <w:style w:type="paragraph" w:customStyle="1" w:styleId="alt0">
    <w:name w:val="alt0"/>
    <w:basedOn w:val="Normal"/>
    <w:qFormat/>
    <w:pPr>
      <w:widowControl/>
      <w:spacing w:before="100" w:beforeAutospacing="1" w:after="100" w:afterAutospacing="1"/>
      <w:jc w:val="left"/>
    </w:pPr>
    <w:rPr>
      <w:rFonts w:ascii="宋体" w:eastAsia="宋体" w:hAnsi="宋体" w:cs="宋体"/>
      <w:kern w:val="0"/>
      <w:sz w:val="24"/>
      <w:szCs w:val="24"/>
    </w:rPr>
  </w:style>
  <w:style w:type="character" w:styleId="PlaceholderText">
    <w:name w:val="Placeholder Text"/>
    <w:basedOn w:val="DefaultParagraphFont"/>
    <w:uiPriority w:val="99"/>
    <w:semiHidden/>
    <w:qFormat/>
    <w:rPr>
      <w:color w:val="808080"/>
    </w:rPr>
  </w:style>
  <w:style w:type="character" w:customStyle="1" w:styleId="24">
    <w:name w:val="正文首行缩进 2 字符"/>
    <w:basedOn w:val="a1"/>
    <w:link w:val="BodyTextFirstIndent2"/>
    <w:qFormat/>
    <w:rPr>
      <w:rFonts w:ascii="Calibri" w:eastAsia="宋体" w:hAnsi="Calibri" w:cs="Times New Roman"/>
      <w:sz w:val="28"/>
      <w:szCs w:val="24"/>
    </w:rPr>
  </w:style>
  <w:style w:type="character" w:customStyle="1" w:styleId="a8">
    <w:name w:val="正文文本 字符"/>
    <w:basedOn w:val="DefaultParagraphFont"/>
    <w:link w:val="BodyText"/>
    <w:uiPriority w:val="99"/>
    <w:semiHidden/>
    <w:qFormat/>
  </w:style>
  <w:style w:type="character" w:customStyle="1" w:styleId="a9">
    <w:name w:val="正文首行缩进 字符"/>
    <w:basedOn w:val="a8"/>
    <w:link w:val="BodyTextFirstIndent"/>
    <w:uiPriority w:val="99"/>
    <w:semiHidden/>
    <w:qFormat/>
    <w:rPr>
      <w:rFonts w:ascii="Times New Roman" w:eastAsia="宋体" w:hAnsi="Times New Roman" w:cs="Times New Roman"/>
      <w:szCs w:val="24"/>
    </w:rPr>
  </w:style>
  <w:style w:type="paragraph" w:customStyle="1" w:styleId="F">
    <w:name w:val="正文F"/>
    <w:basedOn w:val="Normal"/>
    <w:qFormat/>
    <w:pPr>
      <w:spacing w:line="520" w:lineRule="exact"/>
      <w:jc w:val="left"/>
    </w:pPr>
    <w:rPr>
      <w:rFonts w:ascii="宋体" w:eastAsia="宋体" w:hAnsi="宋体" w:cs="Times New Roman"/>
      <w:szCs w:val="28"/>
    </w:rPr>
  </w:style>
  <w:style w:type="character" w:customStyle="1" w:styleId="2Char">
    <w:name w:val="标题 2 Char"/>
    <w:qFormat/>
    <w:rPr>
      <w:rFonts w:ascii="Arial" w:eastAsia="黑体" w:hAnsi="Arial"/>
      <w:b/>
      <w:bCs/>
      <w:kern w:val="2"/>
      <w:sz w:val="32"/>
      <w:szCs w:val="32"/>
    </w:rPr>
  </w:style>
  <w:style w:type="character" w:customStyle="1" w:styleId="a10">
    <w:name w:val="日期 字符"/>
    <w:basedOn w:val="DefaultParagraphFont"/>
    <w:link w:val="Date"/>
    <w:qFormat/>
    <w:rPr>
      <w:rFonts w:ascii="Calibri" w:eastAsia="宋体" w:hAnsi="Calibri" w:cs="Times New Roman"/>
      <w:kern w:val="0"/>
      <w:sz w:val="24"/>
      <w:szCs w:val="24"/>
      <w:lang w:val="zh-CN" w:eastAsia="en-US" w:bidi="en-US"/>
    </w:rPr>
  </w:style>
  <w:style w:type="character" w:customStyle="1" w:styleId="Char0">
    <w:name w:val="表格 Char"/>
    <w:qFormat/>
    <w:rPr>
      <w:kern w:val="2"/>
      <w:sz w:val="24"/>
    </w:rPr>
  </w:style>
  <w:style w:type="character" w:customStyle="1" w:styleId="a11">
    <w:name w:val="纯文本 字符"/>
    <w:link w:val="PlainText"/>
    <w:uiPriority w:val="99"/>
    <w:qFormat/>
    <w:rPr>
      <w:rFonts w:ascii="宋体" w:hAnsi="Courier New" w:cs="宋体"/>
      <w:sz w:val="28"/>
      <w:szCs w:val="28"/>
    </w:rPr>
  </w:style>
  <w:style w:type="character" w:customStyle="1" w:styleId="Char1">
    <w:name w:val="纯文本 Char"/>
    <w:basedOn w:val="DefaultParagraphFont"/>
    <w:qFormat/>
    <w:rPr>
      <w:rFonts w:ascii="宋体" w:eastAsia="宋体" w:hAnsi="Courier New" w:cs="Courier New"/>
      <w:szCs w:val="21"/>
    </w:rPr>
  </w:style>
  <w:style w:type="paragraph" w:customStyle="1" w:styleId="210">
    <w:name w:val="样式 正文首行缩进 + 首行缩进:  2 字符1"/>
    <w:basedOn w:val="Normal"/>
    <w:next w:val="Normal"/>
    <w:uiPriority w:val="99"/>
    <w:qFormat/>
    <w:rPr>
      <w:rFonts w:ascii="Times New Roman" w:eastAsia="宋体" w:hAnsi="Times New Roman" w:cs="Times New Roman"/>
      <w:kern w:val="0"/>
      <w:szCs w:val="24"/>
    </w:rPr>
  </w:style>
  <w:style w:type="character" w:customStyle="1" w:styleId="25">
    <w:name w:val="正文文本缩进 2 字符"/>
    <w:basedOn w:val="DefaultParagraphFont"/>
    <w:link w:val="BodyTextIndent2"/>
    <w:uiPriority w:val="99"/>
    <w:semiHidden/>
    <w:qFormat/>
  </w:style>
  <w:style w:type="paragraph" w:customStyle="1" w:styleId="Body-wjs">
    <w:name w:val="Body-wjs"/>
    <w:basedOn w:val="Normal"/>
    <w:qFormat/>
    <w:pPr>
      <w:spacing w:line="360" w:lineRule="auto"/>
      <w:ind w:firstLine="480" w:firstLineChars="200"/>
    </w:pPr>
    <w:rPr>
      <w:rFonts w:ascii="宋体" w:eastAsia="宋体" w:hAnsi="宋体" w:cs="宋体"/>
      <w:sz w:val="24"/>
      <w:szCs w:val="20"/>
    </w:rPr>
  </w:style>
  <w:style w:type="paragraph" w:customStyle="1" w:styleId="26">
    <w:name w:val="样式 来福士 + 蓝色 首行缩进:  2 字符"/>
    <w:basedOn w:val="a12"/>
    <w:qFormat/>
    <w:pPr>
      <w:ind w:firstLine="560"/>
    </w:pPr>
    <w:rPr>
      <w:rFonts w:ascii="等线" w:eastAsia="等线"/>
    </w:rPr>
  </w:style>
  <w:style w:type="paragraph" w:customStyle="1" w:styleId="a12">
    <w:name w:val="来福士"/>
    <w:basedOn w:val="Normal"/>
    <w:qFormat/>
    <w:pPr>
      <w:spacing w:line="360" w:lineRule="auto"/>
      <w:ind w:firstLine="200" w:firstLineChars="200"/>
    </w:pPr>
    <w:rPr>
      <w:rFonts w:hAnsi="宋体"/>
      <w:bCs/>
      <w:sz w:val="28"/>
      <w:szCs w:val="28"/>
    </w:rPr>
  </w:style>
  <w:style w:type="paragraph" w:customStyle="1" w:styleId="-">
    <w:name w:val="正文-石板"/>
    <w:basedOn w:val="Normal"/>
    <w:qFormat/>
    <w:pPr>
      <w:adjustRightInd w:val="0"/>
      <w:snapToGrid w:val="0"/>
      <w:spacing w:line="560" w:lineRule="exact"/>
      <w:ind w:firstLine="200" w:firstLineChars="200"/>
    </w:pPr>
    <w:rPr>
      <w:rFonts w:ascii="宋体" w:eastAsia="宋体" w:hAnsi="宋体"/>
      <w:szCs w:val="28"/>
    </w:rPr>
  </w:style>
  <w:style w:type="table" w:customStyle="1" w:styleId="TableGrid0">
    <w:name w:val="Table Grid_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image" Target="media/image1.png"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image" Target="media/image3.png" /><Relationship Id="rId21" Type="http://schemas.openxmlformats.org/officeDocument/2006/relationships/image" Target="media/image4.png"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image" Target="media/image5.png" /><Relationship Id="rId25" Type="http://schemas.openxmlformats.org/officeDocument/2006/relationships/image" Target="media/image6.png" /><Relationship Id="rId26" Type="http://schemas.openxmlformats.org/officeDocument/2006/relationships/image" Target="media/image7.png" /><Relationship Id="rId27" Type="http://schemas.openxmlformats.org/officeDocument/2006/relationships/image" Target="media/image8.png" /><Relationship Id="rId28" Type="http://schemas.openxmlformats.org/officeDocument/2006/relationships/image" Target="media/image9.png" /><Relationship Id="rId29" Type="http://schemas.openxmlformats.org/officeDocument/2006/relationships/image" Target="media/image10.png"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8.xml" /><Relationship Id="rId32" Type="http://schemas.openxmlformats.org/officeDocument/2006/relationships/header" Target="header9.xml" /><Relationship Id="rId33" Type="http://schemas.openxmlformats.org/officeDocument/2006/relationships/footer" Target="footer9.xml" /><Relationship Id="rId34" Type="http://schemas.openxmlformats.org/officeDocument/2006/relationships/image" Target="media/image11.png" /><Relationship Id="rId35" Type="http://schemas.openxmlformats.org/officeDocument/2006/relationships/header" Target="header10.xml" /><Relationship Id="rId36" Type="http://schemas.openxmlformats.org/officeDocument/2006/relationships/footer" Target="footer10.xml" /><Relationship Id="rId37" Type="http://schemas.openxmlformats.org/officeDocument/2006/relationships/image" Target="media/image12.png" /><Relationship Id="rId38" Type="http://schemas.openxmlformats.org/officeDocument/2006/relationships/header" Target="header11.xml" /><Relationship Id="rId39" Type="http://schemas.openxmlformats.org/officeDocument/2006/relationships/footer" Target="footer11.xml" /><Relationship Id="rId4" Type="http://schemas.openxmlformats.org/officeDocument/2006/relationships/customXml" Target="../customXml/item1.xml" /><Relationship Id="rId40" Type="http://schemas.openxmlformats.org/officeDocument/2006/relationships/header" Target="header12.xml" /><Relationship Id="rId41" Type="http://schemas.openxmlformats.org/officeDocument/2006/relationships/footer" Target="footer12.xml" /><Relationship Id="rId42" Type="http://schemas.openxmlformats.org/officeDocument/2006/relationships/header" Target="header13.xml" /><Relationship Id="rId43" Type="http://schemas.openxmlformats.org/officeDocument/2006/relationships/footer" Target="footer13.xml" /><Relationship Id="rId44" Type="http://schemas.openxmlformats.org/officeDocument/2006/relationships/header" Target="header14.xml" /><Relationship Id="rId45" Type="http://schemas.openxmlformats.org/officeDocument/2006/relationships/footer" Target="footer14.xml" /><Relationship Id="rId46" Type="http://schemas.openxmlformats.org/officeDocument/2006/relationships/header" Target="header15.xml" /><Relationship Id="rId47" Type="http://schemas.openxmlformats.org/officeDocument/2006/relationships/footer" Target="footer15.xml" /><Relationship Id="rId48" Type="http://schemas.openxmlformats.org/officeDocument/2006/relationships/header" Target="header16.xml" /><Relationship Id="rId49" Type="http://schemas.openxmlformats.org/officeDocument/2006/relationships/footer" Target="footer16.xml" /><Relationship Id="rId5" Type="http://schemas.openxmlformats.org/officeDocument/2006/relationships/customXml" Target="../customXml/item2.xml" /><Relationship Id="rId50" Type="http://schemas.openxmlformats.org/officeDocument/2006/relationships/hyperlink" Target="https://d.book118.com/966033113220010052" TargetMode="External" /><Relationship Id="rId51" Type="http://schemas.openxmlformats.org/officeDocument/2006/relationships/header" Target="header17.xml" /><Relationship Id="rId52" Type="http://schemas.openxmlformats.org/officeDocument/2006/relationships/footer" Target="footer17.xml" /><Relationship Id="rId53" Type="http://schemas.openxmlformats.org/officeDocument/2006/relationships/glossaryDocument" Target="glossary/document.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F03CE198E1C455A90B73A72CAA2DD6F"/>
        <w:category>
          <w:name w:val="常规"/>
          <w:gallery w:val="placeholder"/>
        </w:category>
        <w:types>
          <w:type w:val="bbPlcHdr"/>
        </w:types>
        <w:behaviors>
          <w:behavior w:val="content"/>
        </w:behaviors>
        <w:guid w:val="{B13A8FA0-A8B1-4F2C-8D62-63B9CA81708C}"/>
      </w:docPartPr>
      <w:docPartBody>
        <w:p w:rsidR="00810D1E">
          <w:pPr>
            <w:pStyle w:val="5F03CE198E1C455A90B73A72CAA2DD6F"/>
          </w:pPr>
          <w:r>
            <w:rPr>
              <w:rStyle w:val="PlaceholderText"/>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Gothic">
    <w:charset w:val="00"/>
    <w:family w:val="roman"/>
    <w:pitch w:val="default"/>
    <w:sig w:usb0="00000287" w:usb1="00000000" w:usb2="00000000" w:usb3="00000000" w:csb0="2000009F" w:csb1="DFD70000"/>
  </w:font>
  <w:font w:name="仿宋GB2312">
    <w:altName w:val="仿宋"/>
    <w:charset w:val="86"/>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62"/>
    <w:rsid w:val="00027B62"/>
    <w:rsid w:val="000B5AB3"/>
    <w:rsid w:val="000C23D6"/>
    <w:rsid w:val="001317E8"/>
    <w:rsid w:val="0014014A"/>
    <w:rsid w:val="00154B86"/>
    <w:rsid w:val="001657B2"/>
    <w:rsid w:val="001B2C1D"/>
    <w:rsid w:val="001C0C81"/>
    <w:rsid w:val="001E7B7C"/>
    <w:rsid w:val="002410A5"/>
    <w:rsid w:val="00246A68"/>
    <w:rsid w:val="00332040"/>
    <w:rsid w:val="003B0136"/>
    <w:rsid w:val="003E2315"/>
    <w:rsid w:val="004312A2"/>
    <w:rsid w:val="00445AC9"/>
    <w:rsid w:val="00476749"/>
    <w:rsid w:val="00490F40"/>
    <w:rsid w:val="0049576F"/>
    <w:rsid w:val="00616887"/>
    <w:rsid w:val="006242E5"/>
    <w:rsid w:val="00636D9B"/>
    <w:rsid w:val="00750057"/>
    <w:rsid w:val="00810D1E"/>
    <w:rsid w:val="00821FB8"/>
    <w:rsid w:val="008D69FE"/>
    <w:rsid w:val="00971A58"/>
    <w:rsid w:val="009B332A"/>
    <w:rsid w:val="00A0570D"/>
    <w:rsid w:val="00A91455"/>
    <w:rsid w:val="00B13573"/>
    <w:rsid w:val="00C03E72"/>
    <w:rsid w:val="00C25D80"/>
    <w:rsid w:val="00C4144E"/>
    <w:rsid w:val="00C968DC"/>
    <w:rsid w:val="00C97EB1"/>
    <w:rsid w:val="00CB364B"/>
    <w:rsid w:val="00D47014"/>
    <w:rsid w:val="00D664FE"/>
    <w:rsid w:val="00E84B72"/>
    <w:rsid w:val="00F2617D"/>
    <w:rsid w:val="00F95D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5F03CE198E1C455A90B73A72CAA2DD6F">
    <w:name w:val="5F03CE198E1C455A90B73A72CAA2DD6F"/>
    <w:qFormat/>
    <w:pPr>
      <w:widowControl w:val="0"/>
      <w:jc w:val="both"/>
    </w:pPr>
    <w:rPr>
      <w:kern w:val="2"/>
      <w:sz w:val="21"/>
      <w:szCs w:val="22"/>
    </w:rPr>
  </w:style>
  <w:style w:type="paragraph" w:customStyle="1" w:styleId="3A671D21C7FA4BA2BFE43CC768CF189D">
    <w:name w:val="3A671D21C7FA4BA2BFE43CC768CF189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5CE0F-AF97-4DFE-B367-45F210DD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7949</Words>
  <Characters>45314</Characters>
  <Application>Microsoft Office Word</Application>
  <DocSecurity>0</DocSecurity>
  <Lines>377</Lines>
  <Paragraphs>106</Paragraphs>
  <ScaleCrop>false</ScaleCrop>
  <Company>Microsoft</Company>
  <LinksUpToDate>false</LinksUpToDate>
  <CharactersWithSpaces>53157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道路工程施工图设计说明</dc:subject>
  <dc:creator>AutoBVT</dc:creator>
  <cp:lastModifiedBy>Administrator</cp:lastModifiedBy>
  <cp:revision>251</cp:revision>
  <cp:lastPrinted>2023-09-07T03:03:00Z</cp:lastPrinted>
  <dcterms:created xsi:type="dcterms:W3CDTF">2021-09-06T22:51:00Z</dcterms:created>
  <dcterms:modified xsi:type="dcterms:W3CDTF">2024-02-27T13:35:00Z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4F0391DAB6A3408D8F59B726416E5C66_12</vt:lpwstr>
  </property>
  <property fmtid="{D5CDD505-2E9C-101B-9397-08002B2CF9AE}" pid="3" name="KSOProductBuildVer">
    <vt:lpwstr>2052-12.1.0.15712</vt:lpwstr>
  </property>
</Properties>
</file>